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0" w:firstLineChars="0"/>
        <w:rPr>
          <w:rFonts w:cs="Times New Roman"/>
          <w:b/>
          <w:sz w:val="20"/>
        </w:rPr>
      </w:pPr>
      <w:r>
        <w:rPr>
          <w:rFonts w:cs="Times New Roman"/>
          <w:b/>
          <w:sz w:val="20"/>
        </w:rPr>
        <w:br w:type="page"/>
      </w:r>
    </w:p>
    <w:p>
      <w:pPr>
        <w:spacing w:line="480" w:lineRule="auto"/>
        <w:ind w:firstLine="0" w:firstLineChars="0"/>
        <w:jc w:val="center"/>
        <w:rPr>
          <w:rFonts w:hint="default" w:eastAsia="宋体" w:cs="Times New Roman"/>
          <w:b/>
          <w:sz w:val="21"/>
          <w:szCs w:val="21"/>
          <w:lang w:val="en-US" w:eastAsia="zh-CN"/>
        </w:rPr>
      </w:pPr>
      <w:r>
        <w:rPr>
          <w:rFonts w:hint="eastAsia" w:cs="Times New Roman"/>
          <w:b/>
          <w:sz w:val="21"/>
          <w:szCs w:val="21"/>
          <w:lang w:val="en-US" w:eastAsia="zh-CN"/>
        </w:rPr>
        <w:t>Supporting information</w:t>
      </w:r>
    </w:p>
    <w:p>
      <w:pPr>
        <w:spacing w:line="480" w:lineRule="auto"/>
        <w:ind w:firstLine="0" w:firstLineChars="0"/>
        <w:rPr>
          <w:rFonts w:cs="Times New Roman"/>
          <w:sz w:val="20"/>
        </w:rPr>
      </w:pPr>
      <w:r>
        <w:rPr>
          <w:rFonts w:cs="Times New Roman"/>
          <w:sz w:val="20"/>
        </w:rPr>
        <w:t>A</w:t>
      </w:r>
      <w:r>
        <w:rPr>
          <w:rFonts w:hint="eastAsia" w:cs="Times New Roman"/>
          <w:sz w:val="20"/>
        </w:rPr>
        <w:t>n</w:t>
      </w:r>
      <w:r>
        <w:rPr>
          <w:rFonts w:cs="Times New Roman"/>
          <w:sz w:val="20"/>
        </w:rPr>
        <w:t xml:space="preserve"> efficient, eco-friendly combined technique of matrix solid-phase dispersion (MSPD)-</w:t>
      </w:r>
      <w:r>
        <w:rPr>
          <w:rFonts w:hint="eastAsia" w:cs="Times New Roman"/>
          <w:sz w:val="20"/>
        </w:rPr>
        <w:t>d</w:t>
      </w:r>
      <w:r>
        <w:rPr>
          <w:rFonts w:cs="Times New Roman"/>
          <w:sz w:val="20"/>
        </w:rPr>
        <w:t>ispersive liquid–l</w:t>
      </w:r>
      <w:r>
        <w:rPr>
          <w:rFonts w:hint="eastAsia" w:cs="Times New Roman"/>
          <w:sz w:val="20"/>
          <w:lang w:val="en-US" w:eastAsia="zh-CN"/>
        </w:rPr>
        <w:t>i</w:t>
      </w:r>
      <w:r>
        <w:rPr>
          <w:rFonts w:cs="Times New Roman"/>
          <w:sz w:val="20"/>
        </w:rPr>
        <w:t>quid micro-extraction (DLLME) coupled with</w:t>
      </w:r>
      <w:r>
        <w:rPr>
          <w:rFonts w:hint="eastAsia" w:cs="Times New Roman"/>
          <w:sz w:val="20"/>
        </w:rPr>
        <w:t xml:space="preserve"> </w:t>
      </w:r>
      <w:r>
        <w:rPr>
          <w:rFonts w:cs="Times New Roman"/>
          <w:sz w:val="20"/>
        </w:rPr>
        <w:t>gas chromatography</w:t>
      </w:r>
      <w:r>
        <w:rPr>
          <w:rFonts w:hint="eastAsia" w:cs="Times New Roman"/>
          <w:sz w:val="20"/>
        </w:rPr>
        <w:t>-</w:t>
      </w:r>
      <w:r>
        <w:rPr>
          <w:rFonts w:hint="eastAsia" w:cs="Times New Roman"/>
          <w:sz w:val="20"/>
          <w:lang w:val="en-US" w:eastAsia="zh-CN"/>
        </w:rPr>
        <w:t xml:space="preserve">triple quadrupole tandem </w:t>
      </w:r>
      <w:r>
        <w:rPr>
          <w:rFonts w:cs="Times New Roman"/>
          <w:sz w:val="20"/>
        </w:rPr>
        <w:t xml:space="preserve">mass spectrometry </w:t>
      </w:r>
      <w:r>
        <w:rPr>
          <w:rFonts w:hint="eastAsia" w:cs="Times New Roman"/>
          <w:sz w:val="20"/>
        </w:rPr>
        <w:t xml:space="preserve">(GC-MS/MS) </w:t>
      </w:r>
      <w:r>
        <w:rPr>
          <w:rFonts w:cs="Times New Roman"/>
          <w:sz w:val="20"/>
        </w:rPr>
        <w:t>for det</w:t>
      </w:r>
      <w:r>
        <w:rPr>
          <w:rFonts w:hint="eastAsia" w:cs="Times New Roman"/>
          <w:sz w:val="20"/>
        </w:rPr>
        <w:t>ermining</w:t>
      </w:r>
      <w:r>
        <w:rPr>
          <w:rFonts w:cs="Times New Roman"/>
          <w:sz w:val="20"/>
        </w:rPr>
        <w:t xml:space="preserve"> </w:t>
      </w:r>
      <w:r>
        <w:rPr>
          <w:rFonts w:hAnsi="Arial" w:cs="Times New Roman"/>
          <w:sz w:val="20"/>
        </w:rPr>
        <w:t>p</w:t>
      </w:r>
      <w:r>
        <w:rPr>
          <w:rFonts w:cs="Times New Roman"/>
          <w:sz w:val="20"/>
        </w:rPr>
        <w:t>olybrominated diphenyl ethers</w:t>
      </w:r>
      <w:r>
        <w:rPr>
          <w:rFonts w:hint="eastAsia" w:cs="Times New Roman"/>
          <w:sz w:val="20"/>
        </w:rPr>
        <w:t xml:space="preserve"> (PBDEs)</w:t>
      </w:r>
      <w:r>
        <w:rPr>
          <w:rFonts w:cs="Times New Roman"/>
          <w:sz w:val="20"/>
        </w:rPr>
        <w:t xml:space="preserve"> in vegetables</w:t>
      </w:r>
    </w:p>
    <w:p>
      <w:pPr>
        <w:spacing w:line="480" w:lineRule="auto"/>
        <w:ind w:firstLine="0" w:firstLineChars="0"/>
        <w:jc w:val="left"/>
        <w:rPr>
          <w:rFonts w:cs="Times New Roman"/>
          <w:sz w:val="21"/>
          <w:szCs w:val="21"/>
        </w:rPr>
      </w:pPr>
      <w:r>
        <w:rPr>
          <w:rFonts w:hint="eastAsia" w:cs="Times New Roman"/>
          <w:sz w:val="21"/>
          <w:szCs w:val="21"/>
        </w:rPr>
        <w:t>Sijie Xu</w:t>
      </w:r>
      <w:r>
        <w:rPr>
          <w:rFonts w:hint="eastAsia" w:cs="Times New Roman"/>
          <w:sz w:val="21"/>
          <w:szCs w:val="21"/>
          <w:vertAlign w:val="superscript"/>
        </w:rPr>
        <w:t>1,#</w:t>
      </w:r>
      <w:r>
        <w:rPr>
          <w:rFonts w:hint="eastAsia" w:cs="Times New Roman"/>
          <w:sz w:val="21"/>
          <w:szCs w:val="21"/>
        </w:rPr>
        <w:t>, Junxia Wang</w:t>
      </w:r>
      <w:r>
        <w:rPr>
          <w:rFonts w:hint="eastAsia" w:cs="Times New Roman"/>
          <w:sz w:val="21"/>
          <w:szCs w:val="21"/>
          <w:vertAlign w:val="superscript"/>
        </w:rPr>
        <w:t>1,#,</w:t>
      </w:r>
      <w:r>
        <w:rPr>
          <w:rFonts w:hint="eastAsia" w:cs="Times New Roman"/>
          <w:sz w:val="21"/>
          <w:szCs w:val="21"/>
        </w:rPr>
        <w:t>*, Dengxian Deng</w:t>
      </w:r>
      <w:r>
        <w:rPr>
          <w:rFonts w:hint="eastAsia" w:cs="Times New Roman"/>
          <w:sz w:val="21"/>
          <w:szCs w:val="21"/>
          <w:vertAlign w:val="superscript"/>
        </w:rPr>
        <w:t>1</w:t>
      </w:r>
      <w:r>
        <w:rPr>
          <w:rFonts w:hint="eastAsia" w:cs="Times New Roman"/>
          <w:sz w:val="21"/>
          <w:szCs w:val="21"/>
        </w:rPr>
        <w:t>, Xuedong Wang</w:t>
      </w:r>
      <w:r>
        <w:rPr>
          <w:rFonts w:hint="eastAsia" w:cs="Times New Roman"/>
          <w:sz w:val="21"/>
          <w:szCs w:val="21"/>
          <w:vertAlign w:val="superscript"/>
        </w:rPr>
        <w:t>1,2</w:t>
      </w:r>
      <w:r>
        <w:rPr>
          <w:rFonts w:hint="eastAsia" w:cs="Times New Roman"/>
          <w:sz w:val="21"/>
          <w:szCs w:val="21"/>
        </w:rPr>
        <w:t>*, Zhanen Zhang</w:t>
      </w:r>
      <w:r>
        <w:rPr>
          <w:rFonts w:hint="eastAsia" w:cs="Times New Roman"/>
          <w:sz w:val="21"/>
          <w:szCs w:val="21"/>
          <w:vertAlign w:val="superscript"/>
        </w:rPr>
        <w:t>1,</w:t>
      </w:r>
      <w:r>
        <w:rPr>
          <w:rFonts w:hint="eastAsia" w:cs="Times New Roman"/>
          <w:sz w:val="21"/>
          <w:szCs w:val="21"/>
        </w:rPr>
        <w:t>*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360" w:lineRule="auto"/>
        <w:ind w:firstLine="0" w:firstLineChars="0"/>
        <w:rPr>
          <w:rFonts w:cs="Times New Roman"/>
          <w:kern w:val="0"/>
          <w:sz w:val="21"/>
          <w:szCs w:val="21"/>
          <w:vertAlign w:val="superscript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360" w:lineRule="auto"/>
        <w:ind w:firstLine="0" w:firstLineChars="0"/>
        <w:rPr>
          <w:rFonts w:cs="Times New Roman"/>
          <w:kern w:val="0"/>
          <w:sz w:val="21"/>
          <w:szCs w:val="21"/>
        </w:rPr>
      </w:pPr>
      <w:r>
        <w:rPr>
          <w:rFonts w:cs="Times New Roman"/>
          <w:kern w:val="0"/>
          <w:sz w:val="21"/>
          <w:szCs w:val="21"/>
          <w:vertAlign w:val="superscript"/>
        </w:rPr>
        <w:t>1</w:t>
      </w:r>
      <w:r>
        <w:rPr>
          <w:rFonts w:hint="eastAsia" w:cs="Times New Roman"/>
          <w:kern w:val="0"/>
          <w:sz w:val="21"/>
          <w:szCs w:val="21"/>
          <w:vertAlign w:val="superscript"/>
        </w:rPr>
        <w:t xml:space="preserve"> </w:t>
      </w:r>
      <w:r>
        <w:rPr>
          <w:rFonts w:cs="Times New Roman"/>
          <w:kern w:val="0"/>
          <w:sz w:val="21"/>
          <w:szCs w:val="21"/>
        </w:rPr>
        <w:t>School of Environmental Science and Engineering, Suzhou University of Science and Technology, Suzhou, 215009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360" w:lineRule="auto"/>
        <w:ind w:firstLine="0" w:firstLineChars="0"/>
        <w:rPr>
          <w:rFonts w:cs="Times New Roman"/>
          <w:kern w:val="0"/>
          <w:sz w:val="21"/>
          <w:szCs w:val="21"/>
        </w:rPr>
      </w:pPr>
      <w:r>
        <w:rPr>
          <w:rFonts w:hint="eastAsia" w:cs="Times New Roman"/>
          <w:kern w:val="0"/>
          <w:sz w:val="21"/>
          <w:szCs w:val="21"/>
          <w:vertAlign w:val="superscript"/>
        </w:rPr>
        <w:t xml:space="preserve">2 </w:t>
      </w:r>
      <w:r>
        <w:rPr>
          <w:color w:val="000000"/>
          <w:sz w:val="21"/>
          <w:szCs w:val="21"/>
          <w:lang w:val="it-IT"/>
        </w:rPr>
        <w:t xml:space="preserve">Jiangsu Provincial Key Laboratory of Environmental Science and Engineering, </w:t>
      </w:r>
      <w:r>
        <w:rPr>
          <w:rFonts w:cs="Times New Roman"/>
          <w:kern w:val="0"/>
          <w:sz w:val="21"/>
          <w:szCs w:val="21"/>
        </w:rPr>
        <w:t>Suzhou University of Science and Technology, Suzhou, 215009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360" w:lineRule="auto"/>
        <w:ind w:firstLine="0" w:firstLineChars="0"/>
        <w:rPr>
          <w:rFonts w:cs="Times New Roman"/>
          <w:kern w:val="0"/>
          <w:sz w:val="21"/>
          <w:szCs w:val="21"/>
        </w:rPr>
      </w:pPr>
    </w:p>
    <w:p>
      <w:pPr>
        <w:spacing w:line="480" w:lineRule="auto"/>
        <w:ind w:firstLine="0" w:firstLineChars="0"/>
        <w:rPr>
          <w:rFonts w:cs="Times New Roman"/>
          <w:sz w:val="21"/>
          <w:szCs w:val="21"/>
        </w:rPr>
      </w:pPr>
      <w:r>
        <w:rPr>
          <w:rFonts w:hint="eastAsia" w:cs="Times New Roman"/>
          <w:sz w:val="21"/>
          <w:szCs w:val="21"/>
        </w:rPr>
        <w:t># Co-first author</w:t>
      </w:r>
    </w:p>
    <w:p>
      <w:pPr>
        <w:spacing w:line="480" w:lineRule="auto"/>
        <w:ind w:firstLine="0" w:firstLineChars="0"/>
        <w:rPr>
          <w:sz w:val="21"/>
          <w:szCs w:val="21"/>
        </w:rPr>
      </w:pPr>
      <w:r>
        <w:rPr>
          <w:rFonts w:hint="eastAsia" w:cs="Times New Roman"/>
          <w:sz w:val="21"/>
          <w:szCs w:val="21"/>
        </w:rPr>
        <w:t>* Corresponding authors:</w:t>
      </w:r>
      <w:r>
        <w:rPr>
          <w:sz w:val="21"/>
          <w:szCs w:val="21"/>
        </w:rPr>
        <w:t xml:space="preserve"> wjx_7297@163.com </w:t>
      </w:r>
      <w:r>
        <w:rPr>
          <w:rFonts w:hint="eastAsia"/>
          <w:sz w:val="21"/>
          <w:szCs w:val="21"/>
        </w:rPr>
        <w:t>and zjuwxd@163.com</w:t>
      </w:r>
    </w:p>
    <w:p>
      <w:pPr>
        <w:autoSpaceDE w:val="0"/>
        <w:autoSpaceDN w:val="0"/>
        <w:adjustRightInd w:val="0"/>
        <w:spacing w:line="360" w:lineRule="auto"/>
        <w:ind w:left="-1" w:leftChars="-2" w:hanging="4" w:hangingChars="2"/>
        <w:rPr>
          <w:color w:val="000000"/>
          <w:sz w:val="21"/>
          <w:szCs w:val="21"/>
          <w:lang w:val="it-IT"/>
        </w:rPr>
      </w:pPr>
      <w:r>
        <w:rPr>
          <w:color w:val="000000"/>
          <w:sz w:val="21"/>
          <w:szCs w:val="21"/>
          <w:lang w:val="it-IT"/>
        </w:rPr>
        <w:t xml:space="preserve">Jiangsu Provincial Key Laboratory of Environmental Science and Engineering, </w:t>
      </w:r>
      <w:r>
        <w:rPr>
          <w:rFonts w:hint="eastAsia"/>
          <w:color w:val="000000"/>
          <w:sz w:val="21"/>
          <w:szCs w:val="21"/>
        </w:rPr>
        <w:t xml:space="preserve">School </w:t>
      </w:r>
      <w:r>
        <w:rPr>
          <w:color w:val="000000"/>
          <w:sz w:val="21"/>
          <w:szCs w:val="21"/>
          <w:lang w:val="it-IT"/>
        </w:rPr>
        <w:t>of Environmental Science and Engineering, Suzhou University of Science and Technology, No.</w:t>
      </w:r>
      <w:r>
        <w:rPr>
          <w:rFonts w:hint="eastAsia"/>
          <w:color w:val="000000"/>
          <w:sz w:val="21"/>
          <w:szCs w:val="21"/>
          <w:lang w:val="en-US" w:eastAsia="zh-CN"/>
        </w:rPr>
        <w:t xml:space="preserve"> </w:t>
      </w:r>
      <w:r>
        <w:rPr>
          <w:color w:val="000000"/>
          <w:sz w:val="21"/>
          <w:szCs w:val="21"/>
          <w:lang w:val="it-IT"/>
        </w:rPr>
        <w:t xml:space="preserve">99, Xuefu Road, Suzhou 215009, China </w:t>
      </w:r>
    </w:p>
    <w:p>
      <w:pPr>
        <w:spacing w:line="480" w:lineRule="auto"/>
        <w:ind w:firstLine="0" w:firstLineChars="0"/>
        <w:rPr>
          <w:rFonts w:cs="Times New Roman"/>
          <w:b/>
          <w:sz w:val="20"/>
        </w:rPr>
      </w:pPr>
    </w:p>
    <w:p>
      <w:pPr>
        <w:rPr>
          <w:rFonts w:cs="Times New Roman"/>
          <w:b/>
          <w:sz w:val="20"/>
        </w:rPr>
      </w:pPr>
    </w:p>
    <w:p>
      <w:pPr>
        <w:spacing w:line="480" w:lineRule="auto"/>
        <w:ind w:firstLine="402"/>
        <w:jc w:val="center"/>
        <w:rPr>
          <w:rFonts w:cs="Times New Roman"/>
          <w:b/>
          <w:sz w:val="20"/>
        </w:rPr>
      </w:pPr>
    </w:p>
    <w:p>
      <w:pPr>
        <w:rPr>
          <w:rFonts w:cs="Times New Roman"/>
          <w:b/>
          <w:sz w:val="20"/>
        </w:rPr>
      </w:pPr>
      <w:r>
        <w:rPr>
          <w:rFonts w:cs="Times New Roman"/>
          <w:b/>
          <w:sz w:val="20"/>
        </w:rPr>
        <w:br w:type="page"/>
      </w:r>
    </w:p>
    <w:p>
      <w:pPr>
        <w:spacing w:line="480" w:lineRule="auto"/>
        <w:ind w:firstLine="402"/>
        <w:jc w:val="center"/>
        <w:rPr>
          <w:rFonts w:cs="Times New Roman"/>
          <w:b w:val="0"/>
          <w:bCs/>
          <w:sz w:val="20"/>
        </w:rPr>
      </w:pPr>
      <w:r>
        <w:rPr>
          <w:rFonts w:cs="Times New Roman"/>
          <w:b/>
          <w:sz w:val="20"/>
        </w:rPr>
        <w:t xml:space="preserve">Table </w:t>
      </w:r>
      <w:r>
        <w:rPr>
          <w:rFonts w:hint="eastAsia" w:cs="Times New Roman"/>
          <w:b/>
          <w:sz w:val="20"/>
          <w:lang w:val="en-US" w:eastAsia="zh-CN"/>
        </w:rPr>
        <w:t>S</w:t>
      </w:r>
      <w:r>
        <w:rPr>
          <w:rFonts w:cs="Times New Roman"/>
          <w:b/>
          <w:sz w:val="20"/>
        </w:rPr>
        <w:t>1</w:t>
      </w:r>
      <w:r>
        <w:rPr>
          <w:rFonts w:cs="Times New Roman"/>
          <w:b w:val="0"/>
          <w:bCs/>
          <w:sz w:val="20"/>
        </w:rPr>
        <w:t xml:space="preserve"> Monitored ions (quantity and quality ions) and Collision energy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94"/>
        <w:gridCol w:w="999"/>
        <w:gridCol w:w="2066"/>
        <w:gridCol w:w="216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134" w:type="dxa"/>
            <w:tcBorders>
              <w:tl2br w:val="nil"/>
              <w:tr2bl w:val="nil"/>
            </w:tcBorders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Analytes</w:t>
            </w:r>
          </w:p>
        </w:tc>
        <w:tc>
          <w:tcPr>
            <w:tcW w:w="1194" w:type="dxa"/>
            <w:tcBorders>
              <w:tl2br w:val="nil"/>
              <w:tr2bl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Precursor</w:t>
            </w:r>
          </w:p>
        </w:tc>
        <w:tc>
          <w:tcPr>
            <w:tcW w:w="999" w:type="dxa"/>
            <w:tcBorders>
              <w:tl2br w:val="nil"/>
              <w:tr2bl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Product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Collision energy(eV)</w:t>
            </w:r>
          </w:p>
        </w:tc>
        <w:tc>
          <w:tcPr>
            <w:tcW w:w="2164" w:type="dxa"/>
            <w:tcBorders>
              <w:tl2br w:val="nil"/>
              <w:tr2bl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Retention time(min)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4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BDE-28</w:t>
            </w:r>
          </w:p>
        </w:tc>
        <w:tc>
          <w:tcPr>
            <w:tcW w:w="1194" w:type="dxa"/>
            <w:tcBorders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246.0</w:t>
            </w:r>
          </w:p>
        </w:tc>
        <w:tc>
          <w:tcPr>
            <w:tcW w:w="999" w:type="dxa"/>
            <w:tcBorders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139.0</w:t>
            </w:r>
          </w:p>
        </w:tc>
        <w:tc>
          <w:tcPr>
            <w:tcW w:w="2066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30.0</w:t>
            </w:r>
          </w:p>
        </w:tc>
        <w:tc>
          <w:tcPr>
            <w:tcW w:w="2164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  <w:t>6.43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134" w:type="dxa"/>
            <w:vMerge w:val="continue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405.8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245.9</w:t>
            </w:r>
          </w:p>
        </w:tc>
        <w:tc>
          <w:tcPr>
            <w:tcW w:w="2066" w:type="dxa"/>
            <w:vMerge w:val="continue"/>
            <w:tcBorders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164" w:type="dxa"/>
            <w:vMerge w:val="continue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BDE-47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327.0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218.2</w:t>
            </w:r>
          </w:p>
        </w:tc>
        <w:tc>
          <w:tcPr>
            <w:tcW w:w="2066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30.0</w:t>
            </w:r>
          </w:p>
        </w:tc>
        <w:tc>
          <w:tcPr>
            <w:tcW w:w="2164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  <w:t>8.04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134" w:type="dxa"/>
            <w:vMerge w:val="continue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485.6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325.9</w:t>
            </w:r>
          </w:p>
        </w:tc>
        <w:tc>
          <w:tcPr>
            <w:tcW w:w="2066" w:type="dxa"/>
            <w:vMerge w:val="continue"/>
            <w:tcBorders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164" w:type="dxa"/>
            <w:vMerge w:val="continue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BDE-100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563.6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403.8</w:t>
            </w:r>
          </w:p>
        </w:tc>
        <w:tc>
          <w:tcPr>
            <w:tcW w:w="2066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30.0</w:t>
            </w:r>
          </w:p>
        </w:tc>
        <w:tc>
          <w:tcPr>
            <w:tcW w:w="2164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  <w:t>9.45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134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403.8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296.7</w:t>
            </w:r>
          </w:p>
        </w:tc>
        <w:tc>
          <w:tcPr>
            <w:tcW w:w="2066" w:type="dxa"/>
            <w:vMerge w:val="continue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164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134" w:type="dxa"/>
            <w:vMerge w:val="continue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405.8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296.6</w:t>
            </w:r>
          </w:p>
        </w:tc>
        <w:tc>
          <w:tcPr>
            <w:tcW w:w="2066" w:type="dxa"/>
            <w:vMerge w:val="continue"/>
            <w:tcBorders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164" w:type="dxa"/>
            <w:vMerge w:val="continue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BDE-99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405.8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405.7</w:t>
            </w:r>
          </w:p>
        </w:tc>
        <w:tc>
          <w:tcPr>
            <w:tcW w:w="2066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20.0</w:t>
            </w:r>
          </w:p>
        </w:tc>
        <w:tc>
          <w:tcPr>
            <w:tcW w:w="2164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  <w:t>9.95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134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563.6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403.6</w:t>
            </w:r>
          </w:p>
        </w:tc>
        <w:tc>
          <w:tcPr>
            <w:tcW w:w="2066" w:type="dxa"/>
            <w:vMerge w:val="continue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164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134" w:type="dxa"/>
            <w:vMerge w:val="continue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403.8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296.7</w:t>
            </w:r>
          </w:p>
        </w:tc>
        <w:tc>
          <w:tcPr>
            <w:tcW w:w="2066" w:type="dxa"/>
            <w:vMerge w:val="continue"/>
            <w:tcBorders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164" w:type="dxa"/>
            <w:vMerge w:val="continue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BDE-154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483.7</w:t>
            </w:r>
          </w:p>
        </w:tc>
        <w:tc>
          <w:tcPr>
            <w:tcW w:w="999" w:type="dxa"/>
            <w:tcBorders>
              <w:top w:val="nil"/>
              <w:bottom w:val="nil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483.7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30.0</w:t>
            </w:r>
          </w:p>
        </w:tc>
        <w:tc>
          <w:tcPr>
            <w:tcW w:w="2164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  <w:t>11.20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134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485.7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485.7</w:t>
            </w:r>
          </w:p>
        </w:tc>
        <w:tc>
          <w:tcPr>
            <w:tcW w:w="2066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30.0</w:t>
            </w:r>
          </w:p>
        </w:tc>
        <w:tc>
          <w:tcPr>
            <w:tcW w:w="2164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134" w:type="dxa"/>
            <w:vMerge w:val="continue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643.6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482.9</w:t>
            </w:r>
          </w:p>
        </w:tc>
        <w:tc>
          <w:tcPr>
            <w:tcW w:w="2066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40.0</w:t>
            </w:r>
          </w:p>
        </w:tc>
        <w:tc>
          <w:tcPr>
            <w:tcW w:w="2164" w:type="dxa"/>
            <w:vMerge w:val="continue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BDE-153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485.7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485.5</w:t>
            </w:r>
          </w:p>
        </w:tc>
        <w:tc>
          <w:tcPr>
            <w:tcW w:w="2066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30.0</w:t>
            </w:r>
          </w:p>
        </w:tc>
        <w:tc>
          <w:tcPr>
            <w:tcW w:w="2164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  <w:t>11.92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134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643.6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482.9</w:t>
            </w:r>
          </w:p>
        </w:tc>
        <w:tc>
          <w:tcPr>
            <w:tcW w:w="2066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35.0</w:t>
            </w:r>
          </w:p>
        </w:tc>
        <w:tc>
          <w:tcPr>
            <w:tcW w:w="2164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134" w:type="dxa"/>
            <w:vMerge w:val="continue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641.6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480.9</w:t>
            </w:r>
          </w:p>
        </w:tc>
        <w:tc>
          <w:tcPr>
            <w:tcW w:w="2066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35.0</w:t>
            </w:r>
          </w:p>
        </w:tc>
        <w:tc>
          <w:tcPr>
            <w:tcW w:w="2164" w:type="dxa"/>
            <w:vMerge w:val="continue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BDE-183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721.3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563.6</w:t>
            </w:r>
          </w:p>
        </w:tc>
        <w:tc>
          <w:tcPr>
            <w:tcW w:w="2066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30.0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164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  <w:t>14.12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134" w:type="dxa"/>
            <w:vMerge w:val="continue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563.6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403.6</w:t>
            </w:r>
          </w:p>
        </w:tc>
        <w:tc>
          <w:tcPr>
            <w:tcW w:w="2066" w:type="dxa"/>
            <w:vMerge w:val="continue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164" w:type="dxa"/>
            <w:vMerge w:val="continue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134" w:type="dxa"/>
            <w:vMerge w:val="continue"/>
            <w:tcBorders>
              <w:bottom w:val="nil"/>
            </w:tcBorders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561.6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  <w:t>561.1</w:t>
            </w:r>
          </w:p>
        </w:tc>
        <w:tc>
          <w:tcPr>
            <w:tcW w:w="2066" w:type="dxa"/>
            <w:vMerge w:val="continue"/>
            <w:tcBorders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164" w:type="dxa"/>
            <w:vMerge w:val="continue"/>
            <w:tcBorders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  <w:t>13C-PCB141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  <w:t>372.0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  <w:t>302.0</w:t>
            </w:r>
          </w:p>
        </w:tc>
        <w:tc>
          <w:tcPr>
            <w:tcW w:w="2066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  <w:t>30.0</w:t>
            </w:r>
          </w:p>
        </w:tc>
        <w:tc>
          <w:tcPr>
            <w:tcW w:w="2164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  <w:t>6.79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34" w:type="dxa"/>
            <w:vMerge w:val="continue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94" w:type="dxa"/>
            <w:tcBorders>
              <w:top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  <w:t>374.0</w:t>
            </w:r>
          </w:p>
        </w:tc>
        <w:tc>
          <w:tcPr>
            <w:tcW w:w="999" w:type="dxa"/>
            <w:tcBorders>
              <w:top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  <w:lang w:val="en-US" w:eastAsia="zh-CN"/>
              </w:rPr>
              <w:t>302.0</w:t>
            </w:r>
          </w:p>
        </w:tc>
        <w:tc>
          <w:tcPr>
            <w:tcW w:w="2066" w:type="dxa"/>
            <w:vMerge w:val="continue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164" w:type="dxa"/>
            <w:vMerge w:val="continue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shd w:val="clear" w:color="auto" w:fill="FFFFFF"/>
              </w:rPr>
            </w:pPr>
          </w:p>
        </w:tc>
      </w:tr>
    </w:tbl>
    <w:p>
      <w:pPr>
        <w:spacing w:line="480" w:lineRule="auto"/>
        <w:ind w:firstLine="402"/>
        <w:jc w:val="center"/>
        <w:rPr>
          <w:rFonts w:cs="Times New Roman"/>
          <w:b w:val="0"/>
          <w:bCs/>
          <w:sz w:val="20"/>
        </w:rPr>
      </w:pPr>
    </w:p>
    <w:p>
      <w:r>
        <w:br w:type="page"/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lang w:val="en-US" w:eastAsia="zh-CN"/>
        </w:rPr>
      </w:pPr>
      <w:r>
        <w:rPr>
          <w:rFonts w:cs="Times New Roman"/>
          <w:sz w:val="20"/>
        </w:rPr>
        <w:drawing>
          <wp:inline distT="0" distB="0" distL="114300" distR="114300">
            <wp:extent cx="4462780" cy="3307715"/>
            <wp:effectExtent l="0" t="0" r="13970" b="6985"/>
            <wp:docPr id="2" name="图片 2" descr="对比色谱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对比色谱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62780" cy="330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Figure S1 </w:t>
      </w:r>
      <w:r>
        <w:rPr>
          <w:rFonts w:hint="eastAsia"/>
          <w:lang w:val="en-US" w:eastAsia="zh-CN"/>
        </w:rPr>
        <w:t>The GC-MS/MS results of PBDEs in only MSPD process(blue) and MSPD- DLLME process (red)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4MjY2ZmI5MWE2MWIyZDMyMjA4ZWEyMDY0OWM5ZWUifQ=="/>
  </w:docVars>
  <w:rsids>
    <w:rsidRoot w:val="4DB57490"/>
    <w:rsid w:val="4DB57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640" w:firstLineChars="200"/>
      <w:jc w:val="both"/>
    </w:pPr>
    <w:rPr>
      <w:rFonts w:ascii="Times New Roman" w:hAnsi="Times New Roman" w:eastAsia="宋体" w:cstheme="minorBidi"/>
      <w:kern w:val="2"/>
      <w:sz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2022-09-02T18:02:00Z</dcterms:created>
  <dc:creator>Administrator</dc:creator>
  <cp:lastModifiedBy>Administrator</cp:lastModifiedBy>
  <dcterms:modified xsi:type="dcterms:W3CDTF">2022-09-02T18:08:15Z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DAA88A05857241FBA6B2A13480A0D745</vt:lpwstr>
  </property>
</Properties>
</file>