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687" w:hanging="1687" w:hangingChars="600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igures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Legends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>
      <w:pPr>
        <w:ind w:left="1687" w:hanging="1687" w:hangingChars="600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72405" cy="8237220"/>
            <wp:effectExtent l="0" t="0" r="635" b="7620"/>
            <wp:docPr id="7" name="图片 7" descr="supplementary Figure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3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 xml:space="preserve">Figure S1. circSLC38A1 contributes less effect on BC cells proliferation.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The principal component analysis (PCA) disclosed that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BC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tissues and corresponding adjacent nontumorous tissues</w:t>
      </w:r>
      <w:r>
        <w:rPr>
          <w:rFonts w:ascii="Times New Roman" w:hAnsi="Times New Roman" w:eastAsia="宋体" w:cs="Times New Roman"/>
          <w:sz w:val="24"/>
          <w:szCs w:val="24"/>
        </w:rPr>
        <w:t xml:space="preserve"> could be differentiated by the RNA expression profile.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Relative RNA level of circSLC38A1 and linear SLC38A1 treated with RNase R.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Schematic view of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the pLCDH-ciR vector used to construct the circSLC38A1 overexpression plasmid.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FISH with junction-specific probe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was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used to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detect the knockdown effect of circSLC38A1 siRNA;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scale bar: 25 μm.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levels of circSLC38A1 and SLC38A1 mRNA in 5637 cells treated with circSLC38A1 si-circSLC38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1 or si-NC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levels of circSLC38A1 and SLC38A1 mRNA in J82 cells after transduction with circSLC38A1 overexpression plasmid or vector plasmid.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Left,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EdU assays to detect proliferation of circSLC38A1-knockdown T24 cells and circSLC38A1 overexpressed UM-UC-3 cells. Right, quantitative analysis of EdU assays.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cell viability of BC cell lines was detected by CCK8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respective</w:t>
      </w:r>
      <w:r>
        <w:rPr>
          <w:rFonts w:ascii="Times New Roman" w:hAnsi="Times New Roman" w:cs="Times New Roman"/>
          <w:sz w:val="24"/>
          <w:szCs w:val="24"/>
        </w:rPr>
        <w:t xml:space="preserve"> cell lines.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Data are presented as means ± standard deviation from three independent experiments. 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0.05, 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0.001, ****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  <w:tab/>
      </w:r>
      <w:r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  <w:drawing>
          <wp:inline distT="0" distB="0" distL="114300" distR="114300">
            <wp:extent cx="5269230" cy="6725285"/>
            <wp:effectExtent l="0" t="0" r="3810" b="10795"/>
            <wp:docPr id="2" name="图片 2" descr="supplementary Figure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 xml:space="preserve">Figure S2. circSLC38A1 promotes migration and invasion capacities of BC cells in vitro.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 xml:space="preserve">Transwell migration and matrigel invasion assays showed that increased cell invasion in circSLC38A1 overexpression T24 cells. Scale bar, 25µm.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ranswell migration and matrigel invasion assay show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that decreased cell invasion in circSLC38A1 knockdown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5637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cells. Scale bar, 25µm.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ranswell migration and matrigel invasion assay show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that increased cell invasion in circSLC38A1 overexpression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J82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cells. Scale bar, 25µm.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uantitative diagram of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expression levels of E-cadherin, N-cadherin, Vimentin and snail in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circSLC38A1 deficient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T24</w:t>
      </w:r>
      <w:r>
        <w:rPr>
          <w:rFonts w:ascii="Times New Roman" w:hAnsi="Times New Roman" w:cs="Times New Roman"/>
          <w:sz w:val="24"/>
          <w:szCs w:val="24"/>
        </w:rPr>
        <w:t xml:space="preserve"> cells with or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circSLC38A1</w:t>
      </w:r>
      <w:r>
        <w:rPr>
          <w:rFonts w:hint="eastAsia" w:ascii="Times New Roman" w:hAnsi="Times New Roman" w:cs="Times New Roman"/>
          <w:sz w:val="24"/>
          <w:szCs w:val="24"/>
        </w:rPr>
        <w:t xml:space="preserve"> overexpressed UM-UC-3 cells measured by western blot.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expression levels of E-cadherin, N-cadherin, Vimentin and snail in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circSLC38A1 deficient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5637</w:t>
      </w:r>
      <w:r>
        <w:rPr>
          <w:rFonts w:ascii="Times New Roman" w:hAnsi="Times New Roman" w:cs="Times New Roman"/>
          <w:sz w:val="24"/>
          <w:szCs w:val="24"/>
        </w:rPr>
        <w:t xml:space="preserve"> cells with or </w:t>
      </w:r>
      <w:r>
        <w:rPr>
          <w:rFonts w:hint="eastAsia"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circSLC38A1</w:t>
      </w:r>
      <w:r>
        <w:rPr>
          <w:rFonts w:hint="eastAsia" w:ascii="Times New Roman" w:hAnsi="Times New Roman" w:cs="Times New Roman"/>
          <w:sz w:val="24"/>
          <w:szCs w:val="24"/>
        </w:rPr>
        <w:t xml:space="preserve"> overexpressed J82 cells</w:t>
      </w:r>
      <w:r>
        <w:rPr>
          <w:rFonts w:ascii="Times New Roman" w:hAnsi="Times New Roman" w:cs="Times New Roman"/>
          <w:sz w:val="24"/>
          <w:szCs w:val="24"/>
        </w:rPr>
        <w:t xml:space="preserve"> were detected by western blot.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 experiments were repeated independently three times. Data are presented as means ± SD.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0.0001.</w:t>
      </w:r>
    </w:p>
    <w:p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drawing>
          <wp:inline distT="0" distB="0" distL="114300" distR="114300">
            <wp:extent cx="5273675" cy="3329940"/>
            <wp:effectExtent l="0" t="0" r="14605" b="7620"/>
            <wp:docPr id="3" name="图片 3" descr="supplementary Figure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.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Figure S3. circSLCA1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contributes less effect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on the proliferation of BC in vivo.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Expression of circSLC38A1 was detected via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qRT-PCR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xenograft generated from BC cells infected with sh-NC and sh-circSLC38A1 vectors.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cell viability of T24 cell lines transfected with s</w:t>
      </w:r>
      <w:r>
        <w:rPr>
          <w:rFonts w:hint="eastAsia"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>NC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wild type T24 cells</w:t>
      </w:r>
      <w:r>
        <w:rPr>
          <w:rFonts w:ascii="Times New Roman" w:hAnsi="Times New Roman" w:cs="Times New Roman"/>
          <w:sz w:val="24"/>
          <w:szCs w:val="24"/>
        </w:rPr>
        <w:t xml:space="preserve"> were recorded by RTCA system.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epresentative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ki67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staining of lung metastatic lesion through vein tail injection of circSLC38A1-NC BC cells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or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circSLC38A1-konckdown BC cells.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are presented as means ± SD.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  <w:drawing>
          <wp:inline distT="0" distB="0" distL="114300" distR="114300">
            <wp:extent cx="5272405" cy="6230620"/>
            <wp:effectExtent l="0" t="0" r="635" b="2540"/>
            <wp:docPr id="4" name="图片 4" descr="supplementary Figure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4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. CircSLC38A1 interacted with ILF3 protein.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I</w:t>
      </w:r>
      <w:r>
        <w:rPr>
          <w:rFonts w:ascii="Times New Roman" w:hAnsi="Times New Roman" w:eastAsia="宋体" w:cs="Times New Roman"/>
          <w:bCs/>
          <w:sz w:val="24"/>
          <w:szCs w:val="24"/>
        </w:rPr>
        <w:t>m</w:t>
      </w:r>
      <w:r>
        <w:rPr>
          <w:rFonts w:ascii="Times New Roman" w:hAnsi="Times New Roman" w:eastAsia="宋体" w:cs="Times New Roman"/>
          <w:sz w:val="24"/>
          <w:szCs w:val="24"/>
        </w:rPr>
        <w:t>munofluorescence staining for ILF3 protein showed that ILF3 mostly located at nucleus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scale bar: 25 μm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 xml:space="preserve"> The gene expression profile showed ILF3 was overexpressed in mostly tumor samples.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Expression levels of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ILF3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15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paired BC and adjacent normal tissues were detected by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qRT-PCR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=0.0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Highly expression of ILF3 correlated with shorter disease-free survival time in BC.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efficacy of three siRNAs targeting ILF3 was detected by qRT-PCR and western blot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in UM-UC-3 cells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ranswell migration and matrigel invasion assay show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that decreased cell invasion in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ILF3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knockdown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UM-UC-3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h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expression levels of ILF3 mRNA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with circSLC38A1 overexpression or circSLC38A1 deficient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BC cells</w:t>
      </w:r>
      <w:r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were</w:t>
      </w:r>
      <w:r>
        <w:rPr>
          <w:rFonts w:ascii="Times New Roman" w:hAnsi="Times New Roman" w:eastAsia="宋体" w:cs="Times New Roman"/>
          <w:sz w:val="24"/>
          <w:szCs w:val="24"/>
        </w:rPr>
        <w:t xml:space="preserve"> detected by qRT-PCR.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uantitative diagram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protein of </w:t>
      </w:r>
      <w:r>
        <w:rPr>
          <w:rFonts w:ascii="Times New Roman" w:hAnsi="Times New Roman" w:cs="Times New Roman"/>
          <w:sz w:val="24"/>
          <w:szCs w:val="24"/>
        </w:rPr>
        <w:t>E-cadherin,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Vimentin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snail</w:t>
      </w:r>
      <w:r>
        <w:rPr>
          <w:rFonts w:hint="eastAsia" w:ascii="Times New Roman" w:hAnsi="Times New Roman" w:cs="Times New Roman"/>
          <w:sz w:val="24"/>
          <w:szCs w:val="24"/>
        </w:rPr>
        <w:t xml:space="preserve"> and ILF3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UM-UC-3 cells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transfected with the indicated constructs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Data represent mean ± S.D. from three independent experiments;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0.0001.</w:t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eastAsia="zh-CN"/>
        </w:rPr>
        <w:drawing>
          <wp:inline distT="0" distB="0" distL="114300" distR="114300">
            <wp:extent cx="5269230" cy="6678295"/>
            <wp:effectExtent l="0" t="0" r="3810" b="12065"/>
            <wp:docPr id="5" name="图片 5" descr="supplementary Figure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5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. Determined the downstream targets of circSLC38A1-ILF3 complex by integrating analysis of CUT&amp;Tag-seq and RNA-seq data.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Venn diagram demonstrating the overlapped peaks </w:t>
      </w:r>
      <w:r>
        <w:rPr>
          <w:rFonts w:ascii="Times New Roman" w:hAnsi="Times New Roman" w:eastAsia="宋体" w:cs="Times New Roman"/>
          <w:sz w:val="24"/>
          <w:szCs w:val="24"/>
        </w:rPr>
        <w:t>enriched by ILF3 protein in the si-circSLC38A1</w:t>
      </w:r>
      <w:r>
        <w:rPr>
          <w:rFonts w:hint="eastAsia" w:ascii="Times New Roman" w:hAnsi="Times New Roman" w:eastAsia="宋体" w:cs="Times New Roman"/>
          <w:sz w:val="24"/>
          <w:szCs w:val="24"/>
        </w:rPr>
        <w:t>#2</w:t>
      </w:r>
      <w:r>
        <w:rPr>
          <w:rFonts w:ascii="Times New Roman" w:hAnsi="Times New Roman" w:eastAsia="宋体" w:cs="Times New Roman"/>
          <w:sz w:val="24"/>
          <w:szCs w:val="24"/>
        </w:rPr>
        <w:t xml:space="preserve"> group and the control group.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Pie chart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showing the distribution of identified peaks in si-circSLC38A1</w:t>
      </w:r>
      <w:r>
        <w:rPr>
          <w:rFonts w:hint="eastAsia" w:ascii="Times New Roman" w:hAnsi="Times New Roman" w:cs="Times New Roman"/>
          <w:sz w:val="24"/>
          <w:szCs w:val="24"/>
        </w:rPr>
        <w:t>#2</w:t>
      </w:r>
      <w:r>
        <w:rPr>
          <w:rFonts w:ascii="Times New Roman" w:hAnsi="Times New Roman" w:cs="Times New Roman"/>
          <w:sz w:val="24"/>
          <w:szCs w:val="24"/>
        </w:rPr>
        <w:t xml:space="preserve"> and si-NC group. </w:t>
      </w:r>
      <w:r>
        <w:rPr>
          <w:rFonts w:ascii="Times New Roman" w:hAnsi="Times New Roman" w:eastAsia="宋体" w:cs="Times New Roman"/>
          <w:sz w:val="24"/>
          <w:szCs w:val="24"/>
        </w:rPr>
        <w:t xml:space="preserve">The sequences around CUT&amp;Tag-seq peaks were highly conserved, and the peaks were frequent in promoters, introns, and intergenic regions.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c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principal component analysis (PCA) disclosed that si-circSLC38A1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#2 </w:t>
      </w:r>
      <w:r>
        <w:rPr>
          <w:rFonts w:ascii="Times New Roman" w:hAnsi="Times New Roman" w:eastAsia="宋体" w:cs="Times New Roman"/>
          <w:sz w:val="24"/>
          <w:szCs w:val="24"/>
        </w:rPr>
        <w:t xml:space="preserve">group and controls could be differentiated by the RNA expression profile.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Volcano plot of RNA expression, </w:t>
      </w:r>
      <w:r>
        <w:rPr>
          <w:rFonts w:ascii="Times New Roman" w:hAnsi="Times New Roman" w:eastAsia="宋体" w:cs="Times New Roman"/>
          <w:sz w:val="24"/>
          <w:szCs w:val="24"/>
        </w:rPr>
        <w:t>a total of 912 dysregulated RNAs were identified between circSLC38A1 deficient group and control group, of which 405 were upregulated and 507 RNAs were downregulated.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Venn diagram demonstrating the overlap of downregulated genes between CUT&amp;Tag-seq and RNA-seq.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Right: the IGV show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ing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CUT&amp;Tag signals of ILF3 at the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NEK7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gene loci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NEK7 server as negative control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Left: quantitative diagram of the degree of enrichment of ILF3 signal on the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NEK7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promoter.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Relative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expression levels of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NOG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T24 cells treated with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ILF3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siRNA or corresponding negative control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were measured by qRT-PCR.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uantitative diagram of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levels of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GF-β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T24 cells with ILF3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deficient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or ILF3</w:t>
      </w:r>
      <w:r>
        <w:rPr>
          <w:rFonts w:hint="eastAsia" w:ascii="Times New Roman" w:hAnsi="Times New Roman" w:cs="Times New Roman"/>
          <w:sz w:val="24"/>
          <w:szCs w:val="24"/>
        </w:rPr>
        <w:t xml:space="preserve"> overexpression 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</w:rPr>
        <w:t>).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j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uantitative diagram of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levels of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GF-β</w:t>
      </w:r>
      <w:r>
        <w:rPr>
          <w:rFonts w:hint="eastAsia" w:ascii="Times New Roman" w:hAnsi="Times New Roman" w:cs="Times New Roman"/>
          <w:sz w:val="24"/>
          <w:szCs w:val="24"/>
        </w:rPr>
        <w:t xml:space="preserve">2 in T24 cells with circSLC38A1 deficient.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k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uantitative diagram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protein of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TGF-β2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T24 cells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transfected with the indicated constructs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Data represent mean ± S.D. from three independent experiments;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0.0001.</w:t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  <w:r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  <w:drawing>
          <wp:inline distT="0" distB="0" distL="114300" distR="114300">
            <wp:extent cx="5271135" cy="8143875"/>
            <wp:effectExtent l="0" t="0" r="1905" b="9525"/>
            <wp:docPr id="6" name="图片 6" descr="supplementary Figure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.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16"/>
          <w:szCs w:val="1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6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. m6A modification is involved in the upregulation of circSLC38A1 in BC cells.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Three m6A “reader’’ were found to bind circSLC38A1 at the junction site by using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CircInteractome.</w:t>
      </w:r>
      <w:r>
        <w:rPr>
          <w:rFonts w:ascii="Times New Roman" w:hAnsi="Times New Roman" w:eastAsia="宋体" w:cs="Times New Roman"/>
          <w:b/>
          <w:i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m6A modification sites on the circSLC38A1 sequence with high or very high confidence were predicted by using </w:t>
      </w:r>
      <w:r>
        <w:rPr>
          <w:rFonts w:ascii="Times New Roman" w:hAnsi="Times New Roman" w:eastAsia="宋体" w:cs="Times New Roman"/>
          <w:i/>
          <w:sz w:val="24"/>
          <w:szCs w:val="24"/>
        </w:rPr>
        <w:t>SRAMP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c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m6A “writer” METTL3 was highly expressed in BC based on data available from TCGA database.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m6A “eraser” FTO was downregulated in BC based on data available from TCGA database.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 w:eastAsia="宋体" w:cs="Times New Roman"/>
          <w:sz w:val="24"/>
          <w:szCs w:val="24"/>
        </w:rPr>
        <w:t xml:space="preserve"> Expression of circSLC38A1 was detected in T24 cells overexpressed METTL3 after treatment with Act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Data represent mean ± S.D. from three independent experiments;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Tables</w:t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spacing w:line="40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Characteristics of the study </w:t>
      </w:r>
      <w:r>
        <w:rPr>
          <w:rFonts w:hint="eastAsia"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 xml:space="preserve"> in cohort I.</w:t>
      </w: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3"/>
        <w:tblW w:w="524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5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69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Variable</w:t>
            </w:r>
          </w:p>
        </w:tc>
        <w:tc>
          <w:tcPr>
            <w:tcW w:w="25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n=41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Age (years)</w:t>
            </w:r>
          </w:p>
        </w:tc>
        <w:tc>
          <w:tcPr>
            <w:tcW w:w="2551" w:type="dxa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m</w:t>
            </w:r>
            <w:r>
              <w:rPr>
                <w:rFonts w:ascii="Times New Roman" w:hAnsi="Times New Roman" w:cs="Times New Roman"/>
                <w:bCs/>
                <w:szCs w:val="21"/>
              </w:rPr>
              <w:t>edian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Sex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 (78.05%)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(21.95%)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TNM stage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 (NMIBC)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 (34.14%)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II-IV (MIBC)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 (65.86%)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Tumor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Low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(14.63%)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(85.37%)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Lymph node metastasis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tcBorders>
              <w:bottom w:val="nil"/>
            </w:tcBorders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2551" w:type="dxa"/>
            <w:tcBorders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(85.37%)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2551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(14.63%)</w:t>
            </w:r>
          </w:p>
        </w:tc>
      </w:tr>
    </w:tbl>
    <w:p>
      <w:pPr>
        <w:ind w:left="84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Abbreviations: BC: bladder cancer; MIBC: muscle invasive bladder cancer; </w:t>
      </w:r>
    </w:p>
    <w:p>
      <w:pPr>
        <w:ind w:left="84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NMIBC: non-muscle invasive bladder cancer.</w:t>
      </w:r>
    </w:p>
    <w:p/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spacing w:line="40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Characteristics of the study </w:t>
      </w:r>
      <w:r>
        <w:rPr>
          <w:rFonts w:hint="eastAsia"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 xml:space="preserve"> in cohort III.</w:t>
      </w: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3"/>
        <w:tblW w:w="992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551"/>
        <w:gridCol w:w="2977"/>
        <w:gridCol w:w="170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69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Variable</w:t>
            </w:r>
          </w:p>
        </w:tc>
        <w:tc>
          <w:tcPr>
            <w:tcW w:w="25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BC patients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n=65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Healthy people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n=64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Age (years)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≤65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(53.85%)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 (51.56%)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&gt;65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 (46.15%)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(48.44%)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Sex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 (80.00%)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 (79.69%)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(20.00%)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(20.31%)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TNM stage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 (NMIBC)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 (63.08%)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II-IV (MIBC)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 (36.92%)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Tumor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Low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 (35.38%)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grade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 (64.62%)</w:t>
            </w: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Lymph node metastasis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tcBorders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2551" w:type="dxa"/>
            <w:tcBorders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 (96.92%)</w:t>
            </w:r>
          </w:p>
        </w:tc>
        <w:tc>
          <w:tcPr>
            <w:tcW w:w="2977" w:type="dxa"/>
            <w:tcBorders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94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2551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(3.08%)</w:t>
            </w:r>
          </w:p>
        </w:tc>
        <w:tc>
          <w:tcPr>
            <w:tcW w:w="2977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BC: bladder cancer; MIBC: muscle invasive bladder cancer; NMIBC: non-muscle invasive bladder cancer.</w:t>
      </w: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spacing w:line="40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Detailed information of 5 patients used for RNA sequencing.</w:t>
      </w: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3"/>
        <w:tblW w:w="79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551"/>
        <w:gridCol w:w="1130"/>
        <w:gridCol w:w="31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13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</w:t>
            </w:r>
          </w:p>
        </w:tc>
        <w:tc>
          <w:tcPr>
            <w:tcW w:w="2551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Age </w:t>
            </w:r>
          </w:p>
        </w:tc>
        <w:tc>
          <w:tcPr>
            <w:tcW w:w="1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Sex 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szCs w:val="21"/>
              </w:rPr>
              <w:t>isease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#1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ale</w:t>
            </w:r>
          </w:p>
        </w:tc>
        <w:tc>
          <w:tcPr>
            <w:tcW w:w="311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IBC (stage II)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9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#2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113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MIBC (stage 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9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#3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Female 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IBC (stage II)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9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#4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13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Male 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IBC (stage II)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9" w:type="dxa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Patient #5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Male 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MIBC (stage I)</w:t>
            </w:r>
          </w:p>
        </w:tc>
      </w:tr>
    </w:tbl>
    <w:p>
      <w:pPr>
        <w:ind w:left="84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Abbreviations: BC: bladder cancer; MIBC: muscle invasive bladder cancer; </w:t>
      </w:r>
    </w:p>
    <w:p>
      <w:pPr>
        <w:ind w:left="84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NMIBC: non-muscle invasive bladder cancer.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ind w:left="840" w:firstLine="420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S4. </w:t>
      </w:r>
      <w:r>
        <w:rPr>
          <w:rFonts w:hint="eastAsia"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primers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qRT-PCR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0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(5’-3’)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ircSLC38A1</w:t>
            </w:r>
          </w:p>
        </w:tc>
        <w:tc>
          <w:tcPr>
            <w:tcW w:w="60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TTTTGGGACTCGCCTTTGCC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AATGGAAGCTTGACACCCCTG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LC38A1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7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TCCCTGCATTGTTCCAGAGC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TGACGGGTGGCAAACAAATG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GCACCGTCAAGGCTGAGAAC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TGGTGAAGACGCCAGTGGA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LF3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CGAACTCCTACAACTCTCCCG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CCTTGGTATGAGGAGCCGC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β2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GCGCTACATCGACAGCAAAG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TGCAGCAGGGACAGTGTAAG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qRT-PCR: quantitative Reverse Transcript PCR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S5. </w:t>
      </w:r>
      <w:r>
        <w:rPr>
          <w:rFonts w:hint="eastAsia"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sequences for siRNAs and shRNAs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iRNA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equence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ircSLC38A1#1</w:t>
            </w:r>
          </w:p>
        </w:tc>
        <w:tc>
          <w:tcPr>
            <w:tcW w:w="560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sense: AUCCUACUUUUUCUAUAUUTT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ntisense: AAUAUAGAAAAAGUAGGAUTT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ircSLC38A1#2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sense: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AAUCCUACUUUUUCUAUAUTT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AUAUAGAAAAAGUAGGAUUTT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Si-ILF3#1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CCUGUGUGAGAAAUCCAUUTT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 AAUGGAUUUCUCACACAGGTT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Si-ILF3#2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GGAUGGACAGAAGUUCCAATT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 UUGGAACUUCUGUCCAUCCTT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Si-ILF3#3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sense: CCAACCAUGGAGGCUACAUTT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 AUGUAGCCUCCAUGGUUGGTT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Si-METTL3#1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 GCAAGAAUUCUGUGACUAUTT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AUAGUCACAGAAUUCUUGCTT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Si-METTL3#2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sense:GGUGACUGCUCUUUCCUUATT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UAAGGAAAGAGCAGUCACCTT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Si-METTL3#3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 GGUUGGUGUCAAAGGAAAUTT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 AUUUCCUUUGACACCAACCTT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Si-FTO#1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 GCAGCUGAAAUAUCCUAAATT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 UUUAGGAUAUUUCAGCUGCTT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Si-FTO#2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 GCCAGUGAAAGGGUCUAAUTT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 AUUAGACCCUUUCACUGGCTT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Si-FTO#3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sense: GUGGCAGUGUACAGUUAUATT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 UAUAACUGUACACUGCCACTT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Si-NC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sense: UUCUCCGAACGUGUCACGUTT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ntisense: ACGUGACACGUUCGGAGAATT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Sh-circSLC38A1#2</w:t>
            </w:r>
          </w:p>
        </w:tc>
        <w:tc>
          <w:tcPr>
            <w:tcW w:w="560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AATCCTACTTTTTCTATAT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68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Sh-NC</w:t>
            </w:r>
          </w:p>
        </w:tc>
        <w:tc>
          <w:tcPr>
            <w:tcW w:w="560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TCTCCGAACGTGTCACGT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S6. CircRNAs with high expression levels and potential functional roles</w:t>
      </w:r>
    </w:p>
    <w:p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3"/>
        <w:tblW w:w="97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596"/>
        <w:gridCol w:w="1689"/>
        <w:gridCol w:w="1728"/>
        <w:gridCol w:w="26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1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circRNA Name</w:t>
            </w:r>
          </w:p>
        </w:tc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hromosome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tart site</w:t>
            </w:r>
          </w:p>
        </w:tc>
        <w:tc>
          <w:tcPr>
            <w:tcW w:w="172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8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nd site</w:t>
            </w:r>
          </w:p>
        </w:tc>
        <w:tc>
          <w:tcPr>
            <w:tcW w:w="262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8"/>
              </w:rPr>
              <w:t>H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omogenous mRNA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1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circSLC38A1</w:t>
            </w:r>
          </w:p>
        </w:tc>
        <w:tc>
          <w:tcPr>
            <w:tcW w:w="159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6229153</w:t>
            </w:r>
          </w:p>
        </w:tc>
        <w:tc>
          <w:tcPr>
            <w:tcW w:w="172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6243314</w:t>
            </w:r>
          </w:p>
        </w:tc>
        <w:tc>
          <w:tcPr>
            <w:tcW w:w="262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SLC38A1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circBRCA1-1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43095846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43124115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RCA1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circBRCA1-2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43067608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43074521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BRCA1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circAP1M2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0583606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0584070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AP1M2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circFANCD2-1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0064729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0088950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FANCD2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circFANCD2-2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0046580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0049505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FANCD2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irc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TIAM-1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1182421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1203012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irc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TIAM-2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1182421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1195305</w:t>
            </w:r>
          </w:p>
        </w:tc>
        <w:tc>
          <w:tcPr>
            <w:tcW w:w="262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1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circSKP2</w:t>
            </w:r>
          </w:p>
        </w:tc>
        <w:tc>
          <w:tcPr>
            <w:tcW w:w="159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8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6166519</w:t>
            </w:r>
          </w:p>
        </w:tc>
        <w:tc>
          <w:tcPr>
            <w:tcW w:w="172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6177292</w:t>
            </w:r>
          </w:p>
        </w:tc>
        <w:tc>
          <w:tcPr>
            <w:tcW w:w="262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SKP2</w:t>
            </w:r>
          </w:p>
        </w:tc>
      </w:tr>
    </w:tbl>
    <w:p>
      <w:pPr>
        <w:rPr>
          <w:rFonts w:ascii="Times New Roman" w:hAnsi="Times New Roman" w:cs="Times New Roman"/>
          <w:sz w:val="24"/>
          <w:szCs w:val="28"/>
        </w:rPr>
      </w:pP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ind w:left="840" w:firstLine="420"/>
        <w:rPr>
          <w:rFonts w:ascii="Times New Roman" w:hAnsi="Times New Roman" w:cs="Times New Roman"/>
          <w:szCs w:val="21"/>
        </w:rPr>
      </w:pPr>
    </w:p>
    <w:p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S7. </w:t>
      </w:r>
      <w:r>
        <w:rPr>
          <w:rFonts w:hint="eastAsia"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top 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hint="eastAsia" w:ascii="Times New Roman" w:hAnsi="Times New Roman" w:cs="Times New Roman"/>
          <w:b/>
          <w:sz w:val="24"/>
          <w:szCs w:val="24"/>
        </w:rPr>
        <w:t>proteins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enriched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by</w:t>
      </w:r>
      <w:r>
        <w:rPr>
          <w:rFonts w:ascii="Times New Roman" w:hAnsi="Times New Roman" w:cs="Times New Roman"/>
          <w:b/>
          <w:sz w:val="24"/>
          <w:szCs w:val="24"/>
        </w:rPr>
        <w:t xml:space="preserve"> circSLC38A1 sense probe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0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6467"/>
        <w:gridCol w:w="1045"/>
        <w:gridCol w:w="882"/>
        <w:gridCol w:w="1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Accession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Mass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emPAI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P02768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Serum albumin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GN=ALB PE=1 SV=2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71317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Q12906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Interleukin enhancer-binding factor 3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GN=ILF3 PE=1 SV=3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95678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P04264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Keratin, type II cytoskeletal 1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GN=KRT1 PE=1 SV=6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66170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P08670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Vimentin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GN=VIM PE=1 SV=4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53676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P13645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Keratin, type I cytoskeletal 10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OS=Homo sapiens OX=9606 GN=KRT10 PE=1 SV=6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59020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Q00839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Heterogeneous nuclear ribonucleoprotein U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GN=HNRNPU PE=1 SV=6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91269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P60709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Actin, cytoplasmic 1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OS=Homo sapiens OX=9606 GN=ACTB PE=1 SV=1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42052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P06733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Alpha-enolase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GN=ENO1 PE=1 SV=2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47481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P35527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Keratin, type I cytoskeletal 9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GN=KRT9 PE=1 SV=3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62255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Q08211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ATP-dependent RNA helicase A 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OS=Homo sapiens OX=9606 GN=DHX9 PE=1 SV=4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142181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</w:tr>
    </w:tbl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ind w:left="840" w:firstLine="420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S8. </w:t>
      </w:r>
      <w:r>
        <w:rPr>
          <w:rFonts w:hint="eastAsia" w:ascii="Times New Roman" w:hAnsi="Times New Roman" w:cs="Times New Roman"/>
          <w:b/>
          <w:sz w:val="24"/>
          <w:szCs w:val="24"/>
        </w:rPr>
        <w:t>Functional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enrichment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downregulated genes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1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4589"/>
        <w:gridCol w:w="1193"/>
        <w:gridCol w:w="3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4589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19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38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>Gene 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796" w:type="dxa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GO:0050679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9" w:type="dxa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positive regulation of epithelial cell proliferation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9.66E-06</w:t>
            </w:r>
          </w:p>
        </w:tc>
        <w:tc>
          <w:tcPr>
            <w:tcW w:w="382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NOG/CCND1/WNT7A/ITGB3/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VEGFA/CCL5/NME2/EGR3/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NR4A3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GO:0044321</w:t>
            </w:r>
          </w:p>
        </w:tc>
        <w:tc>
          <w:tcPr>
            <w:tcW w:w="4589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response to leptin</w:t>
            </w:r>
          </w:p>
        </w:tc>
        <w:tc>
          <w:tcPr>
            <w:tcW w:w="119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1.24E-05</w:t>
            </w:r>
          </w:p>
        </w:tc>
        <w:tc>
          <w:tcPr>
            <w:tcW w:w="3821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CCND1/INHBB/EDN1/NR4A3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17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GO:0050673</w:t>
            </w:r>
          </w:p>
        </w:tc>
        <w:tc>
          <w:tcPr>
            <w:tcW w:w="4589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epithelial cell proliferation</w:t>
            </w:r>
          </w:p>
        </w:tc>
        <w:tc>
          <w:tcPr>
            <w:tcW w:w="119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3.25E-05</w:t>
            </w:r>
          </w:p>
        </w:tc>
        <w:tc>
          <w:tcPr>
            <w:tcW w:w="3821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NOG/CCND1/WNT7A/ITGB3/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VEGFA/EHF/CCL5/NME2/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LGR5/EGR3/NR4A3/TGFB2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GO:0062044</w:t>
            </w:r>
          </w:p>
        </w:tc>
        <w:tc>
          <w:tcPr>
            <w:tcW w:w="4589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regulation of epithelial to mesenchymal transition</w:t>
            </w:r>
          </w:p>
        </w:tc>
        <w:tc>
          <w:tcPr>
            <w:tcW w:w="119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4.38E-05</w:t>
            </w:r>
          </w:p>
        </w:tc>
        <w:tc>
          <w:tcPr>
            <w:tcW w:w="3821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NOG/TGFB2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7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GO:1905006</w:t>
            </w:r>
          </w:p>
        </w:tc>
        <w:tc>
          <w:tcPr>
            <w:tcW w:w="4589" w:type="dxa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regulation of epithelial to mesenchymal transition involved in endocardial cushion formation</w:t>
            </w:r>
          </w:p>
        </w:tc>
        <w:tc>
          <w:tcPr>
            <w:tcW w:w="119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4.38E-05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1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NOG/TGFB2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GO:0061082</w:t>
            </w:r>
          </w:p>
        </w:tc>
        <w:tc>
          <w:tcPr>
            <w:tcW w:w="4589" w:type="dxa"/>
            <w:tcBorders>
              <w:bottom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myeloid leukocyte cytokine production</w:t>
            </w:r>
          </w:p>
        </w:tc>
        <w:tc>
          <w:tcPr>
            <w:tcW w:w="1193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4.44E-05</w:t>
            </w:r>
          </w:p>
        </w:tc>
        <w:tc>
          <w:tcPr>
            <w:tcW w:w="382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DDX58/CD74/NR4A3/TGFB2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</w:rPr>
      </w:pPr>
    </w:p>
    <w:p>
      <w:pPr>
        <w:ind w:left="840" w:firstLine="420"/>
        <w:rPr>
          <w:rFonts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widowControl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56946"/>
    <w:rsid w:val="031A4BD0"/>
    <w:rsid w:val="0B2B3C7B"/>
    <w:rsid w:val="0B9B13DB"/>
    <w:rsid w:val="135515B0"/>
    <w:rsid w:val="1ED65854"/>
    <w:rsid w:val="23EE1119"/>
    <w:rsid w:val="29173BBA"/>
    <w:rsid w:val="2B4A01F8"/>
    <w:rsid w:val="2CE63319"/>
    <w:rsid w:val="2EB63B2C"/>
    <w:rsid w:val="2F216F03"/>
    <w:rsid w:val="33C56946"/>
    <w:rsid w:val="4452238D"/>
    <w:rsid w:val="44CB2C92"/>
    <w:rsid w:val="45365C27"/>
    <w:rsid w:val="57071B05"/>
    <w:rsid w:val="58DD4483"/>
    <w:rsid w:val="64B74DA2"/>
    <w:rsid w:val="67382761"/>
    <w:rsid w:val="688E7DE1"/>
    <w:rsid w:val="73670055"/>
    <w:rsid w:val="78CE7CD3"/>
    <w:rsid w:val="78F4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1596</Words>
  <Characters>9650</Characters>
  <Lines>0</Lines>
  <Paragraphs>0</Paragraphs>
  <TotalTime>4</TotalTime>
  <ScaleCrop>false</ScaleCrop>
  <LinksUpToDate>false</LinksUpToDate>
  <CharactersWithSpaces>10949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2021-12-17T08:57:00Z</dcterms:created>
  <dc:creator>MI</dc:creator>
  <cp:lastModifiedBy>PC</cp:lastModifiedBy>
  <dcterms:modified xsi:type="dcterms:W3CDTF">2022-04-07T07:07:48Z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D746CF256D1F41779B2CE02F553C45FA</vt:lpwstr>
  </property>
</Properties>
</file>