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FFBFA" w14:textId="77777777" w:rsidR="00565E63" w:rsidRDefault="00565E63" w:rsidP="00565E63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t>S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upplementary data </w:t>
      </w:r>
    </w:p>
    <w:p w14:paraId="1C624EA9" w14:textId="77777777" w:rsidR="00565E63" w:rsidRDefault="00565E63" w:rsidP="00565E63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noProof/>
          <w:color w:val="000000" w:themeColor="text1"/>
          <w:szCs w:val="21"/>
        </w:rPr>
        <w:drawing>
          <wp:inline distT="0" distB="0" distL="0" distR="0" wp14:anchorId="494925B6" wp14:editId="1638844C">
            <wp:extent cx="4406265" cy="2280285"/>
            <wp:effectExtent l="0" t="0" r="635" b="571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583"/>
                    <a:stretch>
                      <a:fillRect/>
                    </a:stretch>
                  </pic:blipFill>
                  <pic:spPr>
                    <a:xfrm>
                      <a:off x="0" y="0"/>
                      <a:ext cx="4406265" cy="22802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7C863" w14:textId="77777777" w:rsidR="008D34F7" w:rsidRDefault="008D34F7" w:rsidP="008D34F7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t>F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igure S1. </w:t>
      </w:r>
      <w:r>
        <w:rPr>
          <w:rFonts w:ascii="Times New Roman" w:hAnsi="Times New Roman" w:cs="Times New Roman"/>
          <w:szCs w:val="21"/>
        </w:rPr>
        <w:t>principal component analysis (PCA) of all concentrations of the matrine treated samples.</w:t>
      </w:r>
    </w:p>
    <w:p w14:paraId="2B9F0913" w14:textId="63139690" w:rsidR="00565E63" w:rsidRDefault="00E33CA1" w:rsidP="00565E63">
      <w:pPr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183FF56" wp14:editId="53FAF636">
            <wp:extent cx="5270500" cy="2508885"/>
            <wp:effectExtent l="0" t="0" r="0" b="571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03961" w14:textId="77777777" w:rsidR="00E33CA1" w:rsidRDefault="00E33CA1" w:rsidP="00E33CA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t>F</w:t>
      </w:r>
      <w:r>
        <w:rPr>
          <w:rFonts w:ascii="Times New Roman" w:hAnsi="Times New Roman" w:cs="Times New Roman"/>
          <w:color w:val="000000" w:themeColor="text1"/>
          <w:szCs w:val="21"/>
        </w:rPr>
        <w:t>igure S2. Gene Ontology enrichment analysis on DEGs meeting a threshold value of P &lt; 5.0 × 10</w:t>
      </w:r>
      <w:r>
        <w:rPr>
          <w:rFonts w:ascii="Times New Roman" w:hAnsi="Times New Roman" w:cs="Times New Roman"/>
          <w:color w:val="000000" w:themeColor="text1"/>
          <w:szCs w:val="21"/>
          <w:vertAlign w:val="superscript"/>
        </w:rPr>
        <w:t>−2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. </w:t>
      </w:r>
      <w:r w:rsidRPr="00F5750D">
        <w:rPr>
          <w:rFonts w:ascii="Times New Roman" w:hAnsi="Times New Roman" w:cs="Times New Roman"/>
          <w:b/>
          <w:bCs/>
          <w:color w:val="000000" w:themeColor="text1"/>
          <w:szCs w:val="21"/>
        </w:rPr>
        <w:t>a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 xml:space="preserve">After 0.2 mg/mL matrine treatment, </w:t>
      </w:r>
      <w:r>
        <w:rPr>
          <w:rFonts w:ascii="Times New Roman" w:hAnsi="Times New Roman" w:cs="Times New Roman"/>
          <w:color w:val="000000" w:themeColor="text1"/>
          <w:szCs w:val="21"/>
        </w:rPr>
        <w:t>up</w:t>
      </w:r>
      <w:r>
        <w:rPr>
          <w:rFonts w:ascii="Times New Roman" w:hAnsi="Times New Roman" w:cs="Times New Roman"/>
          <w:szCs w:val="21"/>
        </w:rPr>
        <w:t xml:space="preserve">-regulated </w:t>
      </w:r>
      <w:r>
        <w:rPr>
          <w:rFonts w:ascii="Times New Roman" w:hAnsi="Times New Roman" w:cs="Times New Roman"/>
          <w:color w:val="000000" w:themeColor="text1"/>
          <w:szCs w:val="21"/>
        </w:rPr>
        <w:t>DEGs (left)</w:t>
      </w:r>
      <w:r>
        <w:rPr>
          <w:rFonts w:ascii="Times New Roman" w:hAnsi="Times New Roman" w:cs="Times New Roman"/>
          <w:szCs w:val="21"/>
        </w:rPr>
        <w:t xml:space="preserve"> and down-regulated </w:t>
      </w:r>
      <w:r>
        <w:rPr>
          <w:rFonts w:ascii="Times New Roman" w:hAnsi="Times New Roman" w:cs="Times New Roman"/>
          <w:color w:val="000000" w:themeColor="text1"/>
          <w:szCs w:val="21"/>
        </w:rPr>
        <w:t>DEGs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(right)</w:t>
      </w:r>
      <w:r>
        <w:rPr>
          <w:rFonts w:ascii="Times New Roman" w:hAnsi="Times New Roman" w:cs="Times New Roman"/>
          <w:szCs w:val="21"/>
        </w:rPr>
        <w:t xml:space="preserve"> were performed using the KEGG term.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F5750D">
        <w:rPr>
          <w:rFonts w:ascii="Times New Roman" w:hAnsi="Times New Roman" w:cs="Times New Roman"/>
          <w:b/>
          <w:bCs/>
          <w:color w:val="000000" w:themeColor="text1"/>
          <w:szCs w:val="21"/>
        </w:rPr>
        <w:t>b</w:t>
      </w:r>
      <w:r>
        <w:rPr>
          <w:rFonts w:ascii="Times New Roman" w:hAnsi="Times New Roman" w:cs="Times New Roman"/>
          <w:color w:val="000000" w:themeColor="text1"/>
          <w:szCs w:val="21"/>
        </w:rPr>
        <w:t>, Up</w:t>
      </w:r>
      <w:r>
        <w:rPr>
          <w:rFonts w:ascii="Times New Roman" w:hAnsi="Times New Roman" w:cs="Times New Roman"/>
          <w:szCs w:val="21"/>
        </w:rPr>
        <w:t xml:space="preserve">-regulated </w:t>
      </w:r>
      <w:r>
        <w:rPr>
          <w:rFonts w:ascii="Times New Roman" w:hAnsi="Times New Roman" w:cs="Times New Roman"/>
          <w:color w:val="000000" w:themeColor="text1"/>
          <w:szCs w:val="21"/>
        </w:rPr>
        <w:t>DEGs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(left)</w:t>
      </w:r>
      <w:r>
        <w:rPr>
          <w:rFonts w:ascii="Times New Roman" w:hAnsi="Times New Roman" w:cs="Times New Roman"/>
          <w:szCs w:val="21"/>
        </w:rPr>
        <w:t xml:space="preserve"> and down-regulated </w:t>
      </w:r>
      <w:r>
        <w:rPr>
          <w:rFonts w:ascii="Times New Roman" w:hAnsi="Times New Roman" w:cs="Times New Roman"/>
          <w:color w:val="000000" w:themeColor="text1"/>
          <w:szCs w:val="21"/>
        </w:rPr>
        <w:t>DEGs</w:t>
      </w:r>
      <w:r>
        <w:rPr>
          <w:rFonts w:ascii="Times New Roman" w:hAnsi="Times New Roman" w:cs="Times New Roman"/>
          <w:szCs w:val="21"/>
        </w:rPr>
        <w:t xml:space="preserve"> (right) after 0.4 mg/mL matrine treatment. </w:t>
      </w:r>
      <w:r w:rsidRPr="00F5750D">
        <w:rPr>
          <w:rFonts w:ascii="Times New Roman" w:hAnsi="Times New Roman" w:cs="Times New Roman"/>
          <w:b/>
          <w:bCs/>
          <w:color w:val="000000" w:themeColor="text1"/>
          <w:szCs w:val="21"/>
        </w:rPr>
        <w:t>c</w:t>
      </w:r>
      <w:r>
        <w:rPr>
          <w:rFonts w:ascii="Times New Roman" w:hAnsi="Times New Roman" w:cs="Times New Roman"/>
          <w:color w:val="000000" w:themeColor="text1"/>
          <w:szCs w:val="21"/>
        </w:rPr>
        <w:t>, Up</w:t>
      </w:r>
      <w:r>
        <w:rPr>
          <w:rFonts w:ascii="Times New Roman" w:hAnsi="Times New Roman" w:cs="Times New Roman"/>
          <w:szCs w:val="21"/>
        </w:rPr>
        <w:t xml:space="preserve">-regulated </w:t>
      </w:r>
      <w:r>
        <w:rPr>
          <w:rFonts w:ascii="Times New Roman" w:hAnsi="Times New Roman" w:cs="Times New Roman"/>
          <w:color w:val="000000" w:themeColor="text1"/>
          <w:szCs w:val="21"/>
        </w:rPr>
        <w:t>DEGs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(left)</w:t>
      </w:r>
      <w:r>
        <w:rPr>
          <w:rFonts w:ascii="Times New Roman" w:hAnsi="Times New Roman" w:cs="Times New Roman"/>
          <w:szCs w:val="21"/>
        </w:rPr>
        <w:t xml:space="preserve"> and down-regulated </w:t>
      </w:r>
      <w:r>
        <w:rPr>
          <w:rFonts w:ascii="Times New Roman" w:hAnsi="Times New Roman" w:cs="Times New Roman"/>
          <w:color w:val="000000" w:themeColor="text1"/>
          <w:szCs w:val="21"/>
        </w:rPr>
        <w:t>DEGs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(right)</w:t>
      </w:r>
      <w:r>
        <w:rPr>
          <w:rFonts w:ascii="Times New Roman" w:hAnsi="Times New Roman" w:cs="Times New Roman"/>
          <w:szCs w:val="21"/>
        </w:rPr>
        <w:t xml:space="preserve"> after 0.8 mg/mL matrine treatment.</w:t>
      </w:r>
    </w:p>
    <w:p w14:paraId="20D56A5A" w14:textId="04939E91" w:rsidR="00565E63" w:rsidRPr="00E33CA1" w:rsidRDefault="00565E63" w:rsidP="00565E63">
      <w:pPr>
        <w:rPr>
          <w:rFonts w:ascii="Times New Roman" w:hAnsi="Times New Roman" w:cs="Times New Roman"/>
          <w:b/>
          <w:szCs w:val="21"/>
        </w:rPr>
      </w:pPr>
    </w:p>
    <w:p w14:paraId="2E36D294" w14:textId="0839508F" w:rsidR="00565E63" w:rsidRDefault="00565E63" w:rsidP="00565E63">
      <w:pPr>
        <w:rPr>
          <w:rFonts w:ascii="Times New Roman" w:hAnsi="Times New Roman" w:cs="Times New Roman"/>
          <w:b/>
          <w:szCs w:val="21"/>
        </w:rPr>
      </w:pPr>
    </w:p>
    <w:p w14:paraId="19D43ACB" w14:textId="7DE0441A" w:rsidR="00565E63" w:rsidRDefault="00565E63" w:rsidP="00565E63">
      <w:pPr>
        <w:rPr>
          <w:rFonts w:ascii="Times New Roman" w:hAnsi="Times New Roman" w:cs="Times New Roman"/>
          <w:b/>
          <w:szCs w:val="21"/>
        </w:rPr>
      </w:pPr>
    </w:p>
    <w:p w14:paraId="1FA188CB" w14:textId="1309843A" w:rsidR="00565E63" w:rsidRDefault="00565E63" w:rsidP="00565E63">
      <w:pPr>
        <w:rPr>
          <w:rFonts w:ascii="Times New Roman" w:hAnsi="Times New Roman" w:cs="Times New Roman"/>
          <w:b/>
          <w:szCs w:val="21"/>
        </w:rPr>
      </w:pPr>
    </w:p>
    <w:p w14:paraId="6F226C8D" w14:textId="16AB4201" w:rsidR="00565E63" w:rsidRDefault="00565E63" w:rsidP="00565E63">
      <w:pPr>
        <w:rPr>
          <w:rFonts w:ascii="Times New Roman" w:hAnsi="Times New Roman" w:cs="Times New Roman"/>
          <w:b/>
          <w:szCs w:val="21"/>
        </w:rPr>
      </w:pPr>
    </w:p>
    <w:p w14:paraId="430FDFAE" w14:textId="5304DC58" w:rsidR="00565E63" w:rsidRDefault="00565E63" w:rsidP="00565E63">
      <w:pPr>
        <w:rPr>
          <w:rFonts w:ascii="Times New Roman" w:hAnsi="Times New Roman" w:cs="Times New Roman"/>
          <w:b/>
          <w:szCs w:val="21"/>
        </w:rPr>
      </w:pPr>
    </w:p>
    <w:p w14:paraId="7C85F667" w14:textId="3A4AD6D6" w:rsidR="00565E63" w:rsidRDefault="00565E63" w:rsidP="00565E63">
      <w:pPr>
        <w:rPr>
          <w:rFonts w:ascii="Times New Roman" w:hAnsi="Times New Roman" w:cs="Times New Roman"/>
          <w:b/>
          <w:szCs w:val="21"/>
        </w:rPr>
      </w:pPr>
    </w:p>
    <w:p w14:paraId="6420AEAD" w14:textId="54DA0201" w:rsidR="00565E63" w:rsidRDefault="00565E63" w:rsidP="00565E63">
      <w:pPr>
        <w:rPr>
          <w:rFonts w:ascii="Times New Roman" w:hAnsi="Times New Roman" w:cs="Times New Roman"/>
          <w:b/>
          <w:szCs w:val="21"/>
        </w:rPr>
      </w:pPr>
    </w:p>
    <w:p w14:paraId="4A8BD46D" w14:textId="7161414C" w:rsidR="00565E63" w:rsidRDefault="00565E63" w:rsidP="00565E63">
      <w:pPr>
        <w:rPr>
          <w:rFonts w:ascii="Times New Roman" w:hAnsi="Times New Roman" w:cs="Times New Roman"/>
          <w:b/>
          <w:szCs w:val="21"/>
        </w:rPr>
      </w:pPr>
    </w:p>
    <w:p w14:paraId="3B12E96F" w14:textId="5F9225A8" w:rsidR="00565E63" w:rsidRDefault="00565E63" w:rsidP="00565E63">
      <w:pPr>
        <w:rPr>
          <w:rFonts w:ascii="Times New Roman" w:hAnsi="Times New Roman" w:cs="Times New Roman"/>
          <w:b/>
          <w:szCs w:val="21"/>
        </w:rPr>
      </w:pPr>
    </w:p>
    <w:p w14:paraId="04BB922D" w14:textId="2AE36A4B" w:rsidR="00565E63" w:rsidRDefault="00565E63" w:rsidP="00565E63">
      <w:pPr>
        <w:rPr>
          <w:rFonts w:ascii="Times New Roman" w:hAnsi="Times New Roman" w:cs="Times New Roman"/>
          <w:b/>
          <w:szCs w:val="21"/>
        </w:rPr>
      </w:pPr>
    </w:p>
    <w:p w14:paraId="35B0E557" w14:textId="77777777" w:rsidR="00D51043" w:rsidRDefault="00D51043"/>
    <w:sectPr w:rsidR="00D5104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E63"/>
    <w:rsid w:val="000074AD"/>
    <w:rsid w:val="00007B2C"/>
    <w:rsid w:val="00010BB9"/>
    <w:rsid w:val="00011292"/>
    <w:rsid w:val="000151F5"/>
    <w:rsid w:val="000168EC"/>
    <w:rsid w:val="00042F87"/>
    <w:rsid w:val="000441FB"/>
    <w:rsid w:val="000457BA"/>
    <w:rsid w:val="00061B61"/>
    <w:rsid w:val="00072CAE"/>
    <w:rsid w:val="000743A0"/>
    <w:rsid w:val="00080307"/>
    <w:rsid w:val="000905F7"/>
    <w:rsid w:val="0009410D"/>
    <w:rsid w:val="000B480F"/>
    <w:rsid w:val="000B483A"/>
    <w:rsid w:val="000C11FC"/>
    <w:rsid w:val="000D4AC2"/>
    <w:rsid w:val="000E0A48"/>
    <w:rsid w:val="000F45BA"/>
    <w:rsid w:val="000F607E"/>
    <w:rsid w:val="001054E0"/>
    <w:rsid w:val="00113BC2"/>
    <w:rsid w:val="001208FE"/>
    <w:rsid w:val="001219C3"/>
    <w:rsid w:val="00124652"/>
    <w:rsid w:val="00132E10"/>
    <w:rsid w:val="001432AD"/>
    <w:rsid w:val="001432B5"/>
    <w:rsid w:val="001460AB"/>
    <w:rsid w:val="00147039"/>
    <w:rsid w:val="001516A7"/>
    <w:rsid w:val="00152064"/>
    <w:rsid w:val="00170499"/>
    <w:rsid w:val="00173C4E"/>
    <w:rsid w:val="0017402B"/>
    <w:rsid w:val="0018722F"/>
    <w:rsid w:val="00190E2E"/>
    <w:rsid w:val="00192D96"/>
    <w:rsid w:val="00197A40"/>
    <w:rsid w:val="001A0E87"/>
    <w:rsid w:val="001A53E6"/>
    <w:rsid w:val="001A750A"/>
    <w:rsid w:val="001B3EFD"/>
    <w:rsid w:val="001C0012"/>
    <w:rsid w:val="001C744B"/>
    <w:rsid w:val="001D1634"/>
    <w:rsid w:val="001D1DD3"/>
    <w:rsid w:val="001D23AE"/>
    <w:rsid w:val="001E68DB"/>
    <w:rsid w:val="001F60AA"/>
    <w:rsid w:val="0020006C"/>
    <w:rsid w:val="0020271B"/>
    <w:rsid w:val="0020578B"/>
    <w:rsid w:val="00206233"/>
    <w:rsid w:val="002113A4"/>
    <w:rsid w:val="00211D5F"/>
    <w:rsid w:val="00211FF2"/>
    <w:rsid w:val="0021742C"/>
    <w:rsid w:val="002256B4"/>
    <w:rsid w:val="002369DA"/>
    <w:rsid w:val="00243AB2"/>
    <w:rsid w:val="00244E97"/>
    <w:rsid w:val="0025727F"/>
    <w:rsid w:val="00261414"/>
    <w:rsid w:val="002639D9"/>
    <w:rsid w:val="00272A6D"/>
    <w:rsid w:val="00274339"/>
    <w:rsid w:val="00275EB8"/>
    <w:rsid w:val="00277554"/>
    <w:rsid w:val="002808E8"/>
    <w:rsid w:val="00291533"/>
    <w:rsid w:val="002B205F"/>
    <w:rsid w:val="002B2C84"/>
    <w:rsid w:val="002B3C9C"/>
    <w:rsid w:val="002B3EAC"/>
    <w:rsid w:val="002B72D0"/>
    <w:rsid w:val="002C4721"/>
    <w:rsid w:val="002D00CF"/>
    <w:rsid w:val="002F1C0A"/>
    <w:rsid w:val="002F75AE"/>
    <w:rsid w:val="003230A2"/>
    <w:rsid w:val="00324284"/>
    <w:rsid w:val="0033573E"/>
    <w:rsid w:val="00341607"/>
    <w:rsid w:val="00342715"/>
    <w:rsid w:val="00347BCE"/>
    <w:rsid w:val="00355740"/>
    <w:rsid w:val="00356F97"/>
    <w:rsid w:val="00362303"/>
    <w:rsid w:val="0036708E"/>
    <w:rsid w:val="003673D3"/>
    <w:rsid w:val="0037164F"/>
    <w:rsid w:val="00380933"/>
    <w:rsid w:val="00390F37"/>
    <w:rsid w:val="00392733"/>
    <w:rsid w:val="003936B0"/>
    <w:rsid w:val="003951DE"/>
    <w:rsid w:val="003969D2"/>
    <w:rsid w:val="003A087E"/>
    <w:rsid w:val="003A0D34"/>
    <w:rsid w:val="003A3CD1"/>
    <w:rsid w:val="003B6AEA"/>
    <w:rsid w:val="003B77D6"/>
    <w:rsid w:val="003B7D87"/>
    <w:rsid w:val="003D054E"/>
    <w:rsid w:val="003D09BE"/>
    <w:rsid w:val="003E1AD1"/>
    <w:rsid w:val="003E7F6D"/>
    <w:rsid w:val="004041C4"/>
    <w:rsid w:val="00404CB4"/>
    <w:rsid w:val="0040529C"/>
    <w:rsid w:val="00406D1E"/>
    <w:rsid w:val="00423B30"/>
    <w:rsid w:val="00424A35"/>
    <w:rsid w:val="00426904"/>
    <w:rsid w:val="00431D5A"/>
    <w:rsid w:val="00443CE0"/>
    <w:rsid w:val="00460C95"/>
    <w:rsid w:val="00465BC6"/>
    <w:rsid w:val="00473FE5"/>
    <w:rsid w:val="00475F71"/>
    <w:rsid w:val="004844EB"/>
    <w:rsid w:val="00484E0D"/>
    <w:rsid w:val="004856BB"/>
    <w:rsid w:val="00487142"/>
    <w:rsid w:val="004913B1"/>
    <w:rsid w:val="0049679F"/>
    <w:rsid w:val="00497886"/>
    <w:rsid w:val="004A3A22"/>
    <w:rsid w:val="004A4E81"/>
    <w:rsid w:val="004A639E"/>
    <w:rsid w:val="004B2BD0"/>
    <w:rsid w:val="004C4F6E"/>
    <w:rsid w:val="004C729A"/>
    <w:rsid w:val="004D0A23"/>
    <w:rsid w:val="004E37A7"/>
    <w:rsid w:val="004E7558"/>
    <w:rsid w:val="004F2762"/>
    <w:rsid w:val="004F2F04"/>
    <w:rsid w:val="00505D18"/>
    <w:rsid w:val="005154BC"/>
    <w:rsid w:val="00533948"/>
    <w:rsid w:val="005445E8"/>
    <w:rsid w:val="00544C76"/>
    <w:rsid w:val="0055287E"/>
    <w:rsid w:val="00552C79"/>
    <w:rsid w:val="00562622"/>
    <w:rsid w:val="005652C5"/>
    <w:rsid w:val="005658FC"/>
    <w:rsid w:val="00565E63"/>
    <w:rsid w:val="00573475"/>
    <w:rsid w:val="00576890"/>
    <w:rsid w:val="005855C3"/>
    <w:rsid w:val="005968EC"/>
    <w:rsid w:val="005B2248"/>
    <w:rsid w:val="005C015D"/>
    <w:rsid w:val="005C4711"/>
    <w:rsid w:val="005C5807"/>
    <w:rsid w:val="005E2899"/>
    <w:rsid w:val="005F0432"/>
    <w:rsid w:val="005F3CB4"/>
    <w:rsid w:val="005F62F3"/>
    <w:rsid w:val="0061045A"/>
    <w:rsid w:val="006111DA"/>
    <w:rsid w:val="00616CB8"/>
    <w:rsid w:val="00620778"/>
    <w:rsid w:val="006217D3"/>
    <w:rsid w:val="00626647"/>
    <w:rsid w:val="00627D0C"/>
    <w:rsid w:val="00640ACF"/>
    <w:rsid w:val="00641591"/>
    <w:rsid w:val="006510CF"/>
    <w:rsid w:val="006526C3"/>
    <w:rsid w:val="00673838"/>
    <w:rsid w:val="00675765"/>
    <w:rsid w:val="00691403"/>
    <w:rsid w:val="0069160F"/>
    <w:rsid w:val="0069265F"/>
    <w:rsid w:val="006943AF"/>
    <w:rsid w:val="006A3D4F"/>
    <w:rsid w:val="006A5449"/>
    <w:rsid w:val="006C228F"/>
    <w:rsid w:val="006C51B9"/>
    <w:rsid w:val="006D3D79"/>
    <w:rsid w:val="006F4386"/>
    <w:rsid w:val="007067AE"/>
    <w:rsid w:val="00711057"/>
    <w:rsid w:val="00711CED"/>
    <w:rsid w:val="007175DE"/>
    <w:rsid w:val="007327C8"/>
    <w:rsid w:val="0073315A"/>
    <w:rsid w:val="00741AD4"/>
    <w:rsid w:val="007663DC"/>
    <w:rsid w:val="00770E87"/>
    <w:rsid w:val="00774246"/>
    <w:rsid w:val="00792C7D"/>
    <w:rsid w:val="007949A1"/>
    <w:rsid w:val="00797CC3"/>
    <w:rsid w:val="007A0496"/>
    <w:rsid w:val="007A0B71"/>
    <w:rsid w:val="007A64B2"/>
    <w:rsid w:val="007A774D"/>
    <w:rsid w:val="007B2199"/>
    <w:rsid w:val="007B611C"/>
    <w:rsid w:val="007C2670"/>
    <w:rsid w:val="007C5E3E"/>
    <w:rsid w:val="007D0A40"/>
    <w:rsid w:val="007D12A6"/>
    <w:rsid w:val="007D4038"/>
    <w:rsid w:val="007D543A"/>
    <w:rsid w:val="007E1473"/>
    <w:rsid w:val="007E3565"/>
    <w:rsid w:val="007E7CD7"/>
    <w:rsid w:val="007F389F"/>
    <w:rsid w:val="007F7CF4"/>
    <w:rsid w:val="00810347"/>
    <w:rsid w:val="00811BFB"/>
    <w:rsid w:val="008219A4"/>
    <w:rsid w:val="0082617E"/>
    <w:rsid w:val="00835531"/>
    <w:rsid w:val="008405EC"/>
    <w:rsid w:val="00845464"/>
    <w:rsid w:val="00850D7A"/>
    <w:rsid w:val="0085494F"/>
    <w:rsid w:val="00856A9A"/>
    <w:rsid w:val="008625E4"/>
    <w:rsid w:val="00876CE6"/>
    <w:rsid w:val="00877C9A"/>
    <w:rsid w:val="00880CA5"/>
    <w:rsid w:val="008811EB"/>
    <w:rsid w:val="00882EE4"/>
    <w:rsid w:val="00884B2D"/>
    <w:rsid w:val="008B15DD"/>
    <w:rsid w:val="008C05D5"/>
    <w:rsid w:val="008C0EB5"/>
    <w:rsid w:val="008D025B"/>
    <w:rsid w:val="008D34F7"/>
    <w:rsid w:val="008E088C"/>
    <w:rsid w:val="008E1231"/>
    <w:rsid w:val="008F2C9B"/>
    <w:rsid w:val="008F673F"/>
    <w:rsid w:val="008F7794"/>
    <w:rsid w:val="0091198C"/>
    <w:rsid w:val="009124A1"/>
    <w:rsid w:val="009143A2"/>
    <w:rsid w:val="00914DDF"/>
    <w:rsid w:val="00916CBF"/>
    <w:rsid w:val="00920B14"/>
    <w:rsid w:val="00921292"/>
    <w:rsid w:val="00924BB3"/>
    <w:rsid w:val="00963F84"/>
    <w:rsid w:val="00967F70"/>
    <w:rsid w:val="00980423"/>
    <w:rsid w:val="009834A9"/>
    <w:rsid w:val="00984C59"/>
    <w:rsid w:val="00987B3F"/>
    <w:rsid w:val="009955CC"/>
    <w:rsid w:val="009A0DD9"/>
    <w:rsid w:val="009B39BA"/>
    <w:rsid w:val="009B66AF"/>
    <w:rsid w:val="009C6D54"/>
    <w:rsid w:val="009D5B36"/>
    <w:rsid w:val="009D6848"/>
    <w:rsid w:val="009E13A2"/>
    <w:rsid w:val="009E2377"/>
    <w:rsid w:val="009E6685"/>
    <w:rsid w:val="009F18FC"/>
    <w:rsid w:val="00A05BBA"/>
    <w:rsid w:val="00A07D3A"/>
    <w:rsid w:val="00A11368"/>
    <w:rsid w:val="00A2634F"/>
    <w:rsid w:val="00A2701D"/>
    <w:rsid w:val="00A305EC"/>
    <w:rsid w:val="00A30686"/>
    <w:rsid w:val="00A30CFC"/>
    <w:rsid w:val="00A32ED0"/>
    <w:rsid w:val="00A34DBE"/>
    <w:rsid w:val="00A454E7"/>
    <w:rsid w:val="00A50604"/>
    <w:rsid w:val="00A54FDA"/>
    <w:rsid w:val="00A55E7E"/>
    <w:rsid w:val="00A64E6D"/>
    <w:rsid w:val="00A70352"/>
    <w:rsid w:val="00A70F37"/>
    <w:rsid w:val="00A75A82"/>
    <w:rsid w:val="00A81D83"/>
    <w:rsid w:val="00A83436"/>
    <w:rsid w:val="00A93797"/>
    <w:rsid w:val="00AB1B1D"/>
    <w:rsid w:val="00AB51D5"/>
    <w:rsid w:val="00AB7A75"/>
    <w:rsid w:val="00AC1ADA"/>
    <w:rsid w:val="00AC292E"/>
    <w:rsid w:val="00AC409A"/>
    <w:rsid w:val="00AD7C02"/>
    <w:rsid w:val="00AD7E31"/>
    <w:rsid w:val="00AE115F"/>
    <w:rsid w:val="00AE79C4"/>
    <w:rsid w:val="00B01D56"/>
    <w:rsid w:val="00B164BE"/>
    <w:rsid w:val="00B168FB"/>
    <w:rsid w:val="00B21086"/>
    <w:rsid w:val="00B24001"/>
    <w:rsid w:val="00B25B60"/>
    <w:rsid w:val="00B359C1"/>
    <w:rsid w:val="00B37A6C"/>
    <w:rsid w:val="00B43EF6"/>
    <w:rsid w:val="00B45696"/>
    <w:rsid w:val="00B45E78"/>
    <w:rsid w:val="00B46966"/>
    <w:rsid w:val="00B60B15"/>
    <w:rsid w:val="00B61AA9"/>
    <w:rsid w:val="00B64B1E"/>
    <w:rsid w:val="00B66366"/>
    <w:rsid w:val="00B66D46"/>
    <w:rsid w:val="00B703C7"/>
    <w:rsid w:val="00B7217A"/>
    <w:rsid w:val="00B77856"/>
    <w:rsid w:val="00B841C9"/>
    <w:rsid w:val="00B93D9D"/>
    <w:rsid w:val="00B9499D"/>
    <w:rsid w:val="00B9658C"/>
    <w:rsid w:val="00B96FAC"/>
    <w:rsid w:val="00BB266F"/>
    <w:rsid w:val="00BC2C26"/>
    <w:rsid w:val="00BC62B0"/>
    <w:rsid w:val="00BC6655"/>
    <w:rsid w:val="00BE2AFE"/>
    <w:rsid w:val="00BE67C6"/>
    <w:rsid w:val="00C0378D"/>
    <w:rsid w:val="00C0564F"/>
    <w:rsid w:val="00C11614"/>
    <w:rsid w:val="00C11D8A"/>
    <w:rsid w:val="00C14CF0"/>
    <w:rsid w:val="00C270BA"/>
    <w:rsid w:val="00C3542E"/>
    <w:rsid w:val="00C3643F"/>
    <w:rsid w:val="00C4525F"/>
    <w:rsid w:val="00C56D8B"/>
    <w:rsid w:val="00C57AD0"/>
    <w:rsid w:val="00C618B8"/>
    <w:rsid w:val="00C668FA"/>
    <w:rsid w:val="00C71CF9"/>
    <w:rsid w:val="00C80EC4"/>
    <w:rsid w:val="00C879C1"/>
    <w:rsid w:val="00C9372F"/>
    <w:rsid w:val="00C94109"/>
    <w:rsid w:val="00C95564"/>
    <w:rsid w:val="00CA0721"/>
    <w:rsid w:val="00CA507D"/>
    <w:rsid w:val="00CA53F2"/>
    <w:rsid w:val="00CA70CE"/>
    <w:rsid w:val="00CB37D9"/>
    <w:rsid w:val="00CC1EBD"/>
    <w:rsid w:val="00CC5363"/>
    <w:rsid w:val="00CC53CB"/>
    <w:rsid w:val="00CC5EED"/>
    <w:rsid w:val="00CE6B99"/>
    <w:rsid w:val="00CF2ED4"/>
    <w:rsid w:val="00CF354B"/>
    <w:rsid w:val="00CF6C9D"/>
    <w:rsid w:val="00D00419"/>
    <w:rsid w:val="00D02F30"/>
    <w:rsid w:val="00D069EF"/>
    <w:rsid w:val="00D0721B"/>
    <w:rsid w:val="00D072F1"/>
    <w:rsid w:val="00D11D2D"/>
    <w:rsid w:val="00D14232"/>
    <w:rsid w:val="00D14F2B"/>
    <w:rsid w:val="00D175BE"/>
    <w:rsid w:val="00D17BF8"/>
    <w:rsid w:val="00D22F6A"/>
    <w:rsid w:val="00D2578E"/>
    <w:rsid w:val="00D26A4C"/>
    <w:rsid w:val="00D368AD"/>
    <w:rsid w:val="00D40B45"/>
    <w:rsid w:val="00D40C5D"/>
    <w:rsid w:val="00D421A0"/>
    <w:rsid w:val="00D50A7A"/>
    <w:rsid w:val="00D51043"/>
    <w:rsid w:val="00D55408"/>
    <w:rsid w:val="00D60671"/>
    <w:rsid w:val="00D636F6"/>
    <w:rsid w:val="00D702A3"/>
    <w:rsid w:val="00D72069"/>
    <w:rsid w:val="00D801A7"/>
    <w:rsid w:val="00D80C32"/>
    <w:rsid w:val="00D866F9"/>
    <w:rsid w:val="00D924A7"/>
    <w:rsid w:val="00D962CB"/>
    <w:rsid w:val="00DA5CC3"/>
    <w:rsid w:val="00DC36D7"/>
    <w:rsid w:val="00DC3DFC"/>
    <w:rsid w:val="00DD15A8"/>
    <w:rsid w:val="00DD172F"/>
    <w:rsid w:val="00DD5728"/>
    <w:rsid w:val="00DD690A"/>
    <w:rsid w:val="00DE0E3F"/>
    <w:rsid w:val="00DE16AE"/>
    <w:rsid w:val="00DE1FB9"/>
    <w:rsid w:val="00DE44A5"/>
    <w:rsid w:val="00DF0CF8"/>
    <w:rsid w:val="00DF50EA"/>
    <w:rsid w:val="00DF740D"/>
    <w:rsid w:val="00E04411"/>
    <w:rsid w:val="00E060C8"/>
    <w:rsid w:val="00E13759"/>
    <w:rsid w:val="00E16A54"/>
    <w:rsid w:val="00E24B24"/>
    <w:rsid w:val="00E335CE"/>
    <w:rsid w:val="00E33CA1"/>
    <w:rsid w:val="00E34784"/>
    <w:rsid w:val="00E46800"/>
    <w:rsid w:val="00E47FB2"/>
    <w:rsid w:val="00E55437"/>
    <w:rsid w:val="00E638AA"/>
    <w:rsid w:val="00E84262"/>
    <w:rsid w:val="00EA1B67"/>
    <w:rsid w:val="00EB1D91"/>
    <w:rsid w:val="00EB409B"/>
    <w:rsid w:val="00EB6AA5"/>
    <w:rsid w:val="00EC1F07"/>
    <w:rsid w:val="00EC2371"/>
    <w:rsid w:val="00ED3B6A"/>
    <w:rsid w:val="00ED60B5"/>
    <w:rsid w:val="00EE4A9B"/>
    <w:rsid w:val="00EE63FA"/>
    <w:rsid w:val="00EE732C"/>
    <w:rsid w:val="00EE7C78"/>
    <w:rsid w:val="00EF0E97"/>
    <w:rsid w:val="00EF522D"/>
    <w:rsid w:val="00EF6FA3"/>
    <w:rsid w:val="00F03064"/>
    <w:rsid w:val="00F06374"/>
    <w:rsid w:val="00F21A9F"/>
    <w:rsid w:val="00F25335"/>
    <w:rsid w:val="00F305C1"/>
    <w:rsid w:val="00F37AC9"/>
    <w:rsid w:val="00F44B70"/>
    <w:rsid w:val="00F561C3"/>
    <w:rsid w:val="00F56652"/>
    <w:rsid w:val="00F65FAA"/>
    <w:rsid w:val="00F7258A"/>
    <w:rsid w:val="00F737CD"/>
    <w:rsid w:val="00F83706"/>
    <w:rsid w:val="00F83C12"/>
    <w:rsid w:val="00F84F6F"/>
    <w:rsid w:val="00F85B88"/>
    <w:rsid w:val="00F85C7D"/>
    <w:rsid w:val="00F95CE3"/>
    <w:rsid w:val="00FA2D8E"/>
    <w:rsid w:val="00FC0F7D"/>
    <w:rsid w:val="00FE4F96"/>
    <w:rsid w:val="00FE5358"/>
    <w:rsid w:val="00FF2B01"/>
    <w:rsid w:val="00FF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1557A1"/>
  <w15:chartTrackingRefBased/>
  <w15:docId w15:val="{A7459435-93EB-C34B-89CF-77F05AB29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E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2022-09-02T06:19:00Z</dcterms:created>
  <dcterms:modified xsi:type="dcterms:W3CDTF">2022-09-23T07:12:00Z</dcterms:modified>
</cp:coreProperties>
</file>