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79B" w:rsidRDefault="00B6079B" w:rsidP="00B6079B">
      <w:pPr>
        <w:pStyle w:val="Heading1"/>
      </w:pPr>
      <w:bookmarkStart w:id="0" w:name="_Toc72335551"/>
      <w:r>
        <w:t>Appendix A.</w:t>
      </w:r>
      <w:bookmarkEnd w:id="0"/>
    </w:p>
    <w:p w:rsidR="00B6079B" w:rsidRPr="00320114" w:rsidRDefault="00B6079B" w:rsidP="00B6079B">
      <w:pPr>
        <w:pStyle w:val="Caption"/>
      </w:pPr>
      <w:bookmarkStart w:id="1" w:name="_Ref58914225"/>
      <w:bookmarkStart w:id="2" w:name="_Toc61940388"/>
      <w:r w:rsidRPr="00320114">
        <w:t>T</w:t>
      </w:r>
      <w:bookmarkEnd w:id="1"/>
      <w:r>
        <w:t xml:space="preserve">able A1. </w:t>
      </w:r>
      <w:r w:rsidRPr="00320114">
        <w:t>List of climate/weather, topographic, and fire variables considered and assessed for analysis. Not all variables were used for the final product.</w:t>
      </w:r>
      <w:bookmarkEnd w:id="2"/>
      <w:r w:rsidRPr="00320114">
        <w:t xml:space="preserve"> </w:t>
      </w:r>
    </w:p>
    <w:tbl>
      <w:tblPr>
        <w:tblW w:w="12421" w:type="dxa"/>
        <w:tblBorders>
          <w:top w:val="nil"/>
          <w:left w:val="nil"/>
          <w:bottom w:val="nil"/>
          <w:right w:val="nil"/>
          <w:insideH w:val="nil"/>
          <w:insideV w:val="nil"/>
        </w:tblBorders>
        <w:tblLayout w:type="fixed"/>
        <w:tblCellMar>
          <w:left w:w="0" w:type="dxa"/>
          <w:right w:w="0" w:type="dxa"/>
        </w:tblCellMar>
        <w:tblLook w:val="0400" w:firstRow="0" w:lastRow="0" w:firstColumn="0" w:lastColumn="0" w:noHBand="0" w:noVBand="1"/>
      </w:tblPr>
      <w:tblGrid>
        <w:gridCol w:w="268"/>
        <w:gridCol w:w="3242"/>
        <w:gridCol w:w="8911"/>
      </w:tblGrid>
      <w:tr w:rsidR="00B6079B" w:rsidTr="009E6199">
        <w:trPr>
          <w:trHeight w:val="432"/>
        </w:trPr>
        <w:tc>
          <w:tcPr>
            <w:tcW w:w="3510" w:type="dxa"/>
            <w:gridSpan w:val="2"/>
            <w:tcBorders>
              <w:top w:val="single" w:sz="4" w:space="0" w:color="000000"/>
              <w:bottom w:val="single" w:sz="4" w:space="0" w:color="000000"/>
            </w:tcBorders>
            <w:vAlign w:val="center"/>
          </w:tcPr>
          <w:p w:rsidR="00B6079B" w:rsidRDefault="00B6079B" w:rsidP="009E6199">
            <w:pPr>
              <w:jc w:val="center"/>
              <w:rPr>
                <w:b/>
                <w:sz w:val="22"/>
                <w:szCs w:val="22"/>
              </w:rPr>
            </w:pPr>
            <w:r>
              <w:rPr>
                <w:b/>
                <w:sz w:val="22"/>
                <w:szCs w:val="22"/>
              </w:rPr>
              <w:t>Predictor</w:t>
            </w:r>
          </w:p>
        </w:tc>
        <w:tc>
          <w:tcPr>
            <w:tcW w:w="8911" w:type="dxa"/>
            <w:tcBorders>
              <w:top w:val="single" w:sz="4" w:space="0" w:color="000000"/>
              <w:bottom w:val="single" w:sz="4" w:space="0" w:color="000000"/>
            </w:tcBorders>
            <w:vAlign w:val="center"/>
          </w:tcPr>
          <w:p w:rsidR="00B6079B" w:rsidRDefault="00B6079B" w:rsidP="009E6199">
            <w:pPr>
              <w:ind w:firstLine="0"/>
              <w:jc w:val="center"/>
              <w:rPr>
                <w:b/>
                <w:sz w:val="22"/>
                <w:szCs w:val="22"/>
              </w:rPr>
            </w:pPr>
            <w:r>
              <w:rPr>
                <w:b/>
                <w:sz w:val="22"/>
                <w:szCs w:val="22"/>
              </w:rPr>
              <w:t>Description</w:t>
            </w:r>
          </w:p>
        </w:tc>
      </w:tr>
      <w:tr w:rsidR="00B6079B" w:rsidTr="009E6199">
        <w:trPr>
          <w:trHeight w:val="432"/>
        </w:trPr>
        <w:tc>
          <w:tcPr>
            <w:tcW w:w="3510" w:type="dxa"/>
            <w:gridSpan w:val="2"/>
            <w:vAlign w:val="center"/>
          </w:tcPr>
          <w:p w:rsidR="00B6079B" w:rsidRDefault="00B6079B" w:rsidP="009E6199">
            <w:pPr>
              <w:ind w:hanging="15"/>
              <w:rPr>
                <w:color w:val="000000"/>
                <w:sz w:val="22"/>
                <w:szCs w:val="22"/>
              </w:rPr>
            </w:pPr>
            <w:r>
              <w:rPr>
                <w:b/>
                <w:color w:val="000000"/>
                <w:sz w:val="22"/>
                <w:szCs w:val="22"/>
              </w:rPr>
              <w:t>Weather/Climate predictors</w:t>
            </w:r>
          </w:p>
        </w:tc>
        <w:tc>
          <w:tcPr>
            <w:tcW w:w="8911" w:type="dxa"/>
            <w:vAlign w:val="center"/>
          </w:tcPr>
          <w:p w:rsidR="00B6079B" w:rsidRDefault="00B6079B" w:rsidP="009E6199">
            <w:pPr>
              <w:ind w:left="335" w:hanging="335"/>
              <w:rPr>
                <w:sz w:val="22"/>
                <w:szCs w:val="22"/>
              </w:rPr>
            </w:pPr>
          </w:p>
        </w:tc>
      </w:tr>
      <w:tr w:rsidR="00B6079B" w:rsidTr="009E6199">
        <w:trPr>
          <w:trHeight w:val="576"/>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Burn index</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A value related to the contribution of fire behavior to the effort of containing a fire, i.e. difficulty of control (Deeming et al., 1977)</w:t>
            </w:r>
          </w:p>
        </w:tc>
      </w:tr>
      <w:tr w:rsidR="00B6079B" w:rsidTr="009E6199">
        <w:trPr>
          <w:trHeight w:val="576"/>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Energy Release Component</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Combines daily temperature, precipitation, and humidity to estimated potential available energy released per unit area in the flaming zone of a fire (Deeming et al., 1977)</w:t>
            </w:r>
          </w:p>
        </w:tc>
      </w:tr>
      <w:tr w:rsidR="00B6079B" w:rsidTr="009E6199">
        <w:trPr>
          <w:trHeight w:val="576"/>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100-hr fuel moistures</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1 to 3 inches diameter fuels measured as the amount of water in a potential fuel, expressed as a percentage of the dry weight of that fuel Computed from 24-hour average conditions (Deeming et al., 1977)</w:t>
            </w:r>
          </w:p>
        </w:tc>
      </w:tr>
      <w:tr w:rsidR="00B6079B" w:rsidTr="009E6199">
        <w:trPr>
          <w:trHeight w:val="576"/>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1000-hr fuel moistures</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3 to 8 inches diameter fuels measured as the amount of water in a potential fuel, expressed as a percentage of the dry weight of that fuel Computed from 7-day average conditions (Deeming et al., 1977)</w:t>
            </w:r>
          </w:p>
        </w:tc>
      </w:tr>
      <w:tr w:rsidR="00B6079B" w:rsidTr="009E6199">
        <w:trPr>
          <w:trHeight w:val="576"/>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Palmer Drought Severity Index</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The departure of the moisture supply at specific location, considering precipitation and temperature data, as well as the local Available Water Content (AWC) of the soil (Palmer, 1965)</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Potential evapotranspiration</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The amount of evaporation that would occur if a sufficient water source were available</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Precipitation</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Daily accumulated precipitation as measured in inches</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Maximum relative humidity</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Maximum relative humidity expressed as a percentage</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Minimum relative humidity</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Minimum relative humidity expressed as a percentage</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Maximum temperature</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Minimum temperature measured in degrees Kelvin</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Minimum temperature</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Maximum temperature measured in degrees Kelvin</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sz w:val="22"/>
                <w:szCs w:val="22"/>
                <w:vertAlign w:val="superscript"/>
              </w:rPr>
            </w:pPr>
            <w:r>
              <w:rPr>
                <w:color w:val="000000"/>
                <w:sz w:val="22"/>
                <w:szCs w:val="22"/>
              </w:rPr>
              <w:t>Vapor pressure deficit</w:t>
            </w:r>
            <w:r>
              <w:rPr>
                <w:color w:val="000000"/>
                <w:sz w:val="22"/>
                <w:szCs w:val="22"/>
                <w:vertAlign w:val="superscript"/>
              </w:rPr>
              <w:t>1</w:t>
            </w:r>
          </w:p>
        </w:tc>
        <w:tc>
          <w:tcPr>
            <w:tcW w:w="8911" w:type="dxa"/>
            <w:vAlign w:val="center"/>
          </w:tcPr>
          <w:p w:rsidR="00B6079B" w:rsidRDefault="00B6079B" w:rsidP="009E6199">
            <w:pPr>
              <w:ind w:left="335" w:hanging="335"/>
              <w:rPr>
                <w:sz w:val="22"/>
                <w:szCs w:val="22"/>
              </w:rPr>
            </w:pPr>
            <w:r>
              <w:rPr>
                <w:sz w:val="22"/>
                <w:szCs w:val="22"/>
              </w:rPr>
              <w:t>Difference (deficit) between the amount of moisture in the air and how much moisture the air can hold when it is saturated measured in kilopascals</w:t>
            </w:r>
          </w:p>
        </w:tc>
      </w:tr>
      <w:tr w:rsidR="00B6079B" w:rsidTr="009E6199">
        <w:trPr>
          <w:trHeight w:val="432"/>
        </w:trPr>
        <w:tc>
          <w:tcPr>
            <w:tcW w:w="268" w:type="dxa"/>
            <w:tcBorders>
              <w:bottom w:val="single" w:sz="4" w:space="0" w:color="000000"/>
            </w:tcBorders>
            <w:vAlign w:val="center"/>
          </w:tcPr>
          <w:p w:rsidR="00B6079B" w:rsidRDefault="00B6079B" w:rsidP="009E6199">
            <w:pPr>
              <w:rPr>
                <w:color w:val="000000"/>
                <w:sz w:val="22"/>
                <w:szCs w:val="22"/>
              </w:rPr>
            </w:pPr>
          </w:p>
        </w:tc>
        <w:tc>
          <w:tcPr>
            <w:tcW w:w="3242" w:type="dxa"/>
            <w:tcBorders>
              <w:bottom w:val="single" w:sz="4" w:space="0" w:color="000000"/>
            </w:tcBorders>
            <w:vAlign w:val="center"/>
          </w:tcPr>
          <w:p w:rsidR="00B6079B" w:rsidRDefault="00B6079B" w:rsidP="009E6199">
            <w:pPr>
              <w:ind w:hanging="15"/>
              <w:rPr>
                <w:sz w:val="22"/>
                <w:szCs w:val="22"/>
                <w:vertAlign w:val="superscript"/>
              </w:rPr>
            </w:pPr>
            <w:r>
              <w:rPr>
                <w:color w:val="000000"/>
                <w:sz w:val="22"/>
                <w:szCs w:val="22"/>
              </w:rPr>
              <w:t>Wind speed</w:t>
            </w:r>
            <w:r>
              <w:rPr>
                <w:color w:val="000000"/>
                <w:sz w:val="22"/>
                <w:szCs w:val="22"/>
                <w:vertAlign w:val="superscript"/>
              </w:rPr>
              <w:t>2</w:t>
            </w:r>
          </w:p>
        </w:tc>
        <w:tc>
          <w:tcPr>
            <w:tcW w:w="8911" w:type="dxa"/>
            <w:tcBorders>
              <w:bottom w:val="single" w:sz="4" w:space="0" w:color="000000"/>
            </w:tcBorders>
            <w:vAlign w:val="center"/>
          </w:tcPr>
          <w:p w:rsidR="00B6079B" w:rsidRDefault="00B6079B" w:rsidP="009E6199">
            <w:pPr>
              <w:ind w:left="335" w:hanging="335"/>
              <w:rPr>
                <w:sz w:val="22"/>
                <w:szCs w:val="22"/>
              </w:rPr>
            </w:pPr>
            <w:r>
              <w:rPr>
                <w:sz w:val="22"/>
                <w:szCs w:val="22"/>
              </w:rPr>
              <w:t>20-ft mean wind velocity expressed as miles per hour</w:t>
            </w:r>
          </w:p>
        </w:tc>
      </w:tr>
      <w:tr w:rsidR="00B6079B" w:rsidTr="009E6199">
        <w:trPr>
          <w:trHeight w:val="432"/>
        </w:trPr>
        <w:tc>
          <w:tcPr>
            <w:tcW w:w="3510" w:type="dxa"/>
            <w:gridSpan w:val="2"/>
            <w:vAlign w:val="center"/>
          </w:tcPr>
          <w:p w:rsidR="00B6079B" w:rsidRDefault="00B6079B" w:rsidP="009E6199">
            <w:pPr>
              <w:ind w:firstLine="0"/>
              <w:rPr>
                <w:color w:val="000000"/>
                <w:sz w:val="22"/>
                <w:szCs w:val="22"/>
              </w:rPr>
            </w:pPr>
            <w:r>
              <w:rPr>
                <w:b/>
                <w:color w:val="000000"/>
                <w:sz w:val="22"/>
                <w:szCs w:val="22"/>
              </w:rPr>
              <w:t>Topographic predictors</w:t>
            </w:r>
          </w:p>
        </w:tc>
        <w:tc>
          <w:tcPr>
            <w:tcW w:w="8911" w:type="dxa"/>
            <w:vAlign w:val="center"/>
          </w:tcPr>
          <w:p w:rsidR="00B6079B" w:rsidRDefault="00B6079B" w:rsidP="009E6199">
            <w:pPr>
              <w:ind w:left="335" w:hanging="335"/>
              <w:rPr>
                <w:color w:val="000000"/>
                <w:sz w:val="22"/>
                <w:szCs w:val="22"/>
              </w:rPr>
            </w:pP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color w:val="000000"/>
                <w:sz w:val="22"/>
                <w:szCs w:val="22"/>
              </w:rPr>
            </w:pPr>
            <w:r>
              <w:rPr>
                <w:color w:val="000000"/>
                <w:sz w:val="22"/>
                <w:szCs w:val="22"/>
              </w:rPr>
              <w:t>Cosine aspect</w:t>
            </w:r>
          </w:p>
        </w:tc>
        <w:tc>
          <w:tcPr>
            <w:tcW w:w="8911" w:type="dxa"/>
            <w:vAlign w:val="center"/>
          </w:tcPr>
          <w:p w:rsidR="00B6079B" w:rsidRDefault="00B6079B" w:rsidP="009E6199">
            <w:pPr>
              <w:ind w:left="345" w:hanging="335"/>
              <w:rPr>
                <w:color w:val="000000"/>
                <w:sz w:val="22"/>
                <w:szCs w:val="22"/>
              </w:rPr>
            </w:pPr>
            <w:r>
              <w:rPr>
                <w:color w:val="000000"/>
                <w:sz w:val="22"/>
                <w:szCs w:val="22"/>
              </w:rPr>
              <w:t>Aspect converted to cosine values, decomposing them into north-south and east-west components Cosine values range from -1 (at due south) to 1 (at due north)</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color w:val="000000"/>
                <w:sz w:val="22"/>
                <w:szCs w:val="22"/>
              </w:rPr>
            </w:pPr>
            <w:r>
              <w:rPr>
                <w:color w:val="000000"/>
                <w:sz w:val="22"/>
                <w:szCs w:val="22"/>
              </w:rPr>
              <w:t>Elevation</w:t>
            </w:r>
          </w:p>
        </w:tc>
        <w:tc>
          <w:tcPr>
            <w:tcW w:w="8911" w:type="dxa"/>
            <w:vAlign w:val="center"/>
          </w:tcPr>
          <w:p w:rsidR="00B6079B" w:rsidRDefault="00B6079B" w:rsidP="009E6199">
            <w:pPr>
              <w:ind w:left="345" w:hanging="335"/>
              <w:rPr>
                <w:sz w:val="22"/>
                <w:szCs w:val="22"/>
              </w:rPr>
            </w:pPr>
            <w:r>
              <w:rPr>
                <w:color w:val="000000"/>
                <w:sz w:val="22"/>
                <w:szCs w:val="22"/>
              </w:rPr>
              <w:t>30-m digital elevation model (DEM)</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color w:val="000000"/>
                <w:sz w:val="22"/>
                <w:szCs w:val="22"/>
              </w:rPr>
            </w:pPr>
            <w:r>
              <w:rPr>
                <w:color w:val="000000"/>
                <w:sz w:val="22"/>
                <w:szCs w:val="22"/>
              </w:rPr>
              <w:t>Mean slope</w:t>
            </w:r>
          </w:p>
        </w:tc>
        <w:tc>
          <w:tcPr>
            <w:tcW w:w="8911" w:type="dxa"/>
            <w:vAlign w:val="center"/>
          </w:tcPr>
          <w:p w:rsidR="00B6079B" w:rsidRDefault="00B6079B" w:rsidP="009E6199">
            <w:pPr>
              <w:ind w:left="345" w:hanging="335"/>
              <w:rPr>
                <w:sz w:val="22"/>
                <w:szCs w:val="22"/>
              </w:rPr>
            </w:pPr>
            <w:r>
              <w:rPr>
                <w:color w:val="000000"/>
                <w:sz w:val="22"/>
                <w:szCs w:val="22"/>
              </w:rPr>
              <w:t>Mean of slope within a 3 x 3-m window (percent)</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firstLine="0"/>
              <w:rPr>
                <w:color w:val="000000"/>
                <w:sz w:val="22"/>
                <w:szCs w:val="22"/>
              </w:rPr>
            </w:pPr>
            <w:r>
              <w:rPr>
                <w:color w:val="000000"/>
                <w:sz w:val="22"/>
                <w:szCs w:val="22"/>
              </w:rPr>
              <w:t>Topographic radiation aspect index</w:t>
            </w:r>
          </w:p>
        </w:tc>
        <w:tc>
          <w:tcPr>
            <w:tcW w:w="8911" w:type="dxa"/>
            <w:vAlign w:val="center"/>
          </w:tcPr>
          <w:p w:rsidR="00B6079B" w:rsidRDefault="00B6079B" w:rsidP="009E6199">
            <w:pPr>
              <w:ind w:left="345" w:hanging="335"/>
              <w:rPr>
                <w:sz w:val="22"/>
                <w:szCs w:val="22"/>
              </w:rPr>
            </w:pPr>
            <w:r>
              <w:rPr>
                <w:color w:val="000000"/>
                <w:sz w:val="22"/>
                <w:szCs w:val="22"/>
              </w:rPr>
              <w:t>Circular aspect is transformed to assign a value of zero to land oriented in a north- northeast direction, (typically the coolest and wettest orientation), and a value of one on the hotter, dryer south-southwesterly slopes The result is a continuous variable between 0 – 1 (Roberts and Cooper, 1989)</w:t>
            </w:r>
          </w:p>
        </w:tc>
      </w:tr>
      <w:tr w:rsidR="00B6079B" w:rsidTr="009E6199">
        <w:trPr>
          <w:trHeight w:val="432"/>
        </w:trPr>
        <w:tc>
          <w:tcPr>
            <w:tcW w:w="268" w:type="dxa"/>
            <w:tcBorders>
              <w:bottom w:val="single" w:sz="4" w:space="0" w:color="000000"/>
            </w:tcBorders>
            <w:vAlign w:val="center"/>
          </w:tcPr>
          <w:p w:rsidR="00B6079B" w:rsidRDefault="00B6079B" w:rsidP="009E6199">
            <w:pPr>
              <w:rPr>
                <w:color w:val="000000"/>
                <w:sz w:val="22"/>
                <w:szCs w:val="22"/>
              </w:rPr>
            </w:pPr>
          </w:p>
        </w:tc>
        <w:tc>
          <w:tcPr>
            <w:tcW w:w="3242" w:type="dxa"/>
            <w:tcBorders>
              <w:bottom w:val="single" w:sz="4" w:space="0" w:color="000000"/>
            </w:tcBorders>
            <w:vAlign w:val="center"/>
          </w:tcPr>
          <w:p w:rsidR="00B6079B" w:rsidRDefault="00B6079B" w:rsidP="009E6199">
            <w:pPr>
              <w:ind w:firstLine="0"/>
              <w:rPr>
                <w:color w:val="000000"/>
                <w:sz w:val="22"/>
                <w:szCs w:val="22"/>
              </w:rPr>
            </w:pPr>
            <w:r>
              <w:rPr>
                <w:color w:val="000000"/>
                <w:sz w:val="22"/>
                <w:szCs w:val="22"/>
              </w:rPr>
              <w:t>Topographic roughness index</w:t>
            </w:r>
          </w:p>
        </w:tc>
        <w:tc>
          <w:tcPr>
            <w:tcW w:w="8911" w:type="dxa"/>
            <w:tcBorders>
              <w:bottom w:val="single" w:sz="4" w:space="0" w:color="000000"/>
            </w:tcBorders>
            <w:vAlign w:val="center"/>
          </w:tcPr>
          <w:p w:rsidR="00B6079B" w:rsidRDefault="00B6079B" w:rsidP="009E6199">
            <w:pPr>
              <w:ind w:left="345" w:hanging="335"/>
              <w:rPr>
                <w:color w:val="000000"/>
                <w:sz w:val="22"/>
                <w:szCs w:val="22"/>
              </w:rPr>
            </w:pPr>
            <w:r>
              <w:rPr>
                <w:color w:val="000000"/>
                <w:sz w:val="22"/>
                <w:szCs w:val="22"/>
              </w:rPr>
              <w:t xml:space="preserve">The terrain’s ruggedness or flatness, expressed as the amount of elevation difference between adjacent cells of the DEM </w:t>
            </w:r>
            <w:r>
              <w:rPr>
                <w:sz w:val="22"/>
                <w:szCs w:val="22"/>
              </w:rPr>
              <w:t>(Riley and Degloria, 1999)</w:t>
            </w:r>
          </w:p>
        </w:tc>
      </w:tr>
      <w:tr w:rsidR="00B6079B" w:rsidTr="009E6199">
        <w:trPr>
          <w:trHeight w:val="432"/>
        </w:trPr>
        <w:tc>
          <w:tcPr>
            <w:tcW w:w="3510" w:type="dxa"/>
            <w:gridSpan w:val="2"/>
            <w:vAlign w:val="center"/>
          </w:tcPr>
          <w:p w:rsidR="00B6079B" w:rsidRDefault="00B6079B" w:rsidP="009E6199">
            <w:pPr>
              <w:ind w:firstLine="0"/>
              <w:rPr>
                <w:b/>
                <w:color w:val="000000"/>
                <w:sz w:val="22"/>
                <w:szCs w:val="22"/>
              </w:rPr>
            </w:pPr>
          </w:p>
          <w:p w:rsidR="00B6079B" w:rsidRDefault="00B6079B" w:rsidP="009E6199">
            <w:pPr>
              <w:ind w:firstLine="0"/>
              <w:rPr>
                <w:b/>
                <w:color w:val="000000"/>
                <w:sz w:val="22"/>
                <w:szCs w:val="22"/>
              </w:rPr>
            </w:pPr>
          </w:p>
          <w:p w:rsidR="00B6079B" w:rsidRDefault="00B6079B" w:rsidP="009E6199">
            <w:pPr>
              <w:ind w:firstLine="0"/>
              <w:rPr>
                <w:color w:val="000000"/>
                <w:sz w:val="22"/>
                <w:szCs w:val="22"/>
              </w:rPr>
            </w:pPr>
            <w:r>
              <w:rPr>
                <w:b/>
                <w:color w:val="000000"/>
                <w:sz w:val="22"/>
                <w:szCs w:val="22"/>
              </w:rPr>
              <w:t>Vegetation predictors</w:t>
            </w:r>
          </w:p>
        </w:tc>
        <w:tc>
          <w:tcPr>
            <w:tcW w:w="8911" w:type="dxa"/>
            <w:vAlign w:val="center"/>
          </w:tcPr>
          <w:p w:rsidR="00B6079B" w:rsidRDefault="00B6079B" w:rsidP="009E6199">
            <w:pPr>
              <w:ind w:left="345" w:hanging="335"/>
              <w:rPr>
                <w:color w:val="000000"/>
                <w:sz w:val="22"/>
                <w:szCs w:val="22"/>
              </w:rPr>
            </w:pPr>
          </w:p>
        </w:tc>
      </w:tr>
      <w:tr w:rsidR="00B6079B" w:rsidTr="009E6199">
        <w:trPr>
          <w:trHeight w:val="432"/>
        </w:trPr>
        <w:tc>
          <w:tcPr>
            <w:tcW w:w="268" w:type="dxa"/>
            <w:tcBorders>
              <w:bottom w:val="single" w:sz="4" w:space="0" w:color="auto"/>
            </w:tcBorders>
            <w:vAlign w:val="center"/>
          </w:tcPr>
          <w:p w:rsidR="00B6079B" w:rsidRDefault="00B6079B" w:rsidP="009E6199">
            <w:pPr>
              <w:rPr>
                <w:color w:val="000000"/>
                <w:sz w:val="22"/>
                <w:szCs w:val="22"/>
              </w:rPr>
            </w:pPr>
          </w:p>
        </w:tc>
        <w:tc>
          <w:tcPr>
            <w:tcW w:w="3242" w:type="dxa"/>
            <w:tcBorders>
              <w:bottom w:val="single" w:sz="4" w:space="0" w:color="auto"/>
            </w:tcBorders>
            <w:vAlign w:val="center"/>
          </w:tcPr>
          <w:p w:rsidR="00B6079B" w:rsidRDefault="00B6079B" w:rsidP="009E6199">
            <w:pPr>
              <w:ind w:firstLine="0"/>
              <w:rPr>
                <w:color w:val="000000"/>
                <w:sz w:val="22"/>
                <w:szCs w:val="22"/>
                <w:vertAlign w:val="superscript"/>
              </w:rPr>
            </w:pPr>
            <w:r>
              <w:rPr>
                <w:color w:val="000000"/>
                <w:sz w:val="22"/>
                <w:szCs w:val="22"/>
              </w:rPr>
              <w:t>Grand Canyon forest yypes</w:t>
            </w:r>
            <w:r>
              <w:rPr>
                <w:color w:val="000000"/>
                <w:sz w:val="22"/>
                <w:szCs w:val="22"/>
                <w:vertAlign w:val="superscript"/>
              </w:rPr>
              <w:t>3</w:t>
            </w:r>
          </w:p>
        </w:tc>
        <w:tc>
          <w:tcPr>
            <w:tcW w:w="8911" w:type="dxa"/>
            <w:tcBorders>
              <w:bottom w:val="single" w:sz="4" w:space="0" w:color="auto"/>
            </w:tcBorders>
            <w:vAlign w:val="center"/>
          </w:tcPr>
          <w:p w:rsidR="00B6079B" w:rsidRDefault="00B6079B" w:rsidP="009E6199">
            <w:pPr>
              <w:ind w:left="345" w:hanging="335"/>
              <w:rPr>
                <w:sz w:val="22"/>
                <w:szCs w:val="22"/>
              </w:rPr>
            </w:pPr>
            <w:r>
              <w:rPr>
                <w:color w:val="000000"/>
                <w:sz w:val="22"/>
                <w:szCs w:val="22"/>
              </w:rPr>
              <w:t> </w:t>
            </w:r>
            <w:r>
              <w:rPr>
                <w:sz w:val="22"/>
                <w:szCs w:val="22"/>
              </w:rPr>
              <w:t>The species characteristics at a given site at the time of classification; obtained from the Grand Canyon National Park Natureserve's NVCS compliant Grand Canyon Vegetation Classification layer in ArcGIS from September 2012</w:t>
            </w:r>
          </w:p>
        </w:tc>
      </w:tr>
      <w:tr w:rsidR="00B6079B" w:rsidTr="009E6199">
        <w:trPr>
          <w:trHeight w:val="432"/>
        </w:trPr>
        <w:tc>
          <w:tcPr>
            <w:tcW w:w="3510" w:type="dxa"/>
            <w:gridSpan w:val="2"/>
            <w:tcBorders>
              <w:top w:val="single" w:sz="4" w:space="0" w:color="auto"/>
            </w:tcBorders>
            <w:vAlign w:val="center"/>
          </w:tcPr>
          <w:p w:rsidR="00B6079B" w:rsidRDefault="00B6079B" w:rsidP="009E6199">
            <w:pPr>
              <w:ind w:firstLine="0"/>
              <w:rPr>
                <w:color w:val="000000"/>
                <w:sz w:val="22"/>
                <w:szCs w:val="22"/>
              </w:rPr>
            </w:pPr>
            <w:r>
              <w:rPr>
                <w:b/>
                <w:color w:val="000000"/>
                <w:sz w:val="22"/>
                <w:szCs w:val="22"/>
              </w:rPr>
              <w:t>Fire predictors</w:t>
            </w:r>
          </w:p>
        </w:tc>
        <w:tc>
          <w:tcPr>
            <w:tcW w:w="8911" w:type="dxa"/>
            <w:tcBorders>
              <w:top w:val="single" w:sz="4" w:space="0" w:color="auto"/>
            </w:tcBorders>
            <w:vAlign w:val="center"/>
          </w:tcPr>
          <w:p w:rsidR="00B6079B" w:rsidRDefault="00B6079B" w:rsidP="009E6199">
            <w:pPr>
              <w:ind w:left="345" w:hanging="335"/>
              <w:rPr>
                <w:color w:val="000000"/>
                <w:sz w:val="22"/>
                <w:szCs w:val="22"/>
              </w:rPr>
            </w:pP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vAlign w:val="center"/>
          </w:tcPr>
          <w:p w:rsidR="00B6079B" w:rsidRDefault="00B6079B" w:rsidP="009E6199">
            <w:pPr>
              <w:ind w:hanging="15"/>
              <w:rPr>
                <w:color w:val="000000"/>
                <w:sz w:val="22"/>
                <w:szCs w:val="22"/>
              </w:rPr>
            </w:pPr>
            <w:r>
              <w:rPr>
                <w:color w:val="000000"/>
                <w:sz w:val="22"/>
                <w:szCs w:val="22"/>
              </w:rPr>
              <w:t>Time since fire</w:t>
            </w:r>
            <w:r>
              <w:rPr>
                <w:color w:val="000000"/>
                <w:sz w:val="22"/>
                <w:szCs w:val="22"/>
                <w:vertAlign w:val="superscript"/>
              </w:rPr>
              <w:t>3</w:t>
            </w:r>
          </w:p>
        </w:tc>
        <w:tc>
          <w:tcPr>
            <w:tcW w:w="8911" w:type="dxa"/>
            <w:vAlign w:val="center"/>
          </w:tcPr>
          <w:p w:rsidR="00B6079B" w:rsidRDefault="00B6079B" w:rsidP="009E6199">
            <w:pPr>
              <w:ind w:left="345" w:hanging="335"/>
              <w:rPr>
                <w:sz w:val="22"/>
                <w:szCs w:val="22"/>
              </w:rPr>
            </w:pPr>
            <w:r>
              <w:rPr>
                <w:color w:val="000000"/>
                <w:sz w:val="22"/>
                <w:szCs w:val="22"/>
              </w:rPr>
              <w:t>Number of years since last fire (fires with unknown time since fire were given a value of 100)</w:t>
            </w:r>
          </w:p>
        </w:tc>
      </w:tr>
      <w:tr w:rsidR="00B6079B" w:rsidTr="009E6199">
        <w:trPr>
          <w:trHeight w:val="432"/>
        </w:trPr>
        <w:tc>
          <w:tcPr>
            <w:tcW w:w="268" w:type="dxa"/>
            <w:vAlign w:val="center"/>
          </w:tcPr>
          <w:p w:rsidR="00B6079B" w:rsidRDefault="00B6079B" w:rsidP="009E6199">
            <w:pPr>
              <w:rPr>
                <w:color w:val="000000"/>
                <w:sz w:val="22"/>
                <w:szCs w:val="22"/>
              </w:rPr>
            </w:pPr>
            <w:r>
              <w:rPr>
                <w:color w:val="000000"/>
                <w:sz w:val="22"/>
                <w:szCs w:val="22"/>
              </w:rPr>
              <w:t xml:space="preserve"> </w:t>
            </w:r>
          </w:p>
        </w:tc>
        <w:tc>
          <w:tcPr>
            <w:tcW w:w="3242" w:type="dxa"/>
            <w:vAlign w:val="center"/>
          </w:tcPr>
          <w:p w:rsidR="00B6079B" w:rsidRDefault="00B6079B" w:rsidP="009E6199">
            <w:pPr>
              <w:ind w:hanging="15"/>
              <w:rPr>
                <w:color w:val="000000"/>
                <w:sz w:val="22"/>
                <w:szCs w:val="22"/>
              </w:rPr>
            </w:pPr>
            <w:r>
              <w:rPr>
                <w:color w:val="000000"/>
                <w:sz w:val="22"/>
                <w:szCs w:val="22"/>
              </w:rPr>
              <w:t>Number of entries</w:t>
            </w:r>
            <w:r>
              <w:rPr>
                <w:color w:val="000000"/>
                <w:sz w:val="22"/>
                <w:szCs w:val="22"/>
                <w:vertAlign w:val="superscript"/>
              </w:rPr>
              <w:t>3</w:t>
            </w:r>
          </w:p>
        </w:tc>
        <w:tc>
          <w:tcPr>
            <w:tcW w:w="8911" w:type="dxa"/>
            <w:vAlign w:val="center"/>
          </w:tcPr>
          <w:p w:rsidR="00B6079B" w:rsidRDefault="00B6079B" w:rsidP="009E6199">
            <w:pPr>
              <w:ind w:left="345" w:hanging="335"/>
              <w:rPr>
                <w:sz w:val="22"/>
                <w:szCs w:val="22"/>
              </w:rPr>
            </w:pPr>
            <w:r>
              <w:rPr>
                <w:color w:val="000000"/>
                <w:sz w:val="22"/>
                <w:szCs w:val="22"/>
              </w:rPr>
              <w:t xml:space="preserve">Number of times a pixel burned </w:t>
            </w:r>
          </w:p>
        </w:tc>
      </w:tr>
      <w:tr w:rsidR="00B6079B" w:rsidTr="009E6199">
        <w:trPr>
          <w:trHeight w:val="432"/>
        </w:trPr>
        <w:tc>
          <w:tcPr>
            <w:tcW w:w="268" w:type="dxa"/>
            <w:vAlign w:val="center"/>
          </w:tcPr>
          <w:p w:rsidR="00B6079B" w:rsidRDefault="00B6079B" w:rsidP="009E6199">
            <w:pPr>
              <w:rPr>
                <w:color w:val="000000"/>
                <w:sz w:val="22"/>
                <w:szCs w:val="22"/>
              </w:rPr>
            </w:pPr>
          </w:p>
        </w:tc>
        <w:tc>
          <w:tcPr>
            <w:tcW w:w="3242" w:type="dxa"/>
            <w:tcBorders>
              <w:bottom w:val="single" w:sz="4" w:space="0" w:color="000000"/>
            </w:tcBorders>
            <w:vAlign w:val="center"/>
          </w:tcPr>
          <w:p w:rsidR="00B6079B" w:rsidRDefault="00B6079B" w:rsidP="009E6199">
            <w:pPr>
              <w:ind w:hanging="15"/>
              <w:rPr>
                <w:color w:val="000000"/>
                <w:sz w:val="22"/>
                <w:szCs w:val="22"/>
                <w:vertAlign w:val="superscript"/>
              </w:rPr>
            </w:pPr>
            <w:r>
              <w:rPr>
                <w:color w:val="000000"/>
                <w:sz w:val="22"/>
                <w:szCs w:val="22"/>
              </w:rPr>
              <w:t>RdNBR</w:t>
            </w:r>
            <w:r>
              <w:rPr>
                <w:color w:val="000000"/>
                <w:sz w:val="22"/>
                <w:szCs w:val="22"/>
                <w:vertAlign w:val="superscript"/>
              </w:rPr>
              <w:t>4</w:t>
            </w:r>
          </w:p>
        </w:tc>
        <w:tc>
          <w:tcPr>
            <w:tcW w:w="8911" w:type="dxa"/>
            <w:tcBorders>
              <w:bottom w:val="single" w:sz="4" w:space="0" w:color="000000"/>
            </w:tcBorders>
            <w:vAlign w:val="center"/>
          </w:tcPr>
          <w:p w:rsidR="00B6079B" w:rsidRDefault="00B6079B" w:rsidP="009E6199">
            <w:pPr>
              <w:ind w:left="345" w:hanging="335"/>
              <w:rPr>
                <w:sz w:val="22"/>
                <w:szCs w:val="22"/>
              </w:rPr>
            </w:pPr>
            <w:r>
              <w:rPr>
                <w:color w:val="000000"/>
                <w:sz w:val="22"/>
                <w:szCs w:val="22"/>
              </w:rPr>
              <w:t>Relativized delta normalized burn ratio</w:t>
            </w:r>
          </w:p>
        </w:tc>
      </w:tr>
    </w:tbl>
    <w:p w:rsidR="00B6079B" w:rsidRDefault="00B6079B" w:rsidP="00B6079B">
      <w:pPr>
        <w:pBdr>
          <w:top w:val="nil"/>
          <w:left w:val="nil"/>
          <w:bottom w:val="nil"/>
          <w:right w:val="nil"/>
          <w:between w:val="nil"/>
        </w:pBdr>
        <w:spacing w:after="240" w:line="240" w:lineRule="auto"/>
        <w:ind w:left="720" w:hanging="720"/>
        <w:rPr>
          <w:i/>
          <w:color w:val="000000"/>
          <w:sz w:val="22"/>
          <w:szCs w:val="22"/>
        </w:rPr>
      </w:pPr>
      <w:bookmarkStart w:id="3" w:name="_1v1yuxt" w:colFirst="0" w:colLast="0"/>
      <w:bookmarkEnd w:id="3"/>
      <w:r>
        <w:rPr>
          <w:i/>
          <w:color w:val="000000"/>
          <w:sz w:val="22"/>
          <w:szCs w:val="22"/>
          <w:vertAlign w:val="superscript"/>
        </w:rPr>
        <w:t>1</w:t>
      </w:r>
      <w:r>
        <w:rPr>
          <w:i/>
          <w:color w:val="000000"/>
          <w:sz w:val="22"/>
          <w:szCs w:val="22"/>
        </w:rPr>
        <w:t xml:space="preserve"> Northwest Climate Toolbox at the University of Idaho contains gridded (4-km spatial resolution) modeled datasets of surface meteorological data (Abatzoglou 2013, http://metdata.northwestknowledge.net) </w:t>
      </w:r>
      <w:r>
        <w:rPr>
          <w:i/>
          <w:color w:val="000000"/>
        </w:rPr>
        <w:t>(Abatzoglou, 2013a)</w:t>
      </w:r>
      <w:r>
        <w:rPr>
          <w:i/>
          <w:color w:val="000000"/>
          <w:sz w:val="22"/>
          <w:szCs w:val="22"/>
        </w:rPr>
        <w:t>. The spatially gridded data is created by combining regional temporal attributes and daily gauge-based measurements interpolated across the contiguous US.</w:t>
      </w:r>
    </w:p>
    <w:p w:rsidR="00B6079B" w:rsidRDefault="00B6079B" w:rsidP="00B6079B">
      <w:pPr>
        <w:pBdr>
          <w:top w:val="nil"/>
          <w:left w:val="nil"/>
          <w:bottom w:val="nil"/>
          <w:right w:val="nil"/>
          <w:between w:val="nil"/>
        </w:pBdr>
        <w:spacing w:after="240" w:line="240" w:lineRule="auto"/>
        <w:ind w:left="720" w:hanging="720"/>
        <w:rPr>
          <w:i/>
          <w:color w:val="000000"/>
          <w:sz w:val="22"/>
          <w:szCs w:val="22"/>
        </w:rPr>
      </w:pPr>
      <w:r>
        <w:rPr>
          <w:i/>
          <w:color w:val="000000"/>
          <w:sz w:val="22"/>
          <w:szCs w:val="22"/>
        </w:rPr>
        <w:t xml:space="preserve"> </w:t>
      </w:r>
      <w:r>
        <w:rPr>
          <w:i/>
          <w:color w:val="000000"/>
          <w:sz w:val="22"/>
          <w:szCs w:val="22"/>
          <w:vertAlign w:val="superscript"/>
        </w:rPr>
        <w:t xml:space="preserve">2 </w:t>
      </w:r>
      <w:r>
        <w:rPr>
          <w:i/>
          <w:color w:val="000000"/>
          <w:sz w:val="22"/>
          <w:szCs w:val="22"/>
        </w:rPr>
        <w:t>Remote automated weather stations (RAWS) for Bright Angel, Lindbergh Hill, and Drypark stations</w:t>
      </w:r>
    </w:p>
    <w:p w:rsidR="00B6079B" w:rsidRDefault="00B6079B" w:rsidP="00B6079B">
      <w:pPr>
        <w:pBdr>
          <w:top w:val="nil"/>
          <w:left w:val="nil"/>
          <w:bottom w:val="nil"/>
          <w:right w:val="nil"/>
          <w:between w:val="nil"/>
        </w:pBdr>
        <w:spacing w:after="240" w:line="240" w:lineRule="auto"/>
        <w:ind w:left="720" w:hanging="720"/>
        <w:rPr>
          <w:i/>
          <w:color w:val="000000"/>
          <w:sz w:val="22"/>
          <w:szCs w:val="22"/>
        </w:rPr>
      </w:pPr>
      <w:r>
        <w:rPr>
          <w:i/>
          <w:color w:val="000000"/>
          <w:sz w:val="22"/>
          <w:szCs w:val="22"/>
          <w:vertAlign w:val="superscript"/>
        </w:rPr>
        <w:t xml:space="preserve">3 </w:t>
      </w:r>
      <w:r>
        <w:rPr>
          <w:i/>
          <w:color w:val="000000"/>
          <w:sz w:val="22"/>
          <w:szCs w:val="22"/>
        </w:rPr>
        <w:t>Grand Canyon National Park ArcGIS layers</w:t>
      </w:r>
    </w:p>
    <w:p w:rsidR="00B6079B" w:rsidRDefault="00B6079B" w:rsidP="00B6079B">
      <w:pPr>
        <w:pBdr>
          <w:top w:val="nil"/>
          <w:left w:val="nil"/>
          <w:bottom w:val="nil"/>
          <w:right w:val="nil"/>
          <w:between w:val="nil"/>
        </w:pBdr>
        <w:spacing w:after="240" w:line="240" w:lineRule="auto"/>
        <w:ind w:left="720" w:hanging="720"/>
        <w:rPr>
          <w:i/>
          <w:color w:val="000000"/>
          <w:sz w:val="22"/>
          <w:szCs w:val="22"/>
        </w:rPr>
        <w:sectPr w:rsidR="00B6079B" w:rsidSect="00EB0DFF">
          <w:pgSz w:w="15840" w:h="12240" w:orient="landscape"/>
          <w:pgMar w:top="1440" w:right="1440" w:bottom="1440" w:left="1440" w:header="720" w:footer="720" w:gutter="0"/>
          <w:cols w:space="720"/>
          <w:titlePg/>
          <w:docGrid w:linePitch="326"/>
        </w:sectPr>
      </w:pPr>
      <w:r>
        <w:rPr>
          <w:i/>
          <w:color w:val="000000"/>
          <w:sz w:val="22"/>
          <w:szCs w:val="22"/>
          <w:vertAlign w:val="superscript"/>
        </w:rPr>
        <w:t xml:space="preserve">4 </w:t>
      </w:r>
      <w:r>
        <w:rPr>
          <w:i/>
          <w:color w:val="000000"/>
          <w:sz w:val="22"/>
          <w:szCs w:val="22"/>
        </w:rPr>
        <w:t>Parks et al. 2018; Google Earth Engine</w:t>
      </w:r>
    </w:p>
    <w:p w:rsidR="00B6079B" w:rsidRDefault="00B6079B" w:rsidP="00B6079B">
      <w:pPr>
        <w:keepNext/>
        <w:ind w:firstLine="0"/>
      </w:pPr>
      <w:r>
        <w:rPr>
          <w:noProof/>
        </w:rPr>
        <w:lastRenderedPageBreak/>
        <w:drawing>
          <wp:inline distT="0" distB="0" distL="0" distR="0" wp14:anchorId="64DF7A62" wp14:editId="6C66E3C1">
            <wp:extent cx="5942081" cy="4113281"/>
            <wp:effectExtent l="0" t="0" r="1905" b="1905"/>
            <wp:docPr id="23" name="Picture 2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scatter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2081" cy="4113281"/>
                    </a:xfrm>
                    <a:prstGeom prst="rect">
                      <a:avLst/>
                    </a:prstGeom>
                  </pic:spPr>
                </pic:pic>
              </a:graphicData>
            </a:graphic>
          </wp:inline>
        </w:drawing>
      </w:r>
    </w:p>
    <w:p w:rsidR="00B6079B" w:rsidRPr="00320114" w:rsidRDefault="00B6079B" w:rsidP="00B6079B">
      <w:pPr>
        <w:pStyle w:val="Caption"/>
      </w:pPr>
      <w:bookmarkStart w:id="4" w:name="_4f1mdlm" w:colFirst="0" w:colLast="0"/>
      <w:bookmarkStart w:id="5" w:name="_Toc61940398"/>
      <w:bookmarkEnd w:id="4"/>
      <w:r>
        <w:t xml:space="preserve">Figure A1. </w:t>
      </w:r>
      <w:r w:rsidRPr="00320114">
        <w:t xml:space="preserve">Quadratic regression model of the relative differenced normalized burn ratio (RdNBR) versus 1,062 field-measured composite burn index (CBI) plots at Grand Canyon National Park. Crossed lines show the threshold for high severity (CBI= 2.25; RdNBR= </w:t>
      </w:r>
      <w:r>
        <w:t>682</w:t>
      </w:r>
      <w:r w:rsidRPr="00320114">
        <w:t>).</w:t>
      </w:r>
      <w:bookmarkEnd w:id="5"/>
    </w:p>
    <w:p w:rsidR="00B6079B" w:rsidRDefault="00B6079B" w:rsidP="00B6079B">
      <w:pPr>
        <w:spacing w:after="160" w:line="259" w:lineRule="auto"/>
        <w:rPr>
          <w:i/>
          <w:sz w:val="22"/>
          <w:szCs w:val="22"/>
        </w:rPr>
      </w:pPr>
      <w:bookmarkStart w:id="6" w:name="_2u6wntf" w:colFirst="0" w:colLast="0"/>
      <w:bookmarkEnd w:id="6"/>
      <w:r>
        <w:br w:type="page"/>
      </w:r>
    </w:p>
    <w:p w:rsidR="00B6079B" w:rsidRDefault="00B6079B" w:rsidP="00B6079B">
      <w:pPr>
        <w:pStyle w:val="Caption"/>
      </w:pPr>
      <w:bookmarkStart w:id="7" w:name="_Toc61940389"/>
      <w:r>
        <w:lastRenderedPageBreak/>
        <w:t>Table A2. RdNBR severity thresholds. An adjusted value for RdNBR was used for the burn severity and fire spread prediction tables so that the low severity threshold was set to 0.</w:t>
      </w:r>
      <w:bookmarkEnd w:id="7"/>
    </w:p>
    <w:tbl>
      <w:tblPr>
        <w:tblW w:w="9240" w:type="dxa"/>
        <w:jc w:val="center"/>
        <w:tblLayout w:type="fixed"/>
        <w:tblCellMar>
          <w:left w:w="0" w:type="dxa"/>
          <w:right w:w="0" w:type="dxa"/>
        </w:tblCellMar>
        <w:tblLook w:val="04A0" w:firstRow="1" w:lastRow="0" w:firstColumn="1" w:lastColumn="0" w:noHBand="0" w:noVBand="1"/>
      </w:tblPr>
      <w:tblGrid>
        <w:gridCol w:w="2310"/>
        <w:gridCol w:w="2310"/>
        <w:gridCol w:w="2310"/>
        <w:gridCol w:w="2310"/>
      </w:tblGrid>
      <w:tr w:rsidR="00B6079B" w:rsidTr="009E6199">
        <w:trPr>
          <w:trHeight w:val="458"/>
          <w:jc w:val="center"/>
        </w:trPr>
        <w:tc>
          <w:tcPr>
            <w:tcW w:w="2310" w:type="dxa"/>
            <w:tcBorders>
              <w:top w:val="single" w:sz="4" w:space="0" w:color="auto"/>
              <w:bottom w:val="single" w:sz="4" w:space="0" w:color="auto"/>
            </w:tcBorders>
            <w:vAlign w:val="center"/>
          </w:tcPr>
          <w:p w:rsidR="00B6079B" w:rsidRPr="00E91D7D" w:rsidRDefault="00B6079B" w:rsidP="009E6199">
            <w:pPr>
              <w:ind w:hanging="15"/>
              <w:jc w:val="center"/>
              <w:rPr>
                <w:b/>
              </w:rPr>
            </w:pPr>
            <w:r w:rsidRPr="00E91D7D">
              <w:rPr>
                <w:b/>
              </w:rPr>
              <w:t>Severity Class</w:t>
            </w:r>
          </w:p>
        </w:tc>
        <w:tc>
          <w:tcPr>
            <w:tcW w:w="2310" w:type="dxa"/>
            <w:tcBorders>
              <w:top w:val="single" w:sz="4" w:space="0" w:color="auto"/>
              <w:bottom w:val="single" w:sz="4" w:space="0" w:color="auto"/>
            </w:tcBorders>
            <w:vAlign w:val="center"/>
          </w:tcPr>
          <w:p w:rsidR="00B6079B" w:rsidRPr="00E91D7D" w:rsidRDefault="00B6079B" w:rsidP="009E6199">
            <w:pPr>
              <w:ind w:firstLine="0"/>
              <w:jc w:val="center"/>
              <w:rPr>
                <w:b/>
              </w:rPr>
            </w:pPr>
            <w:r w:rsidRPr="00E91D7D">
              <w:rPr>
                <w:b/>
              </w:rPr>
              <w:t>CBI</w:t>
            </w:r>
          </w:p>
        </w:tc>
        <w:tc>
          <w:tcPr>
            <w:tcW w:w="2310" w:type="dxa"/>
            <w:tcBorders>
              <w:top w:val="single" w:sz="4" w:space="0" w:color="auto"/>
              <w:bottom w:val="single" w:sz="4" w:space="0" w:color="auto"/>
            </w:tcBorders>
            <w:vAlign w:val="center"/>
          </w:tcPr>
          <w:p w:rsidR="00B6079B" w:rsidRPr="00E91D7D" w:rsidRDefault="00B6079B" w:rsidP="009E6199">
            <w:pPr>
              <w:ind w:firstLine="0"/>
              <w:jc w:val="center"/>
              <w:rPr>
                <w:b/>
              </w:rPr>
            </w:pPr>
            <w:r w:rsidRPr="00E91D7D">
              <w:rPr>
                <w:b/>
              </w:rPr>
              <w:t>RdNBR</w:t>
            </w:r>
          </w:p>
        </w:tc>
        <w:tc>
          <w:tcPr>
            <w:tcW w:w="2310" w:type="dxa"/>
            <w:tcBorders>
              <w:top w:val="single" w:sz="4" w:space="0" w:color="auto"/>
              <w:bottom w:val="single" w:sz="4" w:space="0" w:color="auto"/>
            </w:tcBorders>
            <w:vAlign w:val="center"/>
          </w:tcPr>
          <w:p w:rsidR="00B6079B" w:rsidRPr="00E91D7D" w:rsidRDefault="00B6079B" w:rsidP="009E6199">
            <w:pPr>
              <w:ind w:firstLine="0"/>
              <w:jc w:val="center"/>
              <w:rPr>
                <w:b/>
              </w:rPr>
            </w:pPr>
            <w:r w:rsidRPr="00E91D7D">
              <w:rPr>
                <w:b/>
              </w:rPr>
              <w:t>RdNBR adjusted</w:t>
            </w:r>
          </w:p>
        </w:tc>
      </w:tr>
      <w:tr w:rsidR="00B6079B" w:rsidTr="009E6199">
        <w:trPr>
          <w:trHeight w:val="20"/>
          <w:jc w:val="center"/>
        </w:trPr>
        <w:tc>
          <w:tcPr>
            <w:tcW w:w="2310" w:type="dxa"/>
            <w:vAlign w:val="center"/>
          </w:tcPr>
          <w:p w:rsidR="00B6079B" w:rsidRPr="00E91D7D" w:rsidRDefault="00B6079B" w:rsidP="009E6199">
            <w:pPr>
              <w:ind w:firstLine="450"/>
            </w:pPr>
            <w:r w:rsidRPr="00E91D7D">
              <w:t>Unburned</w:t>
            </w:r>
          </w:p>
        </w:tc>
        <w:tc>
          <w:tcPr>
            <w:tcW w:w="2310" w:type="dxa"/>
            <w:shd w:val="clear" w:color="auto" w:fill="FFFFFF" w:themeFill="background1"/>
            <w:vAlign w:val="center"/>
          </w:tcPr>
          <w:p w:rsidR="00B6079B" w:rsidRPr="00E91D7D" w:rsidRDefault="00B6079B" w:rsidP="009E6199">
            <w:pPr>
              <w:ind w:firstLine="741"/>
            </w:pPr>
            <w:r w:rsidRPr="00E91D7D">
              <w:t>0.00 – 0.5</w:t>
            </w:r>
          </w:p>
        </w:tc>
        <w:tc>
          <w:tcPr>
            <w:tcW w:w="2310" w:type="dxa"/>
            <w:shd w:val="clear" w:color="auto" w:fill="FFFFFF" w:themeFill="background1"/>
            <w:vAlign w:val="center"/>
          </w:tcPr>
          <w:p w:rsidR="00B6079B" w:rsidRPr="00E91D7D" w:rsidRDefault="00B6079B" w:rsidP="009E6199">
            <w:pPr>
              <w:ind w:firstLine="781"/>
            </w:pPr>
            <w:r w:rsidRPr="00E91D7D">
              <w:t xml:space="preserve">&lt; </w:t>
            </w:r>
            <w:r>
              <w:t>72</w:t>
            </w:r>
          </w:p>
        </w:tc>
        <w:tc>
          <w:tcPr>
            <w:tcW w:w="2310" w:type="dxa"/>
            <w:shd w:val="clear" w:color="auto" w:fill="FFFFFF" w:themeFill="background1"/>
            <w:vAlign w:val="center"/>
          </w:tcPr>
          <w:p w:rsidR="00B6079B" w:rsidRPr="00E91D7D" w:rsidRDefault="00B6079B" w:rsidP="009E6199">
            <w:pPr>
              <w:ind w:firstLine="532"/>
            </w:pPr>
            <w:r w:rsidRPr="00E91D7D">
              <w:t>&lt; 0</w:t>
            </w:r>
          </w:p>
        </w:tc>
      </w:tr>
      <w:tr w:rsidR="00B6079B" w:rsidTr="009E6199">
        <w:trPr>
          <w:trHeight w:val="20"/>
          <w:jc w:val="center"/>
        </w:trPr>
        <w:tc>
          <w:tcPr>
            <w:tcW w:w="2310" w:type="dxa"/>
            <w:vAlign w:val="center"/>
          </w:tcPr>
          <w:p w:rsidR="00B6079B" w:rsidRPr="00E91D7D" w:rsidRDefault="00B6079B" w:rsidP="009E6199">
            <w:pPr>
              <w:ind w:firstLine="450"/>
            </w:pPr>
            <w:r w:rsidRPr="00E91D7D">
              <w:t>Low</w:t>
            </w:r>
          </w:p>
        </w:tc>
        <w:tc>
          <w:tcPr>
            <w:tcW w:w="2310" w:type="dxa"/>
            <w:shd w:val="clear" w:color="auto" w:fill="auto"/>
            <w:vAlign w:val="center"/>
          </w:tcPr>
          <w:p w:rsidR="00B6079B" w:rsidRPr="00E91D7D" w:rsidRDefault="00B6079B" w:rsidP="009E6199">
            <w:pPr>
              <w:ind w:firstLine="741"/>
            </w:pPr>
            <w:r w:rsidRPr="00E91D7D">
              <w:t>0.50 – 1.50</w:t>
            </w:r>
          </w:p>
        </w:tc>
        <w:tc>
          <w:tcPr>
            <w:tcW w:w="2310" w:type="dxa"/>
            <w:shd w:val="clear" w:color="auto" w:fill="auto"/>
            <w:vAlign w:val="center"/>
          </w:tcPr>
          <w:p w:rsidR="00B6079B" w:rsidRPr="00E91D7D" w:rsidRDefault="00B6079B" w:rsidP="009E6199">
            <w:pPr>
              <w:ind w:firstLine="781"/>
            </w:pPr>
            <w:r>
              <w:t>73</w:t>
            </w:r>
            <w:r w:rsidRPr="00E91D7D">
              <w:t xml:space="preserve"> - </w:t>
            </w:r>
            <w:r>
              <w:t>420</w:t>
            </w:r>
          </w:p>
        </w:tc>
        <w:tc>
          <w:tcPr>
            <w:tcW w:w="2310" w:type="dxa"/>
            <w:shd w:val="clear" w:color="auto" w:fill="auto"/>
            <w:vAlign w:val="center"/>
          </w:tcPr>
          <w:p w:rsidR="00B6079B" w:rsidRPr="00E91D7D" w:rsidRDefault="00B6079B" w:rsidP="009E6199">
            <w:pPr>
              <w:ind w:firstLine="532"/>
            </w:pPr>
            <w:r>
              <w:t>1</w:t>
            </w:r>
            <w:r w:rsidRPr="00E91D7D">
              <w:t xml:space="preserve"> - </w:t>
            </w:r>
            <w:r>
              <w:t>348</w:t>
            </w:r>
          </w:p>
        </w:tc>
      </w:tr>
      <w:tr w:rsidR="00B6079B" w:rsidTr="009E6199">
        <w:trPr>
          <w:trHeight w:val="20"/>
          <w:jc w:val="center"/>
        </w:trPr>
        <w:tc>
          <w:tcPr>
            <w:tcW w:w="2310" w:type="dxa"/>
            <w:vAlign w:val="center"/>
          </w:tcPr>
          <w:p w:rsidR="00B6079B" w:rsidRPr="00E91D7D" w:rsidRDefault="00B6079B" w:rsidP="009E6199">
            <w:pPr>
              <w:ind w:firstLine="450"/>
            </w:pPr>
            <w:r w:rsidRPr="00E91D7D">
              <w:t>Moderate</w:t>
            </w:r>
          </w:p>
        </w:tc>
        <w:tc>
          <w:tcPr>
            <w:tcW w:w="2310" w:type="dxa"/>
            <w:shd w:val="clear" w:color="auto" w:fill="auto"/>
            <w:vAlign w:val="center"/>
          </w:tcPr>
          <w:p w:rsidR="00B6079B" w:rsidRPr="00E91D7D" w:rsidRDefault="00B6079B" w:rsidP="009E6199">
            <w:pPr>
              <w:ind w:firstLine="741"/>
            </w:pPr>
            <w:r w:rsidRPr="00E91D7D">
              <w:t>1.50 – 2.25</w:t>
            </w:r>
          </w:p>
        </w:tc>
        <w:tc>
          <w:tcPr>
            <w:tcW w:w="2310" w:type="dxa"/>
            <w:shd w:val="clear" w:color="auto" w:fill="auto"/>
            <w:vAlign w:val="center"/>
          </w:tcPr>
          <w:p w:rsidR="00B6079B" w:rsidRPr="00E91D7D" w:rsidRDefault="00B6079B" w:rsidP="009E6199">
            <w:pPr>
              <w:ind w:firstLine="781"/>
            </w:pPr>
            <w:r>
              <w:t>421</w:t>
            </w:r>
            <w:r w:rsidRPr="00E91D7D">
              <w:t xml:space="preserve"> - </w:t>
            </w:r>
            <w:r>
              <w:t>681</w:t>
            </w:r>
          </w:p>
        </w:tc>
        <w:tc>
          <w:tcPr>
            <w:tcW w:w="2310" w:type="dxa"/>
            <w:shd w:val="clear" w:color="auto" w:fill="auto"/>
            <w:vAlign w:val="center"/>
          </w:tcPr>
          <w:p w:rsidR="00B6079B" w:rsidRPr="00E91D7D" w:rsidRDefault="00B6079B" w:rsidP="009E6199">
            <w:pPr>
              <w:ind w:firstLine="532"/>
            </w:pPr>
            <w:r>
              <w:t>349</w:t>
            </w:r>
            <w:r w:rsidRPr="00E91D7D">
              <w:t xml:space="preserve"> - </w:t>
            </w:r>
            <w:r>
              <w:t>609</w:t>
            </w:r>
          </w:p>
        </w:tc>
      </w:tr>
      <w:tr w:rsidR="00B6079B" w:rsidTr="009E6199">
        <w:trPr>
          <w:trHeight w:val="20"/>
          <w:jc w:val="center"/>
        </w:trPr>
        <w:tc>
          <w:tcPr>
            <w:tcW w:w="2310" w:type="dxa"/>
            <w:tcBorders>
              <w:bottom w:val="single" w:sz="4" w:space="0" w:color="auto"/>
            </w:tcBorders>
            <w:vAlign w:val="center"/>
          </w:tcPr>
          <w:p w:rsidR="00B6079B" w:rsidRPr="00E91D7D" w:rsidRDefault="00B6079B" w:rsidP="009E6199">
            <w:pPr>
              <w:ind w:firstLine="450"/>
            </w:pPr>
            <w:r w:rsidRPr="00E91D7D">
              <w:t>High</w:t>
            </w:r>
          </w:p>
        </w:tc>
        <w:tc>
          <w:tcPr>
            <w:tcW w:w="2310" w:type="dxa"/>
            <w:tcBorders>
              <w:bottom w:val="single" w:sz="4" w:space="0" w:color="auto"/>
            </w:tcBorders>
            <w:shd w:val="clear" w:color="auto" w:fill="auto"/>
            <w:vAlign w:val="center"/>
          </w:tcPr>
          <w:p w:rsidR="00B6079B" w:rsidRPr="00E91D7D" w:rsidRDefault="00B6079B" w:rsidP="009E6199">
            <w:pPr>
              <w:ind w:firstLine="741"/>
            </w:pPr>
            <w:r w:rsidRPr="00E91D7D">
              <w:t>2.25</w:t>
            </w:r>
          </w:p>
        </w:tc>
        <w:tc>
          <w:tcPr>
            <w:tcW w:w="2310" w:type="dxa"/>
            <w:tcBorders>
              <w:bottom w:val="single" w:sz="4" w:space="0" w:color="auto"/>
            </w:tcBorders>
            <w:shd w:val="clear" w:color="auto" w:fill="auto"/>
            <w:vAlign w:val="center"/>
          </w:tcPr>
          <w:p w:rsidR="00B6079B" w:rsidRPr="00E91D7D" w:rsidRDefault="00B6079B" w:rsidP="009E6199">
            <w:pPr>
              <w:ind w:firstLine="781"/>
            </w:pPr>
            <w:r w:rsidRPr="00E91D7D">
              <w:rPr>
                <w:rFonts w:eastAsia="Gungsuh"/>
              </w:rPr>
              <w:t xml:space="preserve">≥ </w:t>
            </w:r>
            <w:r>
              <w:rPr>
                <w:rFonts w:eastAsia="Gungsuh"/>
              </w:rPr>
              <w:t>682</w:t>
            </w:r>
          </w:p>
        </w:tc>
        <w:tc>
          <w:tcPr>
            <w:tcW w:w="2310" w:type="dxa"/>
            <w:tcBorders>
              <w:bottom w:val="single" w:sz="4" w:space="0" w:color="auto"/>
            </w:tcBorders>
            <w:shd w:val="clear" w:color="auto" w:fill="auto"/>
            <w:vAlign w:val="center"/>
          </w:tcPr>
          <w:p w:rsidR="00B6079B" w:rsidRPr="00E91D7D" w:rsidRDefault="00B6079B" w:rsidP="009E6199">
            <w:pPr>
              <w:ind w:firstLine="532"/>
            </w:pPr>
            <w:r w:rsidRPr="00E91D7D">
              <w:rPr>
                <w:rFonts w:eastAsia="Gungsuh"/>
              </w:rPr>
              <w:t xml:space="preserve">≥ </w:t>
            </w:r>
            <w:r>
              <w:rPr>
                <w:rFonts w:eastAsia="Gungsuh"/>
              </w:rPr>
              <w:t>610</w:t>
            </w:r>
          </w:p>
        </w:tc>
      </w:tr>
    </w:tbl>
    <w:p w:rsidR="00B6079B" w:rsidRDefault="00B6079B" w:rsidP="00B6079B"/>
    <w:p w:rsidR="00B6079B" w:rsidRDefault="00B6079B" w:rsidP="00B6079B">
      <w:pPr>
        <w:spacing w:after="160" w:line="259" w:lineRule="auto"/>
        <w:rPr>
          <w:i/>
          <w:sz w:val="22"/>
          <w:szCs w:val="22"/>
        </w:rPr>
      </w:pPr>
      <w:r>
        <w:br w:type="page"/>
      </w:r>
    </w:p>
    <w:p w:rsidR="00B6079B" w:rsidRPr="00071BE1" w:rsidRDefault="00B6079B" w:rsidP="00B6079B">
      <w:pPr>
        <w:pStyle w:val="Caption"/>
      </w:pPr>
      <w:bookmarkStart w:id="8" w:name="_Toc61940390"/>
      <w:r>
        <w:lastRenderedPageBreak/>
        <w:t xml:space="preserve">Table A3. </w:t>
      </w:r>
      <w:r w:rsidRPr="00071BE1">
        <w:t>A list of predictor variables and their assessed daily ’collapsed’ value for the spread model analyses. For variables that were normally distributed, the daily mean</w:t>
      </w:r>
      <w:r>
        <w:t xml:space="preserve"> was assessed</w:t>
      </w:r>
      <w:r w:rsidRPr="00071BE1">
        <w:t xml:space="preserve"> while those variables that were non-normally distributed were assessed at the daily median.</w:t>
      </w:r>
      <w:bookmarkEnd w:id="8"/>
    </w:p>
    <w:tbl>
      <w:tblPr>
        <w:tblW w:w="7527" w:type="dxa"/>
        <w:tblBorders>
          <w:top w:val="nil"/>
          <w:left w:val="nil"/>
          <w:bottom w:val="nil"/>
          <w:right w:val="nil"/>
          <w:insideH w:val="nil"/>
          <w:insideV w:val="nil"/>
        </w:tblBorders>
        <w:tblLayout w:type="fixed"/>
        <w:tblCellMar>
          <w:left w:w="0" w:type="dxa"/>
          <w:right w:w="0" w:type="dxa"/>
        </w:tblCellMar>
        <w:tblLook w:val="0400" w:firstRow="0" w:lastRow="0" w:firstColumn="0" w:lastColumn="0" w:noHBand="0" w:noVBand="1"/>
      </w:tblPr>
      <w:tblGrid>
        <w:gridCol w:w="4410"/>
        <w:gridCol w:w="3117"/>
      </w:tblGrid>
      <w:tr w:rsidR="00B6079B" w:rsidTr="009E6199">
        <w:trPr>
          <w:trHeight w:val="432"/>
        </w:trPr>
        <w:tc>
          <w:tcPr>
            <w:tcW w:w="4410" w:type="dxa"/>
            <w:tcBorders>
              <w:top w:val="single" w:sz="4" w:space="0" w:color="000000"/>
              <w:bottom w:val="single" w:sz="4" w:space="0" w:color="000000"/>
            </w:tcBorders>
            <w:vAlign w:val="center"/>
          </w:tcPr>
          <w:p w:rsidR="00B6079B" w:rsidRPr="00FB6556" w:rsidRDefault="00B6079B" w:rsidP="009E6199">
            <w:pPr>
              <w:ind w:firstLine="0"/>
              <w:rPr>
                <w:b/>
              </w:rPr>
            </w:pPr>
            <w:r w:rsidRPr="00FB6556">
              <w:rPr>
                <w:b/>
              </w:rPr>
              <w:t>Predictor Variable</w:t>
            </w:r>
          </w:p>
        </w:tc>
        <w:tc>
          <w:tcPr>
            <w:tcW w:w="3117" w:type="dxa"/>
            <w:tcBorders>
              <w:top w:val="single" w:sz="4" w:space="0" w:color="000000"/>
              <w:bottom w:val="single" w:sz="4" w:space="0" w:color="000000"/>
            </w:tcBorders>
            <w:vAlign w:val="center"/>
          </w:tcPr>
          <w:p w:rsidR="00B6079B" w:rsidRPr="00FB6556" w:rsidRDefault="00B6079B" w:rsidP="009E6199">
            <w:pPr>
              <w:ind w:firstLine="0"/>
              <w:jc w:val="center"/>
              <w:rPr>
                <w:b/>
              </w:rPr>
            </w:pPr>
            <w:r w:rsidRPr="00FB6556">
              <w:rPr>
                <w:b/>
              </w:rPr>
              <w:t>Measure of Center</w:t>
            </w:r>
          </w:p>
        </w:tc>
      </w:tr>
      <w:tr w:rsidR="00B6079B" w:rsidTr="009E6199">
        <w:trPr>
          <w:trHeight w:val="432"/>
        </w:trPr>
        <w:tc>
          <w:tcPr>
            <w:tcW w:w="4410" w:type="dxa"/>
            <w:vAlign w:val="center"/>
          </w:tcPr>
          <w:p w:rsidR="00B6079B" w:rsidRPr="00FB6556" w:rsidRDefault="00B6079B" w:rsidP="009E6199">
            <w:pPr>
              <w:ind w:firstLine="0"/>
            </w:pPr>
            <w:r w:rsidRPr="00FB6556">
              <w:t>Burning Index</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Elevation</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Entries (minimum/maximum)</w:t>
            </w:r>
          </w:p>
        </w:tc>
        <w:tc>
          <w:tcPr>
            <w:tcW w:w="3117" w:type="dxa"/>
            <w:vAlign w:val="center"/>
          </w:tcPr>
          <w:p w:rsidR="00B6079B" w:rsidRPr="00FB6556" w:rsidRDefault="00B6079B" w:rsidP="009E6199">
            <w:pPr>
              <w:ind w:firstLine="0"/>
              <w:jc w:val="center"/>
            </w:pPr>
            <w:r w:rsidRPr="00FB6556">
              <w:t>Mean</w:t>
            </w:r>
          </w:p>
        </w:tc>
      </w:tr>
      <w:tr w:rsidR="00B6079B" w:rsidTr="009E6199">
        <w:trPr>
          <w:trHeight w:val="432"/>
        </w:trPr>
        <w:tc>
          <w:tcPr>
            <w:tcW w:w="4410" w:type="dxa"/>
            <w:vAlign w:val="center"/>
          </w:tcPr>
          <w:p w:rsidR="00B6079B" w:rsidRPr="00FB6556" w:rsidRDefault="00B6079B" w:rsidP="009E6199">
            <w:pPr>
              <w:ind w:firstLine="0"/>
            </w:pPr>
            <w:r w:rsidRPr="00FB6556">
              <w:t>FM100</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FM1000</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 xml:space="preserve">Mean </w:t>
            </w:r>
            <w:r>
              <w:t>s</w:t>
            </w:r>
            <w:r w:rsidRPr="00FB6556">
              <w:t>lope</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PDSI</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Precipitation</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 xml:space="preserve">Relative </w:t>
            </w:r>
            <w:r>
              <w:t>h</w:t>
            </w:r>
            <w:r w:rsidRPr="00FB6556">
              <w:t>umidity (minimum/maximum)</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Temperature (minimum/maximum)</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 xml:space="preserve">Time </w:t>
            </w:r>
            <w:r>
              <w:t>s</w:t>
            </w:r>
            <w:r w:rsidRPr="00FB6556">
              <w:t xml:space="preserve">ince </w:t>
            </w:r>
            <w:r>
              <w:t>f</w:t>
            </w:r>
            <w:r w:rsidRPr="00FB6556">
              <w:t>ire (minimum/maximum)</w:t>
            </w:r>
          </w:p>
        </w:tc>
        <w:tc>
          <w:tcPr>
            <w:tcW w:w="3117" w:type="dxa"/>
            <w:vAlign w:val="center"/>
          </w:tcPr>
          <w:p w:rsidR="00B6079B" w:rsidRPr="00FB6556" w:rsidRDefault="00B6079B" w:rsidP="009E6199">
            <w:pPr>
              <w:ind w:firstLine="0"/>
              <w:jc w:val="center"/>
            </w:pPr>
            <w:r w:rsidRPr="00FB6556">
              <w:t>Mean</w:t>
            </w:r>
          </w:p>
        </w:tc>
      </w:tr>
      <w:tr w:rsidR="00B6079B" w:rsidTr="009E6199">
        <w:trPr>
          <w:trHeight w:val="432"/>
        </w:trPr>
        <w:tc>
          <w:tcPr>
            <w:tcW w:w="4410" w:type="dxa"/>
            <w:vAlign w:val="center"/>
          </w:tcPr>
          <w:p w:rsidR="00B6079B" w:rsidRPr="00FB6556" w:rsidRDefault="00B6079B" w:rsidP="009E6199">
            <w:pPr>
              <w:ind w:firstLine="0"/>
            </w:pPr>
            <w:r w:rsidRPr="00FB6556">
              <w:t>TRASP</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vAlign w:val="center"/>
          </w:tcPr>
          <w:p w:rsidR="00B6079B" w:rsidRPr="00FB6556" w:rsidRDefault="00B6079B" w:rsidP="009E6199">
            <w:pPr>
              <w:ind w:firstLine="0"/>
            </w:pPr>
            <w:r w:rsidRPr="00FB6556">
              <w:t xml:space="preserve">Vapor </w:t>
            </w:r>
            <w:r>
              <w:t>p</w:t>
            </w:r>
            <w:r w:rsidRPr="00FB6556">
              <w:t xml:space="preserve">ressure </w:t>
            </w:r>
            <w:r>
              <w:t>d</w:t>
            </w:r>
            <w:r w:rsidRPr="00FB6556">
              <w:t>eficit</w:t>
            </w:r>
          </w:p>
        </w:tc>
        <w:tc>
          <w:tcPr>
            <w:tcW w:w="3117" w:type="dxa"/>
            <w:vAlign w:val="center"/>
          </w:tcPr>
          <w:p w:rsidR="00B6079B" w:rsidRPr="00FB6556" w:rsidRDefault="00B6079B" w:rsidP="009E6199">
            <w:pPr>
              <w:ind w:firstLine="0"/>
              <w:jc w:val="center"/>
            </w:pPr>
            <w:r w:rsidRPr="00FB6556">
              <w:t>Median</w:t>
            </w:r>
          </w:p>
        </w:tc>
      </w:tr>
      <w:tr w:rsidR="00B6079B" w:rsidTr="009E6199">
        <w:trPr>
          <w:trHeight w:val="432"/>
        </w:trPr>
        <w:tc>
          <w:tcPr>
            <w:tcW w:w="4410" w:type="dxa"/>
            <w:tcBorders>
              <w:bottom w:val="single" w:sz="4" w:space="0" w:color="000000"/>
            </w:tcBorders>
            <w:vAlign w:val="center"/>
          </w:tcPr>
          <w:p w:rsidR="00B6079B" w:rsidRPr="00FB6556" w:rsidRDefault="00B6079B" w:rsidP="009E6199">
            <w:pPr>
              <w:ind w:firstLine="0"/>
            </w:pPr>
            <w:r w:rsidRPr="00FB6556">
              <w:t xml:space="preserve">Wind </w:t>
            </w:r>
            <w:r>
              <w:t>s</w:t>
            </w:r>
            <w:r w:rsidRPr="00FB6556">
              <w:t>peed</w:t>
            </w:r>
          </w:p>
        </w:tc>
        <w:tc>
          <w:tcPr>
            <w:tcW w:w="3117" w:type="dxa"/>
            <w:tcBorders>
              <w:bottom w:val="single" w:sz="4" w:space="0" w:color="000000"/>
            </w:tcBorders>
            <w:vAlign w:val="center"/>
          </w:tcPr>
          <w:p w:rsidR="00B6079B" w:rsidRPr="00FB6556" w:rsidRDefault="00B6079B" w:rsidP="009E6199">
            <w:pPr>
              <w:ind w:firstLine="0"/>
              <w:jc w:val="center"/>
            </w:pPr>
            <w:r w:rsidRPr="00FB6556">
              <w:t>Median</w:t>
            </w:r>
          </w:p>
        </w:tc>
      </w:tr>
    </w:tbl>
    <w:p w:rsidR="00B6079B" w:rsidRDefault="00B6079B" w:rsidP="00B6079B">
      <w:pPr>
        <w:pBdr>
          <w:top w:val="nil"/>
          <w:left w:val="nil"/>
          <w:bottom w:val="nil"/>
          <w:right w:val="nil"/>
          <w:between w:val="nil"/>
        </w:pBdr>
        <w:spacing w:after="240" w:line="240" w:lineRule="auto"/>
        <w:ind w:firstLine="0"/>
        <w:rPr>
          <w:i/>
          <w:color w:val="000000"/>
          <w:sz w:val="22"/>
          <w:szCs w:val="22"/>
        </w:rPr>
        <w:sectPr w:rsidR="00B6079B" w:rsidSect="00EB0DFF">
          <w:pgSz w:w="12240" w:h="15840"/>
          <w:pgMar w:top="1440" w:right="1440" w:bottom="1440" w:left="1440" w:header="720" w:footer="720" w:gutter="0"/>
          <w:cols w:space="720"/>
          <w:titlePg/>
        </w:sectPr>
      </w:pPr>
    </w:p>
    <w:p w:rsidR="00B6079B" w:rsidRDefault="00B6079B" w:rsidP="00B6079B">
      <w:pPr>
        <w:pStyle w:val="Heading1"/>
      </w:pPr>
      <w:bookmarkStart w:id="9" w:name="_Toc72335553"/>
      <w:r>
        <w:lastRenderedPageBreak/>
        <w:t>Appendix B.</w:t>
      </w:r>
      <w:bookmarkEnd w:id="9"/>
    </w:p>
    <w:p w:rsidR="00B6079B" w:rsidRDefault="00B6079B" w:rsidP="00B6079B">
      <w:r>
        <w:t xml:space="preserve">Partial dependency plots were generated to assist in visualizing the effect of each variable on the response after accounting for the fixed effects of all other variables in the model </w:t>
      </w:r>
      <w:r>
        <w:fldChar w:fldCharType="begin"/>
      </w:r>
      <w:r>
        <w:instrText xml:space="preserve"> ADDIN ZOTERO_ITEM CSL_CITATION {"citationID":"Nl2qE9di","properties":{"formattedCitation":"(Elith, Leathwick, and Hastie 2008)","plainCitation":"(Elith, Leathwick, and Hastie 2008)","noteIndex":0},"citationItems":[{"id":240,"uris":["http://zotero.org/users/6571653/items/955JBCBT"],"uri":["http://zotero.org/users/6571653/items/955JBCBT"],"itemData":{"id":240,"type":"article-journal","abstract":"1 Ecologists use statistical models for both explanation and prediction, and need techniques that are flexible enough to express typical features of their data, such as nonlinearities and interactions. 2 This study provides a working guide to boosted regression trees (BRT), an ensemble method for fitting statistical models that differs fundamentally from conventional techniques that aim to fit a single parsimonious model. Boosted regression trees combine the strengths of two algorithms: regression trees (models that relate a response to their predictors by recursive binary splits) and boosting (an adaptive method for combining many simple models to give improved predictive performance). The final BRT model can be understood as an additive regression model in which individual terms are simple trees, fitted in a forward, stagewise fashion. 3 Boosted regression trees incorporate important advantages of tree-based methods, handling different types of predictor variables and accommodating missing data. They have no need for prior data transformation or elimination of outliers, can fit complex nonlinear relationships, and automatically handle interaction effects between predictors. Fitting multiple trees in BRT overcomes the biggest drawback of single tree models: their relatively poor predictive performance. Although BRT models are complex, they can be summarized in ways that give powerful ecological insight, and their predictive performance is superior to most traditional modelling methods. 4 The unique features of BRT raise a number of practical issues in model fitting. We demonstrate the practicalities and advantages of using BRT through a distributional analysis of the short-finned eel (Anguilla australis Richardson), a native freshwater fish of New Zealand. We use a data set of over 13 000 sites to illustrate effects of several settings, and then fit and interpret a model using a subset of the data. We provide code and a tutorial to enable the wider use of BRT by ecologists.","container-title":"Journal of Animal Ecology","DOI":"10.1111/j.1365-2656.2008.01390.x","ISSN":"1365-2656","issue":"4","language":"en","page":"802-813","source":"Wiley Online Library","title":"A working guide to boosted regression trees","volume":"77","author":[{"family":"Elith","given":"J."},{"family":"Leathwick","given":"J. R."},{"family":"Hastie","given":"T."}],"issued":{"date-parts":[["2008"]]}}}],"schema":"https://github.com/citation-style-language/schema/raw/master/csl-citation.json"} </w:instrText>
      </w:r>
      <w:r>
        <w:fldChar w:fldCharType="separate"/>
      </w:r>
      <w:r w:rsidRPr="00187538">
        <w:t>(Elith, Leathwick, and Hastie 2008)</w:t>
      </w:r>
      <w:r>
        <w:fldChar w:fldCharType="end"/>
      </w:r>
      <w:r>
        <w:t xml:space="preserve">. For example, the </w:t>
      </w:r>
      <w:r w:rsidRPr="001F1D04">
        <w:t xml:space="preserve">partial dependency plot for wind in the ponderosa pine severity model indicates that when all other conditions are consistent </w:t>
      </w:r>
      <w:r>
        <w:t>on</w:t>
      </w:r>
      <w:r w:rsidRPr="001F1D04">
        <w:t xml:space="preserve"> an average fire, the probability of a marginal increase in wind resulting in high</w:t>
      </w:r>
      <w:r>
        <w:t>er</w:t>
      </w:r>
      <w:r w:rsidRPr="001F1D04">
        <w:t xml:space="preserve"> severity fire </w:t>
      </w:r>
      <w:r>
        <w:t>increases rapidly from 0 to 5 mph, with</w:t>
      </w:r>
      <w:r w:rsidRPr="001F1D04">
        <w:t xml:space="preserve"> additional </w:t>
      </w:r>
      <w:r>
        <w:t xml:space="preserve">modest </w:t>
      </w:r>
      <w:r w:rsidRPr="001F1D04">
        <w:t>gains past 5 mph (</w:t>
      </w:r>
      <w:r>
        <w:t>Figure B1</w:t>
      </w:r>
      <w:r w:rsidRPr="001F1D04">
        <w:t xml:space="preserve">). </w:t>
      </w:r>
    </w:p>
    <w:p w:rsidR="00B6079B" w:rsidRDefault="00B6079B" w:rsidP="00B6079B">
      <w:r>
        <w:t xml:space="preserve">The </w:t>
      </w:r>
      <w:r w:rsidRPr="001F1D04">
        <w:t xml:space="preserve">partial dependency plot for </w:t>
      </w:r>
      <w:r>
        <w:t>VPD</w:t>
      </w:r>
      <w:r w:rsidRPr="001F1D04">
        <w:t xml:space="preserve"> in the ponderosa pine severity model indicates that when all other conditions are consistent </w:t>
      </w:r>
      <w:r>
        <w:t>on</w:t>
      </w:r>
      <w:r w:rsidRPr="001F1D04">
        <w:t xml:space="preserve"> an average fire, </w:t>
      </w:r>
      <w:r>
        <w:t xml:space="preserve">a rise in </w:t>
      </w:r>
      <w:r w:rsidRPr="001F1D04">
        <w:t>VPD</w:t>
      </w:r>
      <w:r>
        <w:t xml:space="preserve"> results in a steady increase in</w:t>
      </w:r>
      <w:r w:rsidRPr="001F1D04">
        <w:t xml:space="preserve"> the marginal probability of high severity fire</w:t>
      </w:r>
      <w:r>
        <w:t xml:space="preserve"> across the range of VPD </w:t>
      </w:r>
      <w:r w:rsidRPr="001F1D04">
        <w:t>(</w:t>
      </w:r>
      <w:r>
        <w:t>Figure B1</w:t>
      </w:r>
      <w:r w:rsidRPr="001F1D04">
        <w:t>)</w:t>
      </w:r>
      <w:r>
        <w:t>.</w:t>
      </w:r>
    </w:p>
    <w:p w:rsidR="00B6079B" w:rsidRDefault="00B6079B" w:rsidP="00B6079B">
      <w:r>
        <w:br w:type="page"/>
      </w:r>
    </w:p>
    <w:p w:rsidR="00B6079B" w:rsidRDefault="00B6079B" w:rsidP="00B6079B">
      <w:pPr>
        <w:keepNext/>
        <w:ind w:firstLine="0"/>
      </w:pPr>
      <w:r>
        <w:rPr>
          <w:noProof/>
        </w:rPr>
        <w:lastRenderedPageBreak/>
        <mc:AlternateContent>
          <mc:Choice Requires="wps">
            <w:drawing>
              <wp:anchor distT="0" distB="0" distL="114300" distR="114300" simplePos="0" relativeHeight="251659264" behindDoc="0" locked="0" layoutInCell="1" allowOverlap="1" wp14:anchorId="423C615E" wp14:editId="21702F8A">
                <wp:simplePos x="0" y="0"/>
                <wp:positionH relativeFrom="column">
                  <wp:posOffset>4988169</wp:posOffset>
                </wp:positionH>
                <wp:positionV relativeFrom="paragraph">
                  <wp:posOffset>2555631</wp:posOffset>
                </wp:positionV>
                <wp:extent cx="235341" cy="10160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235341" cy="101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F107B5" id="Rectangle 2" o:spid="_x0000_s1026" style="position:absolute;margin-left:392.75pt;margin-top:201.25pt;width:18.55pt;height:8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" fillcolor="white [3212]" strokecolor="white [3212]" strokeweight=".5pt"/>
            </w:pict>
          </mc:Fallback>
        </mc:AlternateContent>
      </w:r>
      <w:r>
        <w:rPr>
          <w:noProof/>
        </w:rPr>
        <w:drawing>
          <wp:inline distT="0" distB="0" distL="0" distR="0" wp14:anchorId="67DC732F" wp14:editId="0F3BB8CE">
            <wp:extent cx="5632656" cy="2756263"/>
            <wp:effectExtent l="0" t="0" r="635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rotWithShape="1">
                    <a:blip r:embed="rId5">
                      <a:extLst>
                        <a:ext uri="{28A0092B-C50C-407E-A947-70E740481C1C}">
                          <a14:useLocalDpi xmlns:a14="http://schemas.microsoft.com/office/drawing/2010/main" val="0"/>
                        </a:ext>
                      </a:extLst>
                    </a:blip>
                    <a:srcRect b="32463"/>
                    <a:stretch/>
                  </pic:blipFill>
                  <pic:spPr bwMode="auto">
                    <a:xfrm>
                      <a:off x="0" y="0"/>
                      <a:ext cx="5633085" cy="2756473"/>
                    </a:xfrm>
                    <a:prstGeom prst="rect">
                      <a:avLst/>
                    </a:prstGeom>
                    <a:noFill/>
                    <a:ln>
                      <a:noFill/>
                    </a:ln>
                    <a:extLst>
                      <a:ext uri="{53640926-AAD7-44D8-BBD7-CCE9431645EC}">
                        <a14:shadowObscured xmlns:a14="http://schemas.microsoft.com/office/drawing/2010/main"/>
                      </a:ext>
                    </a:extLst>
                  </pic:spPr>
                </pic:pic>
              </a:graphicData>
            </a:graphic>
          </wp:inline>
        </w:drawing>
      </w:r>
    </w:p>
    <w:p w:rsidR="00B6079B" w:rsidRDefault="00B6079B" w:rsidP="00B6079B">
      <w:pPr>
        <w:pStyle w:val="Caption"/>
      </w:pPr>
      <w:bookmarkStart w:id="10" w:name="_Toc61940399"/>
      <w:r>
        <w:t>Figure B1. Partial dependence plots for all variables in the ponderosa pine severity model. P</w:t>
      </w:r>
      <w:r w:rsidRPr="0036020B">
        <w:t>artial dependence functions show the</w:t>
      </w:r>
      <w:r>
        <w:t xml:space="preserve"> effect of a variable on the response after accounting for the fixed effects of all other variables in the model. </w:t>
      </w:r>
      <w:r w:rsidRPr="00AB362A">
        <w:t>Y</w:t>
      </w:r>
      <w:r>
        <w:t>-</w:t>
      </w:r>
      <w:r w:rsidRPr="00AB362A">
        <w:t>axes are on the logit scale and are centered to have zero mean over the data distribution.</w:t>
      </w:r>
      <w:bookmarkEnd w:id="10"/>
      <w:r>
        <w:t xml:space="preserve"> </w:t>
      </w:r>
      <w:r>
        <w:rPr>
          <w:sz w:val="20"/>
          <w:szCs w:val="20"/>
        </w:rPr>
        <w:t>FM100 – 100-hour fuel moisture, RMAX – maximum relative humidity, TMMN – minimum temperature, TSF – Time since fire, VPD – vapor pressure deficit.</w:t>
      </w:r>
    </w:p>
    <w:p w:rsidR="00B6079B" w:rsidRDefault="00B6079B" w:rsidP="00B6079B">
      <w:pPr>
        <w:keepNext/>
        <w:ind w:firstLine="0"/>
      </w:pPr>
      <w:r>
        <w:rPr>
          <w:noProof/>
        </w:rPr>
        <w:lastRenderedPageBreak/>
        <mc:AlternateContent>
          <mc:Choice Requires="wps">
            <w:drawing>
              <wp:anchor distT="0" distB="0" distL="114300" distR="114300" simplePos="0" relativeHeight="251660288" behindDoc="0" locked="0" layoutInCell="1" allowOverlap="1" wp14:anchorId="012D6B71" wp14:editId="467F6ECB">
                <wp:simplePos x="0" y="0"/>
                <wp:positionH relativeFrom="column">
                  <wp:posOffset>2223135</wp:posOffset>
                </wp:positionH>
                <wp:positionV relativeFrom="paragraph">
                  <wp:posOffset>3943985</wp:posOffset>
                </wp:positionV>
                <wp:extent cx="235341" cy="101600"/>
                <wp:effectExtent l="0" t="0" r="12700" b="12700"/>
                <wp:wrapNone/>
                <wp:docPr id="3" name="Rectangle 3"/>
                <wp:cNvGraphicFramePr/>
                <a:graphic xmlns:a="http://schemas.openxmlformats.org/drawingml/2006/main">
                  <a:graphicData uri="http://schemas.microsoft.com/office/word/2010/wordprocessingShape">
                    <wps:wsp>
                      <wps:cNvSpPr/>
                      <wps:spPr>
                        <a:xfrm>
                          <a:off x="0" y="0"/>
                          <a:ext cx="235341" cy="101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7828F5F" id="Rectangle 3" o:spid="_x0000_s1026" style="position:absolute;margin-left:175.05pt;margin-top:310.55pt;width:18.55pt;height:8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" fillcolor="white [3212]" strokecolor="white [3212]" strokeweight=".5pt"/>
            </w:pict>
          </mc:Fallback>
        </mc:AlternateContent>
      </w:r>
      <w:r>
        <w:rPr>
          <w:noProof/>
        </w:rPr>
        <w:drawing>
          <wp:inline distT="0" distB="0" distL="0" distR="0" wp14:anchorId="21CA4A0D" wp14:editId="68878DAA">
            <wp:extent cx="5669915" cy="4108142"/>
            <wp:effectExtent l="0" t="0" r="6985"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5669915" cy="4108142"/>
                    </a:xfrm>
                    <a:prstGeom prst="rect">
                      <a:avLst/>
                    </a:prstGeom>
                    <a:noFill/>
                  </pic:spPr>
                </pic:pic>
              </a:graphicData>
            </a:graphic>
          </wp:inline>
        </w:drawing>
      </w:r>
    </w:p>
    <w:p w:rsidR="00B6079B" w:rsidRDefault="00B6079B" w:rsidP="00B6079B">
      <w:pPr>
        <w:pStyle w:val="Caption"/>
      </w:pPr>
      <w:bookmarkStart w:id="11" w:name="_Toc61940400"/>
      <w:r>
        <w:t>Figure B2. Partial dependence plots for all variables in the ponderosa pine spread model. P</w:t>
      </w:r>
      <w:r w:rsidRPr="0036020B">
        <w:t>artial dependence functions show the</w:t>
      </w:r>
      <w:r>
        <w:t xml:space="preserve"> effect of a variable on the response after accounting for the fixed effects of all other variables in the model. </w:t>
      </w:r>
      <w:r w:rsidRPr="00AB362A">
        <w:t>Y</w:t>
      </w:r>
      <w:r>
        <w:t>-</w:t>
      </w:r>
      <w:r w:rsidRPr="00AB362A">
        <w:t>axes are on the logit scale and are centered to have zero mean over the data distribution.</w:t>
      </w:r>
      <w:bookmarkEnd w:id="11"/>
      <w:r>
        <w:t xml:space="preserve"> </w:t>
      </w:r>
      <w:r>
        <w:rPr>
          <w:sz w:val="20"/>
          <w:szCs w:val="20"/>
        </w:rPr>
        <w:t>ERC – energy release component, FM1000 – 1000-hr fuel moisture, TMMN – minimum temperature, TRASP – topographic radiation aspect index, VPD – vapor pressure deficit.</w:t>
      </w:r>
    </w:p>
    <w:p w:rsidR="00B6079B" w:rsidRDefault="00B6079B" w:rsidP="00B6079B">
      <w:pPr>
        <w:keepNext/>
        <w:ind w:firstLine="0"/>
      </w:pPr>
      <w:r>
        <w:rPr>
          <w:noProof/>
        </w:rPr>
        <w:lastRenderedPageBreak/>
        <mc:AlternateContent>
          <mc:Choice Requires="wps">
            <w:drawing>
              <wp:anchor distT="0" distB="0" distL="114300" distR="114300" simplePos="0" relativeHeight="251661312" behindDoc="0" locked="0" layoutInCell="1" allowOverlap="1" wp14:anchorId="3352B4C2" wp14:editId="06ED55F0">
                <wp:simplePos x="0" y="0"/>
                <wp:positionH relativeFrom="column">
                  <wp:posOffset>773723</wp:posOffset>
                </wp:positionH>
                <wp:positionV relativeFrom="paragraph">
                  <wp:posOffset>3938026</wp:posOffset>
                </wp:positionV>
                <wp:extent cx="235341" cy="101600"/>
                <wp:effectExtent l="0" t="0" r="12700" b="12700"/>
                <wp:wrapNone/>
                <wp:docPr id="4" name="Rectangle 4"/>
                <wp:cNvGraphicFramePr/>
                <a:graphic xmlns:a="http://schemas.openxmlformats.org/drawingml/2006/main">
                  <a:graphicData uri="http://schemas.microsoft.com/office/word/2010/wordprocessingShape">
                    <wps:wsp>
                      <wps:cNvSpPr/>
                      <wps:spPr>
                        <a:xfrm>
                          <a:off x="0" y="0"/>
                          <a:ext cx="235341" cy="101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636D4B" id="Rectangle 4" o:spid="_x0000_s1026" style="position:absolute;margin-left:60.9pt;margin-top:310.1pt;width:18.55pt;height: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" fillcolor="white [3212]" strokecolor="white [3212]" strokeweight=".5pt"/>
            </w:pict>
          </mc:Fallback>
        </mc:AlternateContent>
      </w:r>
      <w:r>
        <w:rPr>
          <w:noProof/>
        </w:rPr>
        <w:drawing>
          <wp:inline distT="0" distB="0" distL="0" distR="0" wp14:anchorId="5A069B66" wp14:editId="4A846F45">
            <wp:extent cx="5669915" cy="4108142"/>
            <wp:effectExtent l="0" t="0" r="6985"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5669915" cy="4108142"/>
                    </a:xfrm>
                    <a:prstGeom prst="rect">
                      <a:avLst/>
                    </a:prstGeom>
                    <a:noFill/>
                  </pic:spPr>
                </pic:pic>
              </a:graphicData>
            </a:graphic>
          </wp:inline>
        </w:drawing>
      </w:r>
    </w:p>
    <w:p w:rsidR="00B6079B" w:rsidRDefault="00B6079B" w:rsidP="00B6079B">
      <w:pPr>
        <w:pStyle w:val="Caption"/>
      </w:pPr>
      <w:bookmarkStart w:id="12" w:name="_Toc61940401"/>
      <w:r>
        <w:t>Figure B3. Partial dependence plots for all variables in the mixed conifer severity model. P</w:t>
      </w:r>
      <w:r w:rsidRPr="0036020B">
        <w:t>artial dependence functions show the</w:t>
      </w:r>
      <w:r>
        <w:t xml:space="preserve"> effect of a variable on the response after accounting for the fixed effects of all other variables in the model. </w:t>
      </w:r>
      <w:r w:rsidRPr="00AB362A">
        <w:t>Y</w:t>
      </w:r>
      <w:r>
        <w:t>-</w:t>
      </w:r>
      <w:r w:rsidRPr="00AB362A">
        <w:t>axes are on the logit scale and are centered to have zero mean over the data distribution.</w:t>
      </w:r>
      <w:bookmarkEnd w:id="12"/>
      <w:r>
        <w:t xml:space="preserve"> </w:t>
      </w:r>
      <w:r>
        <w:rPr>
          <w:sz w:val="20"/>
          <w:szCs w:val="20"/>
        </w:rPr>
        <w:t>FM100 – 100-hour fuel moisture, PR –precipitation, RMIN – minimum relative humidity, TRI – topographic roughness index, TSF – Time since fire, VPD – vapor pressure deficit.</w:t>
      </w:r>
    </w:p>
    <w:p w:rsidR="00B6079B" w:rsidRDefault="00B6079B" w:rsidP="00B6079B">
      <w:r>
        <w:br w:type="page"/>
      </w:r>
    </w:p>
    <w:p w:rsidR="00B6079B" w:rsidRDefault="00B6079B" w:rsidP="00B6079B">
      <w:pPr>
        <w:ind w:firstLine="0"/>
      </w:pPr>
      <w:r>
        <w:rPr>
          <w:noProof/>
        </w:rPr>
        <w:lastRenderedPageBreak/>
        <mc:AlternateContent>
          <mc:Choice Requires="wps">
            <w:drawing>
              <wp:anchor distT="0" distB="0" distL="114300" distR="114300" simplePos="0" relativeHeight="251662336" behindDoc="0" locked="0" layoutInCell="1" allowOverlap="1" wp14:anchorId="55AD9463" wp14:editId="7F22907F">
                <wp:simplePos x="0" y="0"/>
                <wp:positionH relativeFrom="column">
                  <wp:posOffset>5304692</wp:posOffset>
                </wp:positionH>
                <wp:positionV relativeFrom="paragraph">
                  <wp:posOffset>1307123</wp:posOffset>
                </wp:positionV>
                <wp:extent cx="235341" cy="10160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235341" cy="101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1F755A7" id="Rectangle 5" o:spid="_x0000_s1026" style="position:absolute;margin-left:417.7pt;margin-top:102.9pt;width:18.55pt;height: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" fillcolor="white [3212]" strokecolor="white [3212]" strokeweight=".5pt"/>
            </w:pict>
          </mc:Fallback>
        </mc:AlternateContent>
      </w:r>
      <w:r>
        <w:rPr>
          <w:noProof/>
        </w:rPr>
        <w:drawing>
          <wp:inline distT="0" distB="0" distL="0" distR="0" wp14:anchorId="6C0E65F9" wp14:editId="7F6AFBD0">
            <wp:extent cx="5941830" cy="2939143"/>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a:extLst>
                        <a:ext uri="{28A0092B-C50C-407E-A947-70E740481C1C}">
                          <a14:useLocalDpi xmlns:a14="http://schemas.microsoft.com/office/drawing/2010/main" val="0"/>
                        </a:ext>
                      </a:extLst>
                    </a:blip>
                    <a:srcRect t="-875" b="32602"/>
                    <a:stretch/>
                  </pic:blipFill>
                  <pic:spPr bwMode="auto">
                    <a:xfrm>
                      <a:off x="0" y="0"/>
                      <a:ext cx="5943600" cy="2940019"/>
                    </a:xfrm>
                    <a:prstGeom prst="rect">
                      <a:avLst/>
                    </a:prstGeom>
                    <a:ln>
                      <a:noFill/>
                    </a:ln>
                    <a:extLst>
                      <a:ext uri="{53640926-AAD7-44D8-BBD7-CCE9431645EC}">
                        <a14:shadowObscured xmlns:a14="http://schemas.microsoft.com/office/drawing/2010/main"/>
                      </a:ext>
                    </a:extLst>
                  </pic:spPr>
                </pic:pic>
              </a:graphicData>
            </a:graphic>
          </wp:inline>
        </w:drawing>
      </w:r>
    </w:p>
    <w:p w:rsidR="00B6079B" w:rsidRDefault="00B6079B" w:rsidP="00B6079B">
      <w:pPr>
        <w:pStyle w:val="Caption"/>
        <w:keepNext/>
      </w:pPr>
      <w:bookmarkStart w:id="13" w:name="_Toc61940402"/>
      <w:r>
        <w:t>Figure B4. Partial dependence plots for all variables in the mixed conifer spread model. P</w:t>
      </w:r>
      <w:r w:rsidRPr="0036020B">
        <w:t>artial dependence functions show the</w:t>
      </w:r>
      <w:r>
        <w:t xml:space="preserve"> effect of a variable on the response after accounting for the fixed effects of all other variables in the model. </w:t>
      </w:r>
      <w:r w:rsidRPr="00AB362A">
        <w:t>Y</w:t>
      </w:r>
      <w:r>
        <w:t>-</w:t>
      </w:r>
      <w:r w:rsidRPr="00AB362A">
        <w:t>axes are on the logit scale and are centered to have zero mean over the data distribution.</w:t>
      </w:r>
      <w:bookmarkEnd w:id="13"/>
      <w:r>
        <w:t xml:space="preserve"> </w:t>
      </w:r>
      <w:r>
        <w:rPr>
          <w:sz w:val="20"/>
          <w:szCs w:val="20"/>
        </w:rPr>
        <w:t>FM100 – 100-hour fuel moisture, RMAX – maximum relative humidity, VPD – vapor pressure deficit.</w:t>
      </w:r>
    </w:p>
    <w:p w:rsidR="00B6079B" w:rsidRDefault="00B6079B" w:rsidP="00B6079B"/>
    <w:p w:rsidR="00B6079B" w:rsidRDefault="00B6079B" w:rsidP="00B6079B">
      <w:pPr>
        <w:pStyle w:val="Heading1"/>
      </w:pPr>
      <w:bookmarkStart w:id="14" w:name="_Toc72335552"/>
      <w:r>
        <w:lastRenderedPageBreak/>
        <w:t>Appendix C.</w:t>
      </w:r>
      <w:bookmarkEnd w:id="14"/>
      <w:r>
        <w:t xml:space="preserve"> </w:t>
      </w:r>
      <w:r w:rsidRPr="003005B0">
        <w:rPr>
          <w:b w:val="0"/>
          <w:bCs/>
        </w:rPr>
        <w:t>Fire severity and spread prediction tables user guide for Grand Canyon National Park.</w:t>
      </w:r>
    </w:p>
    <w:p w:rsidR="00B6079B" w:rsidRDefault="00B6079B" w:rsidP="00B6079B">
      <w:pPr>
        <w:ind w:firstLine="0"/>
        <w:jc w:val="center"/>
      </w:pPr>
      <w:r>
        <w:rPr>
          <w:noProof/>
        </w:rPr>
        <w:drawing>
          <wp:inline distT="0" distB="0" distL="0" distR="0" wp14:anchorId="464B4C3B" wp14:editId="51B83C0A">
            <wp:extent cx="4877435" cy="7315835"/>
            <wp:effectExtent l="0" t="0" r="0" b="0"/>
            <wp:docPr id="195" name="Picture 195" descr="A fireman putting out a fi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descr="A fireman putting out a fire&#10;&#10;Description automatically generated with low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7435" cy="7315835"/>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23E425D9" wp14:editId="028CC3FC">
            <wp:extent cx="4572000" cy="7223760"/>
            <wp:effectExtent l="0" t="0" r="0" b="0"/>
            <wp:docPr id="64" name="Picture 64"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Picture 64" descr="Shap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6D475F54" wp14:editId="66210FFA">
            <wp:extent cx="4572000" cy="7223760"/>
            <wp:effectExtent l="0" t="0" r="0" b="0"/>
            <wp:docPr id="67" name="Picture 67" descr="Graphical user interface, application, websit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Picture 67" descr="Graphical user interface, application, websit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r>
        <w:rPr>
          <w:noProof/>
        </w:rPr>
        <w:lastRenderedPageBreak/>
        <w:drawing>
          <wp:inline distT="0" distB="0" distL="0" distR="0" wp14:anchorId="1D6EE155" wp14:editId="41C748DB">
            <wp:extent cx="4572000" cy="7223760"/>
            <wp:effectExtent l="0" t="0" r="0" b="0"/>
            <wp:docPr id="193" name="Picture 193" descr="Calendar&#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Picture 193" descr="Calendar&#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1542BE45" wp14:editId="3C8A2632">
            <wp:extent cx="4572000" cy="7223760"/>
            <wp:effectExtent l="0" t="0" r="0" b="0"/>
            <wp:docPr id="194" name="Picture 194"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Picture 194" descr="Tex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r>
        <w:rPr>
          <w:noProof/>
        </w:rPr>
        <w:lastRenderedPageBreak/>
        <w:drawing>
          <wp:inline distT="0" distB="0" distL="0" distR="0" wp14:anchorId="1AE830CC" wp14:editId="58A4B369">
            <wp:extent cx="4572000" cy="7223760"/>
            <wp:effectExtent l="0" t="0" r="0" b="0"/>
            <wp:docPr id="68" name="Picture 68"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Picture 68" descr="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4183B0EA" wp14:editId="7426DED1">
            <wp:extent cx="4572000" cy="7223760"/>
            <wp:effectExtent l="0" t="0" r="0" b="0"/>
            <wp:docPr id="70" name="Picture 70"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Picture 70" descr="Shap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123EE1A7" wp14:editId="11638289">
            <wp:extent cx="4572000" cy="7223760"/>
            <wp:effectExtent l="0" t="0" r="0" b="0"/>
            <wp:docPr id="71" name="Picture 71"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Picture 71" descr="Shap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31938475" wp14:editId="034D494F">
            <wp:extent cx="4572000" cy="7223760"/>
            <wp:effectExtent l="0" t="0" r="0" b="0"/>
            <wp:docPr id="72" name="Picture 72" descr="Calend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Picture 72" descr="Calendar&#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47021625" wp14:editId="361856FF">
            <wp:extent cx="4572000" cy="7223760"/>
            <wp:effectExtent l="0" t="0" r="0" b="0"/>
            <wp:docPr id="73" name="Picture 73" descr="A picture containing graphical user inte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Picture 73" descr="A picture containing graphical user interfac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5ECE3F0A" wp14:editId="29554AA3">
            <wp:extent cx="4572000" cy="7223760"/>
            <wp:effectExtent l="0" t="0" r="0" b="0"/>
            <wp:docPr id="74" name="Picture 74" descr="Chart&#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Picture 74" descr="Chart&#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481D0730" wp14:editId="1CA98A37">
            <wp:extent cx="4572000" cy="7223760"/>
            <wp:effectExtent l="0" t="0" r="0" b="0"/>
            <wp:docPr id="75" name="Picture 75" descr="Shap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Picture 75" descr="Shap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2F28284A" wp14:editId="329E5D39">
            <wp:extent cx="4572000" cy="7223760"/>
            <wp:effectExtent l="0" t="0" r="0" b="0"/>
            <wp:docPr id="76" name="Picture 76" descr="Calend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Picture 76" descr="Calendar&#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r>
        <w:rPr>
          <w:noProof/>
        </w:rPr>
        <w:lastRenderedPageBreak/>
        <w:drawing>
          <wp:inline distT="0" distB="0" distL="0" distR="0" wp14:anchorId="006B3258" wp14:editId="2B771D42">
            <wp:extent cx="4572000" cy="7223760"/>
            <wp:effectExtent l="0" t="0" r="0" b="0"/>
            <wp:docPr id="65" name="Picture 65"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Picture 65"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r>
        <w:rPr>
          <w:noProof/>
        </w:rPr>
        <w:lastRenderedPageBreak/>
        <w:drawing>
          <wp:inline distT="0" distB="0" distL="0" distR="0" wp14:anchorId="13AA24CD" wp14:editId="015297D1">
            <wp:extent cx="4389120" cy="7223760"/>
            <wp:effectExtent l="0" t="0" r="0" b="0"/>
            <wp:docPr id="66" name="Picture 66" descr="Diagram&#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Picture 66" descr="Diagram&#10;&#10;Description automatically generated with medium confiden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912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5896E5C2" wp14:editId="2FF927D8">
            <wp:extent cx="4572000" cy="7223760"/>
            <wp:effectExtent l="0" t="0" r="0" b="0"/>
            <wp:docPr id="77" name="Picture 77"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Picture 77" descr="Chart, histogram&#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jc w:val="center"/>
      </w:pPr>
      <w:r>
        <w:rPr>
          <w:noProof/>
        </w:rPr>
        <w:lastRenderedPageBreak/>
        <w:drawing>
          <wp:inline distT="0" distB="0" distL="0" distR="0" wp14:anchorId="047A676F" wp14:editId="66DEB842">
            <wp:extent cx="4572000" cy="7223760"/>
            <wp:effectExtent l="0" t="0" r="0" b="0"/>
            <wp:docPr id="78" name="Picture 78" descr="Graphical user interface,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Picture 78" descr="Graphical user interface, chart&#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094F98E4" wp14:editId="4DA91F4B">
            <wp:extent cx="4572000" cy="7223760"/>
            <wp:effectExtent l="0" t="0" r="0" b="0"/>
            <wp:docPr id="79" name="Picture 79"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Picture 79" descr="Chart, histogram&#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6C22707C" wp14:editId="00424900">
            <wp:extent cx="4572000" cy="7223760"/>
            <wp:effectExtent l="0" t="0" r="0" b="0"/>
            <wp:docPr id="80" name="Picture 80"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Picture 80" descr="Tex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09F73389" wp14:editId="6B80BA87">
            <wp:extent cx="4572000" cy="7223760"/>
            <wp:effectExtent l="0" t="0" r="0" b="0"/>
            <wp:docPr id="81" name="Picture 81"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Picture 81" descr="Diagram&#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jc w:val="center"/>
      </w:pPr>
      <w:r>
        <w:rPr>
          <w:noProof/>
        </w:rPr>
        <w:lastRenderedPageBreak/>
        <w:drawing>
          <wp:inline distT="0" distB="0" distL="0" distR="0" wp14:anchorId="4480B842" wp14:editId="192983D6">
            <wp:extent cx="4572000" cy="7223760"/>
            <wp:effectExtent l="0" t="0" r="0" b="0"/>
            <wp:docPr id="82" name="Picture 82" descr="Shape&#10;&#10;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Picture 82" descr="Shape&#10;&#10;Description automatically generated with low confidenc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72000" cy="7223760"/>
                    </a:xfrm>
                    <a:prstGeom prst="rect">
                      <a:avLst/>
                    </a:prstGeom>
                    <a:noFill/>
                  </pic:spPr>
                </pic:pic>
              </a:graphicData>
            </a:graphic>
          </wp:inline>
        </w:drawing>
      </w:r>
    </w:p>
    <w:p w:rsidR="00B6079B" w:rsidRDefault="00B6079B" w:rsidP="00B6079B">
      <w:pPr>
        <w:ind w:firstLine="0"/>
      </w:pPr>
    </w:p>
    <w:p w:rsidR="00342BD7" w:rsidRDefault="00342BD7">
      <w:bookmarkStart w:id="15" w:name="_GoBack"/>
      <w:bookmarkEnd w:id="15"/>
    </w:p>
    <w:sectPr w:rsidR="00342BD7" w:rsidSect="00EB0DFF">
      <w:pgSz w:w="12240" w:h="15840"/>
      <w:pgMar w:top="1440" w:right="1440" w:bottom="1440" w:left="1440" w:header="720" w:footer="720" w:gutter="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79B"/>
    <w:rsid w:val="00342BD7"/>
    <w:rsid w:val="00B60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1EDCA4-0F91-4576-B20D-A96BF8D11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079B"/>
    <w:pPr>
      <w:spacing w:after="120" w:line="36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B6079B"/>
    <w:pPr>
      <w:keepNext/>
      <w:keepLines/>
      <w:spacing w:before="240" w:after="240" w:line="264" w:lineRule="auto"/>
      <w:ind w:firstLine="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79B"/>
    <w:rPr>
      <w:rFonts w:ascii="Times New Roman" w:eastAsia="Times New Roman" w:hAnsi="Times New Roman" w:cs="Times New Roman"/>
      <w:b/>
      <w:sz w:val="24"/>
      <w:szCs w:val="24"/>
    </w:rPr>
  </w:style>
  <w:style w:type="paragraph" w:styleId="Caption">
    <w:name w:val="caption"/>
    <w:basedOn w:val="Normal"/>
    <w:next w:val="Normal"/>
    <w:uiPriority w:val="35"/>
    <w:unhideWhenUsed/>
    <w:qFormat/>
    <w:rsid w:val="00B6079B"/>
    <w:pPr>
      <w:spacing w:after="200" w:line="240" w:lineRule="auto"/>
      <w:ind w:left="288" w:hanging="288"/>
    </w:pPr>
    <w:rPr>
      <w:i/>
      <w:iCs/>
      <w:sz w:val="22"/>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tiff"/><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tiff"/><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theme" Target="theme/theme1.xml"/><Relationship Id="rId4" Type="http://schemas.openxmlformats.org/officeDocument/2006/relationships/image" Target="media/image1.tif"/><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1639</Words>
  <Characters>9343</Characters>
  <Application>Microsoft Office Word</Application>
  <DocSecurity>0</DocSecurity>
  <Lines>77</Lines>
  <Paragraphs>21</Paragraphs>
  <ScaleCrop>false</ScaleCrop>
  <Company>Springer Nature IT</Company>
  <LinksUpToDate>false</LinksUpToDate>
  <CharactersWithSpaces>10961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2022-09-08T18:48:00Z</dcterms:created>
  <dcterms:modified xsi:type="dcterms:W3CDTF">2022-09-08T18:49:00Z</dcterms:modified>
</cp:coreProperties>
</file>