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D9575" w14:textId="77777777" w:rsidR="00771ED9" w:rsidRPr="000503BD" w:rsidRDefault="00771ED9" w:rsidP="00771ED9">
      <w:pPr>
        <w:spacing w:line="360" w:lineRule="auto"/>
        <w:jc w:val="both"/>
        <w:rPr>
          <w:rFonts w:eastAsia="Times New Roman" w:cstheme="minorHAnsi"/>
          <w:lang w:eastAsia="en-GB"/>
        </w:rPr>
      </w:pPr>
    </w:p>
    <w:p w14:paraId="330B67EC" w14:textId="77777777" w:rsidR="00771ED9" w:rsidRDefault="00771ED9" w:rsidP="00771ED9">
      <w:pPr>
        <w:spacing w:line="360" w:lineRule="auto"/>
        <w:jc w:val="both"/>
        <w:rPr>
          <w:rFonts w:eastAsia="Times New Roman" w:cstheme="minorHAnsi"/>
          <w:color w:val="000000"/>
          <w:lang w:eastAsia="en-GB"/>
        </w:rPr>
      </w:pPr>
      <w:r>
        <w:rPr>
          <w:rFonts w:eastAsia="Times New Roman" w:cstheme="minorHAnsi"/>
          <w:color w:val="000000"/>
          <w:lang w:eastAsia="en-GB"/>
        </w:rPr>
        <w:t xml:space="preserve">Supplementary  File. </w:t>
      </w:r>
    </w:p>
    <w:p w14:paraId="579E87F9" w14:textId="77777777" w:rsidR="00771ED9" w:rsidRPr="003B2947" w:rsidRDefault="00771ED9" w:rsidP="00771ED9">
      <w:pPr>
        <w:spacing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Proton therapy planning and target delineation:</w:t>
      </w:r>
    </w:p>
    <w:p w14:paraId="77D340FB" w14:textId="77777777" w:rsidR="00771ED9" w:rsidRDefault="00771ED9" w:rsidP="00771ED9">
      <w:pPr>
        <w:spacing w:line="360" w:lineRule="auto"/>
        <w:jc w:val="both"/>
        <w:rPr>
          <w:rFonts w:eastAsia="Times New Roman" w:cstheme="minorHAnsi"/>
          <w:color w:val="000000"/>
          <w:lang w:eastAsia="en-GB"/>
        </w:rPr>
      </w:pPr>
    </w:p>
    <w:p w14:paraId="7E70E21A" w14:textId="77777777" w:rsidR="00771ED9" w:rsidRDefault="00771ED9" w:rsidP="00771ED9">
      <w:pPr>
        <w:spacing w:line="360" w:lineRule="auto"/>
        <w:jc w:val="both"/>
        <w:rPr>
          <w:rFonts w:eastAsia="Times New Roman" w:cstheme="minorHAnsi"/>
          <w:color w:val="000000"/>
          <w:lang w:eastAsia="en-GB"/>
        </w:rPr>
      </w:pPr>
      <w:r>
        <w:rPr>
          <w:rFonts w:eastAsia="Times New Roman" w:cstheme="minorHAnsi"/>
          <w:color w:val="000000"/>
          <w:lang w:eastAsia="en-GB"/>
        </w:rPr>
        <w:t>The planning process was initiated after</w:t>
      </w:r>
      <w:r w:rsidRPr="00CF5D26">
        <w:rPr>
          <w:rFonts w:eastAsia="Times New Roman" w:cstheme="minorHAnsi"/>
          <w:color w:val="000000"/>
          <w:lang w:eastAsia="en-GB"/>
        </w:rPr>
        <w:t xml:space="preserve">  Multi-disciplinary Tumour Board review. Patients  were simulated as  per institutional protocol, after informed consent and a pre-planning audit.  All patients underwent pre-radiotherapy dental assessment and replacement of metallic dental implants with acrylic implants, if possible. Details of implant material (size, type, density) were obtained in patients for whom dental implant removal or replacement was not feasible.  Similar details were also sought for reconstruction materials viz., titanium plates,  for patients with bucco-alveolar cancers. </w:t>
      </w:r>
    </w:p>
    <w:p w14:paraId="4B9F08A3" w14:textId="77777777" w:rsidR="00771ED9" w:rsidRDefault="00771ED9" w:rsidP="00771ED9">
      <w:pPr>
        <w:spacing w:line="360" w:lineRule="auto"/>
        <w:jc w:val="both"/>
        <w:rPr>
          <w:rFonts w:eastAsia="Times New Roman" w:cstheme="minorHAnsi"/>
          <w:b/>
          <w:bCs/>
          <w:color w:val="000000"/>
          <w:lang w:eastAsia="en-GB"/>
        </w:rPr>
      </w:pPr>
    </w:p>
    <w:p w14:paraId="2F1B4589" w14:textId="77777777" w:rsidR="00771ED9" w:rsidRPr="003B2947" w:rsidRDefault="00771ED9" w:rsidP="00771ED9">
      <w:pPr>
        <w:spacing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Mouth-bite</w:t>
      </w:r>
    </w:p>
    <w:p w14:paraId="444756F6" w14:textId="77777777" w:rsidR="00771ED9" w:rsidRPr="000503BD" w:rsidRDefault="00771ED9" w:rsidP="00771ED9">
      <w:pPr>
        <w:spacing w:line="360" w:lineRule="auto"/>
        <w:jc w:val="both"/>
        <w:rPr>
          <w:rFonts w:cstheme="minorHAnsi"/>
          <w:lang w:val="en-US"/>
        </w:rPr>
      </w:pPr>
      <w:r w:rsidRPr="00CF5D26">
        <w:rPr>
          <w:rFonts w:eastAsia="Times New Roman" w:cstheme="minorHAnsi"/>
          <w:color w:val="000000"/>
          <w:lang w:eastAsia="en-GB"/>
        </w:rPr>
        <w:t>A custom mouth-bite was fabricated with thermoplastic pellets (Adapt-IT, Qfix, Avondale, USA)</w:t>
      </w:r>
      <w:r>
        <w:rPr>
          <w:rFonts w:eastAsia="Times New Roman" w:cstheme="minorHAnsi"/>
          <w:color w:val="000000"/>
          <w:lang w:eastAsia="en-GB"/>
        </w:rPr>
        <w:t xml:space="preserve">. </w:t>
      </w:r>
      <w:r w:rsidRPr="000503BD">
        <w:rPr>
          <w:rFonts w:cstheme="minorHAnsi"/>
          <w:lang w:val="en-US"/>
        </w:rPr>
        <w:t xml:space="preserve">We used </w:t>
      </w:r>
      <w:r>
        <w:rPr>
          <w:rFonts w:cstheme="minorHAnsi"/>
          <w:lang w:val="en-US"/>
        </w:rPr>
        <w:t xml:space="preserve">these </w:t>
      </w:r>
      <w:r w:rsidRPr="000503BD">
        <w:rPr>
          <w:rFonts w:cstheme="minorHAnsi"/>
          <w:lang w:val="en-US"/>
        </w:rPr>
        <w:t>customized mouth-bites to separate</w:t>
      </w:r>
      <w:r>
        <w:rPr>
          <w:rFonts w:cstheme="minorHAnsi"/>
          <w:lang w:val="en-US"/>
        </w:rPr>
        <w:t xml:space="preserve"> and immobilize </w:t>
      </w:r>
      <w:r w:rsidRPr="000503BD">
        <w:rPr>
          <w:rFonts w:cstheme="minorHAnsi"/>
          <w:lang w:val="en-US"/>
        </w:rPr>
        <w:t>the tongue from</w:t>
      </w:r>
      <w:r>
        <w:rPr>
          <w:rFonts w:cstheme="minorHAnsi"/>
          <w:lang w:val="en-US"/>
        </w:rPr>
        <w:t xml:space="preserve"> the</w:t>
      </w:r>
      <w:r w:rsidRPr="000503BD">
        <w:rPr>
          <w:rFonts w:cstheme="minorHAnsi"/>
          <w:lang w:val="en-US"/>
        </w:rPr>
        <w:t xml:space="preserve"> target </w:t>
      </w:r>
      <w:r>
        <w:rPr>
          <w:rFonts w:cstheme="minorHAnsi"/>
          <w:lang w:val="en-US"/>
        </w:rPr>
        <w:t xml:space="preserve">for </w:t>
      </w:r>
      <w:r w:rsidRPr="000503BD">
        <w:rPr>
          <w:rFonts w:cstheme="minorHAnsi"/>
          <w:lang w:val="en-US"/>
        </w:rPr>
        <w:t xml:space="preserve">unilateral </w:t>
      </w:r>
      <w:r>
        <w:rPr>
          <w:rFonts w:cstheme="minorHAnsi"/>
          <w:lang w:val="en-US"/>
        </w:rPr>
        <w:t>irradiation</w:t>
      </w:r>
      <w:r w:rsidRPr="000503BD">
        <w:rPr>
          <w:rFonts w:cstheme="minorHAnsi"/>
          <w:lang w:val="en-US"/>
        </w:rPr>
        <w:t xml:space="preserve"> or separate palate and buccal mucosa from central targets. Notwithstanding the sharp dose fall-off in proton therapy, these help to minimize dose and end-ranging on the mucosa distal to the target.  </w:t>
      </w:r>
    </w:p>
    <w:p w14:paraId="7FDFEC10" w14:textId="77777777" w:rsidR="00771ED9" w:rsidRDefault="00771ED9" w:rsidP="00771ED9">
      <w:pPr>
        <w:spacing w:after="199" w:line="360" w:lineRule="auto"/>
        <w:jc w:val="both"/>
        <w:rPr>
          <w:rFonts w:eastAsia="Times New Roman" w:cstheme="minorHAnsi"/>
          <w:color w:val="000000"/>
          <w:lang w:eastAsia="en-GB"/>
        </w:rPr>
      </w:pPr>
    </w:p>
    <w:p w14:paraId="4C7013B4" w14:textId="77777777" w:rsidR="00771ED9" w:rsidRPr="003B2947" w:rsidRDefault="00771ED9" w:rsidP="00771ED9">
      <w:pPr>
        <w:spacing w:after="199"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 xml:space="preserve">Mould, Neck rest and CT acquisition </w:t>
      </w:r>
    </w:p>
    <w:p w14:paraId="02B0BDD5" w14:textId="77777777" w:rsidR="00771ED9" w:rsidRPr="00CF5D26"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t>A customized neck rest (Mouldcare Cushion, Qfix, Avondale, USA) and thermoplastic mask (Fibreplast, Qfix, Avondale, USA) were used for immobilisation. Computed tomography (CT) simulation was performed with 2 mm slice thickness axial images using Canon Aquilion LB CT scanner ( Canon Medical Systems, Singapore). Another CT scan with radio-opaque wires  marking the scar, and oral contrast to delineate mouth bite was acquired. An MVCT scan was acquired in planning position on Radixact (</w:t>
      </w:r>
      <w:r w:rsidRPr="00CF5D26">
        <w:rPr>
          <w:rFonts w:cstheme="minorHAnsi"/>
          <w:color w:val="000000"/>
        </w:rPr>
        <w:t xml:space="preserve">V 2.0.1.1, Accuray Inc., Sunnyvale, </w:t>
      </w:r>
      <w:r w:rsidRPr="00CF5D26">
        <w:rPr>
          <w:rFonts w:cstheme="minorHAnsi"/>
          <w:color w:val="000000"/>
          <w:sz w:val="20"/>
          <w:szCs w:val="20"/>
        </w:rPr>
        <w:t>USA)</w:t>
      </w:r>
      <w:r w:rsidRPr="00CF5D26">
        <w:rPr>
          <w:rFonts w:eastAsia="Times New Roman" w:cstheme="minorHAnsi"/>
          <w:color w:val="000000"/>
          <w:lang w:eastAsia="en-GB"/>
        </w:rPr>
        <w:t xml:space="preserve"> machine for better delineation of dental implants, if any.  </w:t>
      </w:r>
    </w:p>
    <w:p w14:paraId="516F34E6" w14:textId="77777777" w:rsidR="00771ED9" w:rsidRPr="003B2947" w:rsidRDefault="00771ED9" w:rsidP="00771ED9">
      <w:pPr>
        <w:spacing w:after="199"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 xml:space="preserve">Target delineation </w:t>
      </w:r>
    </w:p>
    <w:p w14:paraId="324D2EF4" w14:textId="77777777" w:rsidR="00771ED9" w:rsidRPr="00CF5D26"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t xml:space="preserve">Volumetric images of planning MRI or any pre-op imaging, or both, were registered with planning CT images to aid target and OAR delineation. </w:t>
      </w:r>
    </w:p>
    <w:p w14:paraId="560F177D" w14:textId="77777777" w:rsidR="00771ED9" w:rsidRPr="00CF5D26"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lastRenderedPageBreak/>
        <w:t xml:space="preserve">The primary gross tumour volume (GTVp) and nodal volume (GTVn)  were delineated in all patients undergoing definitive proton therapy. Both, the primary and nodal preoperative GTVs, were delineated in postop patients. </w:t>
      </w:r>
    </w:p>
    <w:p w14:paraId="1C04EFE1" w14:textId="77777777" w:rsidR="00771ED9" w:rsidRPr="00CF5D26"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t>In patients undergoing definitive radiation, the GTV was expanded 10-15 mm and modified for anatomical barriers to generate the primary high risk clinical target volume (HRCTV P). The nodal levels with gross nodes were included in HRCTV (HRCTV N); elective nodal volume was delineated as previousl</w:t>
      </w:r>
      <w:r w:rsidRPr="00F402D3">
        <w:rPr>
          <w:rFonts w:eastAsia="Times New Roman" w:cstheme="minorHAnsi"/>
          <w:color w:val="000000" w:themeColor="text1"/>
          <w:lang w:eastAsia="en-GB"/>
        </w:rPr>
        <w:t>y published and designated low risk CTV (LRCTV)</w:t>
      </w:r>
      <w:r w:rsidRPr="00F402D3">
        <w:rPr>
          <w:rFonts w:eastAsia="Times New Roman" w:cstheme="minorHAnsi"/>
          <w:color w:val="000000" w:themeColor="text1"/>
          <w:lang w:eastAsia="en-GB"/>
        </w:rPr>
        <w:fldChar w:fldCharType="begin"/>
      </w:r>
      <w:r w:rsidRPr="00F402D3">
        <w:rPr>
          <w:rFonts w:eastAsia="Times New Roman" w:cstheme="minorHAnsi"/>
          <w:color w:val="000000" w:themeColor="text1"/>
          <w:lang w:eastAsia="en-GB"/>
        </w:rPr>
        <w:instrText xml:space="preserve"> ADDIN ZOTERO_ITEM CSL_CITATION {"citationID":"1CdkZOOv","properties":{"formattedCitation":"(20)","plainCitation":"(20)","noteIndex":0},"citationItems":[{"id":539,"uris":["http://zotero.org/users/3663613/items/GZ4MGJP7"],"itemData":{"id":539,"type":"article-journal","abstract":"PURPOSE: The objective of this project was to define consensus guidelines for delineating organs at risk (OARs) for head and neck radiotherapy for routine daily practice and for research purposes.\nMETHODS: Consensus guidelines were formulated based on in-depth discussions of a panel of European, North American, Asian and Australian radiation oncologists.\nRESULTS: Twenty-five OARs in the head and neck region were defined with a concise description of their main anatomic boundaries. The Supplemental material provides an atlas of the consensus guidelines, projected on 1mm axial slices. The atlas can also be obtained in DICOM-RT format on request.\nCONCLUSION: Consensus guidelines for head and neck OAR delineation were defined, aiming to decrease interobserver variability among clinicians and radiotherapy centers.","container-title":"Radiotherapy and Oncology: Journal of the European Society for Therapeutic Radiology and Oncology","DOI":"10.1016/j.radonc.2015.07.041","ISSN":"1879-0887","issue":"1","journalAbbreviation":"Radiother Oncol","language":"eng","note":"PMID: 26277855","page":"83-90","source":"PubMed","title":"CT-based delineation of organs at risk in the head and neck region: DAHANCA, EORTC, GORTEC, HKNPCSG, NCIC CTG, NCRI, NRG Oncology and TROG consensus guidelines","title-short":"CT-based delineation of organs at risk in the head and neck region","volume":"117","author":[{"family":"Brouwer","given":"Charlotte L."},{"family":"Steenbakkers","given":"Roel J. H. M."},{"family":"Bourhis","given":"Jean"},{"family":"Budach","given":"Wilfried"},{"family":"Grau","given":"Cai"},{"family":"Grégoire","given":"Vincent"},{"family":"Herk","given":"Marcel","non-dropping-particle":"van"},{"family":"Lee","given":"Anne"},{"family":"Maingon","given":"Philippe"},{"family":"Nutting","given":"Chris"},{"family":"O'Sullivan","given":"Brian"},{"family":"Porceddu","given":"Sandro V."},{"family":"Rosenthal","given":"David I."},{"family":"Sijtsema","given":"Nanna M."},{"family":"Langendijk","given":"Johannes A."}],"issued":{"date-parts":[["2015",10]]}}}],"schema":"https://github.com/citation-style-language/schema/raw/master/csl-citation.json"} </w:instrText>
      </w:r>
      <w:r w:rsidRPr="00F402D3">
        <w:rPr>
          <w:rFonts w:eastAsia="Times New Roman" w:cstheme="minorHAnsi"/>
          <w:color w:val="000000" w:themeColor="text1"/>
          <w:lang w:eastAsia="en-GB"/>
        </w:rPr>
        <w:fldChar w:fldCharType="separate"/>
      </w:r>
      <w:r w:rsidRPr="00F402D3">
        <w:rPr>
          <w:rFonts w:eastAsia="Times New Roman" w:cstheme="minorHAnsi"/>
          <w:noProof/>
          <w:color w:val="000000" w:themeColor="text1"/>
          <w:lang w:eastAsia="en-GB"/>
        </w:rPr>
        <w:t>(20)</w:t>
      </w:r>
      <w:r w:rsidRPr="00F402D3">
        <w:rPr>
          <w:rFonts w:eastAsia="Times New Roman" w:cstheme="minorHAnsi"/>
          <w:color w:val="000000" w:themeColor="text1"/>
          <w:lang w:eastAsia="en-GB"/>
        </w:rPr>
        <w:fldChar w:fldCharType="end"/>
      </w:r>
      <w:r w:rsidRPr="00F402D3">
        <w:rPr>
          <w:rFonts w:eastAsia="Times New Roman" w:cstheme="minorHAnsi"/>
          <w:color w:val="000000" w:themeColor="text1"/>
          <w:lang w:eastAsia="en-GB"/>
        </w:rPr>
        <w:t xml:space="preserve">(Author’s publication-Blinded reference). </w:t>
      </w:r>
      <w:r w:rsidRPr="00CF5D26">
        <w:rPr>
          <w:rFonts w:eastAsia="Times New Roman" w:cstheme="minorHAnsi"/>
          <w:color w:val="000000"/>
          <w:lang w:eastAsia="en-GB"/>
        </w:rPr>
        <w:t xml:space="preserve">HRCTV was prescribed a dose of 70GyE (Gray equivalent) and LRCTV 56GyE in 35 fractions. In patients undergoing post-operative radiation the operative bed and flap were included in the high risk CTV and the dose prescribed was 60GyE to HRCTV.  The LRCTV was prescribed 54GyE. The simultaneous integrated boost (SIB) technique was used.  Post-operative patients with high risk features, i.e., extra nodal extension, close or positive margins, and / or peri neural invasion, received 4-6GyE as sequential boost. </w:t>
      </w:r>
    </w:p>
    <w:p w14:paraId="04733993" w14:textId="77777777" w:rsidR="00771ED9" w:rsidRPr="003B2947" w:rsidRDefault="00771ED9" w:rsidP="00771ED9">
      <w:pPr>
        <w:spacing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 xml:space="preserve">Proton planning </w:t>
      </w:r>
    </w:p>
    <w:p w14:paraId="53745DAB" w14:textId="77777777" w:rsidR="00771ED9" w:rsidRPr="00CF5D26" w:rsidRDefault="00771ED9" w:rsidP="00771ED9">
      <w:pPr>
        <w:spacing w:line="360" w:lineRule="auto"/>
        <w:jc w:val="both"/>
        <w:rPr>
          <w:rFonts w:eastAsia="Times New Roman" w:cstheme="minorHAnsi"/>
          <w:color w:val="000000"/>
          <w:lang w:eastAsia="en-GB"/>
        </w:rPr>
      </w:pPr>
      <w:r w:rsidRPr="00CF5D26">
        <w:rPr>
          <w:rFonts w:eastAsia="Times New Roman" w:cstheme="minorHAnsi"/>
          <w:color w:val="000000"/>
          <w:lang w:eastAsia="en-GB"/>
        </w:rPr>
        <w:t xml:space="preserve">Robustly optimized MFO-IMPT plans was created for each patient using four oblique fields, on a RayStation (Version 9.0, RaySearch Laboratories AB, Stockholm, Sweden) treatment planning system (TPS), while patients requiring ipsilateral neck irradiation, were treated with  3 field plans. RayStation TPS has been clinically commissioned for Proteus-Plus (IBA, </w:t>
      </w:r>
      <w:r w:rsidRPr="00CF5D26">
        <w:rPr>
          <w:rFonts w:eastAsia="Times New Roman" w:cstheme="minorHAnsi"/>
          <w:color w:val="000000"/>
          <w:shd w:val="clear" w:color="auto" w:fill="FFFFFF"/>
          <w:lang w:eastAsia="en-GB"/>
        </w:rPr>
        <w:t>Louvain-La-Neuve</w:t>
      </w:r>
      <w:r w:rsidRPr="00CF5D26">
        <w:rPr>
          <w:rFonts w:eastAsia="Times New Roman" w:cstheme="minorHAnsi"/>
          <w:color w:val="000000"/>
          <w:lang w:eastAsia="en-GB"/>
        </w:rPr>
        <w:t xml:space="preserve">, Belgium) proton delivery system equipped with dedicated pencil beam scanning nozzle, capable of delivering cyclotron produced proton energies from 70.18 to 226.2 MeV. RayStation Monte-Carlo (MC) algorithm was used for optimization of spot position, spot weight, energy layers as well as dose computation. Robust optimization was performed incorporating 3 mm set-up error in all translational axes and a range uncertainty of 3.5% using MiniMax algorithm.  A range shifter having water equivalent thickness (WET) of 7.5 g/cm2  was used wherever applicable. Additional attention was given to the region adjacent to dental metal artefacts, taking into account the material used. Treatment plans were evaluated for target coverage &amp; OARs dose, using standard dose volume indices derived from dose-volume histograms (DVH), including worst case scenarios, using robust evaluation as detailed above. </w:t>
      </w:r>
    </w:p>
    <w:p w14:paraId="323A5BD6" w14:textId="77777777" w:rsidR="00771ED9" w:rsidRDefault="00771ED9" w:rsidP="00771ED9">
      <w:pPr>
        <w:spacing w:line="360" w:lineRule="auto"/>
        <w:jc w:val="both"/>
        <w:rPr>
          <w:rFonts w:eastAsia="Times New Roman" w:cstheme="minorHAnsi"/>
          <w:color w:val="000000"/>
          <w:lang w:eastAsia="en-GB"/>
        </w:rPr>
      </w:pPr>
    </w:p>
    <w:p w14:paraId="03E1FE1B" w14:textId="77777777" w:rsidR="00771ED9" w:rsidRPr="003B2947" w:rsidRDefault="00771ED9" w:rsidP="00771ED9">
      <w:pPr>
        <w:spacing w:line="360" w:lineRule="auto"/>
        <w:jc w:val="both"/>
        <w:rPr>
          <w:rFonts w:eastAsia="Times New Roman" w:cstheme="minorHAnsi"/>
          <w:b/>
          <w:bCs/>
          <w:color w:val="000000"/>
          <w:lang w:eastAsia="en-GB"/>
        </w:rPr>
      </w:pPr>
      <w:r w:rsidRPr="003B2947">
        <w:rPr>
          <w:rFonts w:eastAsia="Times New Roman" w:cstheme="minorHAnsi"/>
          <w:b/>
          <w:bCs/>
          <w:color w:val="000000"/>
          <w:lang w:eastAsia="en-GB"/>
        </w:rPr>
        <w:t xml:space="preserve">Tomotherapy planning </w:t>
      </w:r>
    </w:p>
    <w:p w14:paraId="0FDE11BA" w14:textId="77777777" w:rsidR="00771ED9" w:rsidRDefault="00771ED9" w:rsidP="00771ED9">
      <w:pPr>
        <w:spacing w:line="360" w:lineRule="auto"/>
        <w:jc w:val="both"/>
        <w:rPr>
          <w:rFonts w:eastAsia="Times New Roman" w:cstheme="minorHAnsi"/>
          <w:color w:val="000000"/>
          <w:lang w:eastAsia="en-GB"/>
        </w:rPr>
      </w:pPr>
      <w:r w:rsidRPr="00CF5D26">
        <w:rPr>
          <w:rFonts w:eastAsia="Times New Roman" w:cstheme="minorHAnsi"/>
          <w:color w:val="000000"/>
          <w:lang w:eastAsia="en-GB"/>
        </w:rPr>
        <w:lastRenderedPageBreak/>
        <w:t xml:space="preserve">A Helical Tomotherapy (HT) treatment plan was generated for each patient in Precision (V 2.0.1.1, Accuray Inc., Sunnyvale, USA) TPS using 6 MV FFF photon beam with field widths of 1 cm or 2.5 cm and variable pitch and modulation factor. </w:t>
      </w:r>
    </w:p>
    <w:p w14:paraId="555ABDB9" w14:textId="77777777" w:rsidR="00771ED9" w:rsidRDefault="00771ED9" w:rsidP="00771ED9">
      <w:pPr>
        <w:spacing w:line="360" w:lineRule="auto"/>
        <w:jc w:val="both"/>
        <w:rPr>
          <w:rFonts w:eastAsia="Times New Roman" w:cstheme="minorHAnsi"/>
          <w:color w:val="000000"/>
          <w:lang w:eastAsia="en-GB"/>
        </w:rPr>
      </w:pPr>
    </w:p>
    <w:p w14:paraId="152D420B" w14:textId="77777777" w:rsidR="00771ED9" w:rsidRPr="003B2947" w:rsidRDefault="00771ED9" w:rsidP="00771ED9">
      <w:pPr>
        <w:spacing w:line="360" w:lineRule="auto"/>
        <w:jc w:val="both"/>
        <w:rPr>
          <w:rFonts w:eastAsia="Times New Roman" w:cstheme="minorHAnsi"/>
          <w:b/>
          <w:bCs/>
          <w:color w:val="000000"/>
          <w:lang w:eastAsia="en-GB"/>
        </w:rPr>
      </w:pPr>
      <w:r>
        <w:rPr>
          <w:rFonts w:eastAsia="Times New Roman" w:cstheme="minorHAnsi"/>
          <w:b/>
          <w:bCs/>
          <w:color w:val="000000"/>
          <w:lang w:eastAsia="en-GB"/>
        </w:rPr>
        <w:t xml:space="preserve">Pre </w:t>
      </w:r>
      <w:r w:rsidRPr="003B2947">
        <w:rPr>
          <w:rFonts w:eastAsia="Times New Roman" w:cstheme="minorHAnsi"/>
          <w:b/>
          <w:bCs/>
          <w:color w:val="000000"/>
          <w:lang w:eastAsia="en-GB"/>
        </w:rPr>
        <w:t>Treatment</w:t>
      </w:r>
      <w:r>
        <w:rPr>
          <w:rFonts w:eastAsia="Times New Roman" w:cstheme="minorHAnsi"/>
          <w:b/>
          <w:bCs/>
          <w:color w:val="000000"/>
          <w:lang w:eastAsia="en-GB"/>
        </w:rPr>
        <w:t xml:space="preserve"> assessments</w:t>
      </w:r>
    </w:p>
    <w:p w14:paraId="044B5FB0" w14:textId="77777777" w:rsidR="00771ED9"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t>All patients underwent Speech and Swallowing Assessment</w:t>
      </w:r>
      <w:r>
        <w:rPr>
          <w:rFonts w:eastAsia="Times New Roman" w:cstheme="minorHAnsi"/>
          <w:color w:val="000000"/>
          <w:lang w:eastAsia="en-GB"/>
        </w:rPr>
        <w:t>,</w:t>
      </w:r>
      <w:r w:rsidRPr="00CF5D26">
        <w:rPr>
          <w:rFonts w:eastAsia="Times New Roman" w:cstheme="minorHAnsi"/>
          <w:color w:val="000000"/>
          <w:lang w:eastAsia="en-GB"/>
        </w:rPr>
        <w:t xml:space="preserve"> Nutrition Assessment, nutritional assessment using PGSGA, and baseline quality of life assessment using EORTC questionnaire (C30 and HN35), prior to treatment implementation. Most  patients were referred to Clinical Psycho-Therapist for relaxation exercises, as a standard institutional protocol.</w:t>
      </w:r>
    </w:p>
    <w:p w14:paraId="5AA2A58C" w14:textId="77777777" w:rsidR="00771ED9" w:rsidRPr="003B2947" w:rsidRDefault="00771ED9" w:rsidP="00771ED9">
      <w:pPr>
        <w:spacing w:after="199" w:line="360" w:lineRule="auto"/>
        <w:jc w:val="both"/>
        <w:rPr>
          <w:rFonts w:eastAsia="Times New Roman" w:cstheme="minorHAnsi"/>
          <w:color w:val="000000"/>
          <w:shd w:val="clear" w:color="auto" w:fill="FFFFFF"/>
          <w:lang w:eastAsia="en-GB"/>
        </w:rPr>
      </w:pPr>
      <w:r w:rsidRPr="00CF5D26">
        <w:rPr>
          <w:rFonts w:eastAsia="Times New Roman" w:cstheme="minorHAnsi"/>
          <w:color w:val="000000"/>
          <w:shd w:val="clear" w:color="auto" w:fill="FFFFFF"/>
          <w:lang w:eastAsia="en-GB"/>
        </w:rPr>
        <w:t xml:space="preserve">The departmental protocol for feeding tube insertion on significant (&gt;10%) weight loss or severe odynophagia (Grade 3 or more), was followed. </w:t>
      </w:r>
    </w:p>
    <w:p w14:paraId="2CB5D80F" w14:textId="77777777" w:rsidR="00771ED9" w:rsidRPr="003B2947" w:rsidRDefault="00771ED9" w:rsidP="00771ED9">
      <w:pPr>
        <w:spacing w:after="199" w:line="360" w:lineRule="auto"/>
        <w:jc w:val="both"/>
        <w:rPr>
          <w:rFonts w:eastAsia="Times New Roman" w:cstheme="minorHAnsi"/>
          <w:b/>
          <w:bCs/>
          <w:color w:val="000000"/>
          <w:lang w:eastAsia="en-GB"/>
        </w:rPr>
      </w:pPr>
      <w:r w:rsidRPr="003B2947">
        <w:rPr>
          <w:rFonts w:eastAsia="Times New Roman" w:cstheme="minorHAnsi"/>
          <w:b/>
          <w:bCs/>
          <w:color w:val="000000"/>
          <w:shd w:val="clear" w:color="auto" w:fill="FFFFFF"/>
          <w:lang w:eastAsia="en-GB"/>
        </w:rPr>
        <w:t>Plan Implementation</w:t>
      </w:r>
    </w:p>
    <w:p w14:paraId="572E7603" w14:textId="77777777" w:rsidR="00771ED9" w:rsidRPr="00CF5D26" w:rsidRDefault="00771ED9" w:rsidP="00771ED9">
      <w:pPr>
        <w:spacing w:after="199" w:line="360" w:lineRule="auto"/>
        <w:jc w:val="both"/>
        <w:rPr>
          <w:rFonts w:eastAsia="Times New Roman" w:cstheme="minorHAnsi"/>
          <w:color w:val="000000"/>
          <w:lang w:eastAsia="en-GB"/>
        </w:rPr>
      </w:pPr>
      <w:r w:rsidRPr="00CF5D26">
        <w:rPr>
          <w:rFonts w:eastAsia="Times New Roman" w:cstheme="minorHAnsi"/>
          <w:color w:val="000000"/>
          <w:lang w:eastAsia="en-GB"/>
        </w:rPr>
        <w:t>Finalized IMPT plans were implemented after pre-treatment patient specific quality assurance using Proteus Plus under daily CBCT based image guidance. In addition, intra-treatment change in patient motion was monitored using Align RT (Vision RT, Version 5.1.2, London, United Kingdom) based surface guidance. Modest acceleration was practiced, with 6 fractions being delivered per week in the latter two to three weeks of treatment, subject to  acute toxicities and overall tolerance.</w:t>
      </w:r>
    </w:p>
    <w:p w14:paraId="2C7244A1" w14:textId="77777777" w:rsidR="00771ED9" w:rsidRDefault="00771ED9" w:rsidP="00771ED9">
      <w:pPr>
        <w:spacing w:line="360" w:lineRule="auto"/>
        <w:jc w:val="both"/>
        <w:rPr>
          <w:rFonts w:eastAsia="Times New Roman" w:cstheme="minorHAnsi"/>
          <w:color w:val="000000"/>
          <w:shd w:val="clear" w:color="auto" w:fill="FFFFFF"/>
          <w:lang w:eastAsia="en-GB"/>
        </w:rPr>
      </w:pPr>
      <w:r w:rsidRPr="00CF5D26">
        <w:rPr>
          <w:rFonts w:eastAsia="Times New Roman" w:cstheme="minorHAnsi"/>
          <w:color w:val="000000"/>
          <w:lang w:eastAsia="en-GB"/>
        </w:rPr>
        <w:t>Quality assurance CT (QACT) scans and assessment of quality of proton therapy plans was conducted at regular intervals.</w:t>
      </w:r>
      <w:r w:rsidRPr="00CF5D26">
        <w:rPr>
          <w:rFonts w:eastAsia="Times New Roman" w:cstheme="minorHAnsi"/>
          <w:color w:val="000000"/>
          <w:shd w:val="clear" w:color="auto" w:fill="FFFFFF"/>
          <w:lang w:eastAsia="en-GB"/>
        </w:rPr>
        <w:t>During radiation treatment, all patients were reviewed at least once weekly for acute toxicity assessment.</w:t>
      </w:r>
    </w:p>
    <w:p w14:paraId="36BFB1C6" w14:textId="77777777" w:rsidR="00771ED9" w:rsidRDefault="00771ED9" w:rsidP="00771ED9">
      <w:pPr>
        <w:spacing w:line="360" w:lineRule="auto"/>
        <w:jc w:val="both"/>
        <w:rPr>
          <w:rFonts w:eastAsia="Times New Roman" w:cstheme="minorHAnsi"/>
          <w:color w:val="000000"/>
          <w:shd w:val="clear" w:color="auto" w:fill="FFFFFF"/>
          <w:lang w:eastAsia="en-GB"/>
        </w:rPr>
      </w:pPr>
    </w:p>
    <w:p w14:paraId="7313D83C" w14:textId="77777777" w:rsidR="00771ED9" w:rsidRPr="003B2947" w:rsidRDefault="00771ED9" w:rsidP="00771ED9">
      <w:pPr>
        <w:spacing w:line="360" w:lineRule="auto"/>
        <w:jc w:val="both"/>
        <w:rPr>
          <w:rFonts w:eastAsia="Times New Roman" w:cstheme="minorHAnsi"/>
          <w:b/>
          <w:bCs/>
          <w:color w:val="000000"/>
          <w:shd w:val="clear" w:color="auto" w:fill="FFFFFF"/>
          <w:lang w:eastAsia="en-GB"/>
        </w:rPr>
      </w:pPr>
      <w:r w:rsidRPr="003B2947">
        <w:rPr>
          <w:rFonts w:eastAsia="Times New Roman" w:cstheme="minorHAnsi"/>
          <w:b/>
          <w:bCs/>
          <w:color w:val="000000"/>
          <w:shd w:val="clear" w:color="auto" w:fill="FFFFFF"/>
          <w:lang w:eastAsia="en-GB"/>
        </w:rPr>
        <w:t xml:space="preserve">Data collection and analysis </w:t>
      </w:r>
    </w:p>
    <w:p w14:paraId="5B5B77CC" w14:textId="77777777" w:rsidR="00771ED9" w:rsidRDefault="00771ED9" w:rsidP="00771ED9">
      <w:pPr>
        <w:spacing w:line="360" w:lineRule="auto"/>
        <w:jc w:val="both"/>
        <w:rPr>
          <w:rFonts w:eastAsia="Times New Roman" w:cstheme="minorHAnsi"/>
          <w:color w:val="000000"/>
          <w:shd w:val="clear" w:color="auto" w:fill="FFFFFF"/>
          <w:lang w:eastAsia="en-GB"/>
        </w:rPr>
      </w:pPr>
      <w:r>
        <w:rPr>
          <w:rFonts w:eastAsia="Times New Roman" w:cstheme="minorHAnsi"/>
          <w:color w:val="000000"/>
          <w:shd w:val="clear" w:color="auto" w:fill="FFFFFF"/>
          <w:lang w:eastAsia="en-GB"/>
        </w:rPr>
        <w:t xml:space="preserve">Dosimetric data for all patients collected and compiled using SPSS Software version 21, which was used for statistical analysis also. Dosimetric variables for oral mucosa (OM) and spared oral mucosa (sOM) namely D_Mean, V32, V39, V45, V50, V55, V60 for IMPT and HT plans were compared using paired t test, two tailed significance (p value) was calculated. (Fig 4) </w:t>
      </w:r>
    </w:p>
    <w:p w14:paraId="5F0FACA4" w14:textId="77777777" w:rsidR="00771ED9" w:rsidRDefault="00771ED9" w:rsidP="00771ED9">
      <w:pPr>
        <w:spacing w:line="360" w:lineRule="auto"/>
        <w:jc w:val="both"/>
        <w:rPr>
          <w:rFonts w:eastAsia="Times New Roman" w:cstheme="minorHAnsi"/>
          <w:color w:val="000000"/>
          <w:shd w:val="clear" w:color="auto" w:fill="FFFFFF"/>
          <w:lang w:eastAsia="en-GB"/>
        </w:rPr>
      </w:pPr>
    </w:p>
    <w:p w14:paraId="775F001E" w14:textId="77777777" w:rsidR="00771ED9" w:rsidRDefault="00771ED9" w:rsidP="00771ED9">
      <w:pPr>
        <w:spacing w:line="360" w:lineRule="auto"/>
        <w:jc w:val="both"/>
        <w:rPr>
          <w:rFonts w:eastAsia="Times New Roman" w:cstheme="minorHAnsi"/>
          <w:color w:val="000000"/>
          <w:shd w:val="clear" w:color="auto" w:fill="FFFFFF"/>
          <w:lang w:eastAsia="en-GB"/>
        </w:rPr>
      </w:pPr>
    </w:p>
    <w:p w14:paraId="1294785C" w14:textId="77777777" w:rsidR="00771ED9" w:rsidRDefault="00771ED9" w:rsidP="00771ED9">
      <w:pPr>
        <w:spacing w:line="360" w:lineRule="auto"/>
        <w:jc w:val="both"/>
        <w:rPr>
          <w:rFonts w:eastAsia="Times New Roman" w:cstheme="minorHAnsi"/>
          <w:color w:val="000000"/>
          <w:shd w:val="clear" w:color="auto" w:fill="FFFFFF"/>
          <w:lang w:eastAsia="en-GB"/>
        </w:rPr>
      </w:pPr>
    </w:p>
    <w:p w14:paraId="64DA25D4" w14:textId="77777777" w:rsidR="00771ED9" w:rsidRDefault="00771ED9" w:rsidP="00771ED9">
      <w:pPr>
        <w:spacing w:line="360" w:lineRule="auto"/>
        <w:jc w:val="both"/>
        <w:rPr>
          <w:rFonts w:eastAsia="Times New Roman" w:cstheme="minorHAnsi"/>
          <w:color w:val="000000"/>
          <w:shd w:val="clear" w:color="auto" w:fill="FFFFFF"/>
          <w:lang w:eastAsia="en-GB"/>
        </w:rPr>
      </w:pPr>
    </w:p>
    <w:p w14:paraId="1FEA3000" w14:textId="77777777" w:rsidR="00771ED9" w:rsidRDefault="00771ED9" w:rsidP="00771ED9">
      <w:pPr>
        <w:spacing w:line="360" w:lineRule="auto"/>
        <w:jc w:val="both"/>
        <w:rPr>
          <w:rFonts w:eastAsia="Times New Roman" w:cstheme="minorHAnsi"/>
          <w:color w:val="000000"/>
          <w:shd w:val="clear" w:color="auto" w:fill="FFFFFF"/>
          <w:lang w:eastAsia="en-GB"/>
        </w:rPr>
      </w:pPr>
    </w:p>
    <w:p w14:paraId="76403EBF" w14:textId="77777777" w:rsidR="00771ED9" w:rsidRDefault="00771ED9" w:rsidP="00771ED9">
      <w:pPr>
        <w:spacing w:line="360" w:lineRule="auto"/>
        <w:jc w:val="both"/>
        <w:rPr>
          <w:rFonts w:eastAsia="Times New Roman" w:cstheme="minorHAnsi"/>
          <w:color w:val="000000"/>
          <w:shd w:val="clear" w:color="auto" w:fill="FFFFFF"/>
          <w:lang w:eastAsia="en-GB"/>
        </w:rPr>
      </w:pPr>
    </w:p>
    <w:p w14:paraId="19B421EC" w14:textId="77777777" w:rsidR="00771ED9" w:rsidRDefault="00771ED9" w:rsidP="00771ED9">
      <w:pPr>
        <w:spacing w:line="360" w:lineRule="auto"/>
        <w:jc w:val="both"/>
        <w:rPr>
          <w:rFonts w:eastAsia="Times New Roman" w:cstheme="minorHAnsi"/>
          <w:color w:val="000000"/>
          <w:shd w:val="clear" w:color="auto" w:fill="FFFFFF"/>
          <w:lang w:eastAsia="en-GB"/>
        </w:rPr>
      </w:pPr>
    </w:p>
    <w:p w14:paraId="2E860A04" w14:textId="77777777" w:rsidR="00771ED9" w:rsidRDefault="00771ED9" w:rsidP="00771ED9">
      <w:pPr>
        <w:spacing w:line="360" w:lineRule="auto"/>
        <w:jc w:val="both"/>
      </w:pPr>
      <w:r>
        <w:t>Fig 3</w:t>
      </w:r>
    </w:p>
    <w:p w14:paraId="673B0687" w14:textId="77777777" w:rsidR="00771ED9" w:rsidRDefault="00771ED9" w:rsidP="00771ED9">
      <w:pPr>
        <w:spacing w:line="360" w:lineRule="auto"/>
        <w:jc w:val="both"/>
      </w:pPr>
    </w:p>
    <w:p w14:paraId="5E766965" w14:textId="77777777" w:rsidR="00771ED9" w:rsidRDefault="00771ED9" w:rsidP="00771ED9">
      <w:pPr>
        <w:spacing w:line="360" w:lineRule="auto"/>
        <w:jc w:val="both"/>
      </w:pPr>
      <w:r>
        <w:rPr>
          <w:noProof/>
          <w:lang w:val="en-US"/>
        </w:rPr>
        <w:drawing>
          <wp:inline distT="0" distB="0" distL="0" distR="0" wp14:anchorId="32D47371" wp14:editId="1B5D7D89">
            <wp:extent cx="5731510" cy="4286885"/>
            <wp:effectExtent l="38100" t="38100" r="34290" b="438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
                      <a:extLst>
                        <a:ext uri="{28A0092B-C50C-407E-A947-70E740481C1C}">
                          <a14:useLocalDpi xmlns:a14="http://schemas.microsoft.com/office/drawing/2010/main" val="0"/>
                        </a:ext>
                      </a:extLst>
                    </a:blip>
                    <a:stretch>
                      <a:fillRect/>
                    </a:stretch>
                  </pic:blipFill>
                  <pic:spPr>
                    <a:xfrm>
                      <a:off x="0" y="0"/>
                      <a:ext cx="5731510" cy="4286885"/>
                    </a:xfrm>
                    <a:prstGeom prst="rect">
                      <a:avLst/>
                    </a:prstGeom>
                    <a:ln w="38100">
                      <a:solidFill>
                        <a:schemeClr val="accent1"/>
                      </a:solidFill>
                    </a:ln>
                  </pic:spPr>
                </pic:pic>
              </a:graphicData>
            </a:graphic>
          </wp:inline>
        </w:drawing>
      </w:r>
    </w:p>
    <w:p w14:paraId="7FB6274C" w14:textId="77777777" w:rsidR="00771ED9" w:rsidRDefault="00771ED9" w:rsidP="00771ED9">
      <w:pPr>
        <w:spacing w:line="360" w:lineRule="auto"/>
        <w:jc w:val="both"/>
      </w:pPr>
    </w:p>
    <w:p w14:paraId="0A0E8620" w14:textId="77777777" w:rsidR="00771ED9" w:rsidRDefault="00771ED9" w:rsidP="00771ED9">
      <w:pPr>
        <w:spacing w:line="360" w:lineRule="auto"/>
        <w:jc w:val="both"/>
      </w:pPr>
    </w:p>
    <w:p w14:paraId="6A3C224F" w14:textId="77777777" w:rsidR="00771ED9" w:rsidRDefault="00771ED9" w:rsidP="00771ED9">
      <w:pPr>
        <w:spacing w:line="360" w:lineRule="auto"/>
        <w:jc w:val="both"/>
      </w:pPr>
    </w:p>
    <w:p w14:paraId="1FFD22BE" w14:textId="77777777" w:rsidR="00771ED9" w:rsidRDefault="00771ED9" w:rsidP="00771ED9">
      <w:pPr>
        <w:spacing w:line="360" w:lineRule="auto"/>
        <w:jc w:val="both"/>
      </w:pPr>
      <w:r>
        <w:t>Fig 4</w:t>
      </w:r>
    </w:p>
    <w:p w14:paraId="4D2A9808" w14:textId="77777777" w:rsidR="00771ED9" w:rsidRDefault="00771ED9" w:rsidP="00771ED9">
      <w:pPr>
        <w:spacing w:line="360" w:lineRule="auto"/>
        <w:jc w:val="both"/>
      </w:pPr>
      <w:r>
        <w:rPr>
          <w:noProof/>
          <w:lang w:val="en-US"/>
        </w:rPr>
        <w:lastRenderedPageBreak/>
        <w:drawing>
          <wp:inline distT="0" distB="0" distL="0" distR="0" wp14:anchorId="6CA5AF2F" wp14:editId="2B3E83AE">
            <wp:extent cx="5731510" cy="3275965"/>
            <wp:effectExtent l="12700" t="12700" r="8890" b="133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275965"/>
                    </a:xfrm>
                    <a:prstGeom prst="rect">
                      <a:avLst/>
                    </a:prstGeom>
                    <a:ln>
                      <a:solidFill>
                        <a:schemeClr val="accent1"/>
                      </a:solidFill>
                    </a:ln>
                  </pic:spPr>
                </pic:pic>
              </a:graphicData>
            </a:graphic>
          </wp:inline>
        </w:drawing>
      </w:r>
    </w:p>
    <w:p w14:paraId="76174FE8" w14:textId="77777777" w:rsidR="00771ED9" w:rsidRDefault="00771ED9" w:rsidP="00771ED9">
      <w:pPr>
        <w:spacing w:line="360" w:lineRule="auto"/>
        <w:jc w:val="both"/>
      </w:pPr>
    </w:p>
    <w:p w14:paraId="776171C9" w14:textId="77777777" w:rsidR="00771ED9" w:rsidRDefault="00771ED9" w:rsidP="00771ED9">
      <w:pPr>
        <w:spacing w:line="360" w:lineRule="auto"/>
        <w:jc w:val="both"/>
      </w:pPr>
      <w:r>
        <w:t>Fig 5</w:t>
      </w:r>
    </w:p>
    <w:p w14:paraId="70572B9F" w14:textId="77777777" w:rsidR="00771ED9" w:rsidRDefault="00771ED9" w:rsidP="00771ED9">
      <w:pPr>
        <w:spacing w:line="360" w:lineRule="auto"/>
        <w:jc w:val="both"/>
      </w:pPr>
    </w:p>
    <w:p w14:paraId="5B31597D" w14:textId="77777777" w:rsidR="00771ED9" w:rsidRDefault="00771ED9" w:rsidP="00771ED9">
      <w:pPr>
        <w:spacing w:line="360" w:lineRule="auto"/>
        <w:jc w:val="both"/>
      </w:pPr>
      <w:r>
        <w:rPr>
          <w:noProof/>
          <w:lang w:val="en-US"/>
        </w:rPr>
        <w:drawing>
          <wp:inline distT="0" distB="0" distL="0" distR="0" wp14:anchorId="184E6961" wp14:editId="132D6670">
            <wp:extent cx="5727700" cy="2890867"/>
            <wp:effectExtent l="0" t="0" r="0" b="5080"/>
            <wp:docPr id="7" name="Picture 7"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video game&#10;&#10;Description automatically generated"/>
                    <pic:cNvPicPr/>
                  </pic:nvPicPr>
                  <pic:blipFill rotWithShape="1">
                    <a:blip r:embed="rId6" cstate="print">
                      <a:extLst>
                        <a:ext uri="{28A0092B-C50C-407E-A947-70E740481C1C}">
                          <a14:useLocalDpi xmlns:a14="http://schemas.microsoft.com/office/drawing/2010/main" val="0"/>
                        </a:ext>
                      </a:extLst>
                    </a:blip>
                    <a:srcRect b="3011"/>
                    <a:stretch/>
                  </pic:blipFill>
                  <pic:spPr bwMode="auto">
                    <a:xfrm>
                      <a:off x="0" y="0"/>
                      <a:ext cx="5728061" cy="2891049"/>
                    </a:xfrm>
                    <a:prstGeom prst="rect">
                      <a:avLst/>
                    </a:prstGeom>
                    <a:ln>
                      <a:noFill/>
                    </a:ln>
                    <a:extLst>
                      <a:ext uri="{53640926-AAD7-44D8-BBD7-CCE9431645EC}">
                        <a14:shadowObscured xmlns:a14="http://schemas.microsoft.com/office/drawing/2010/main"/>
                      </a:ext>
                    </a:extLst>
                  </pic:spPr>
                </pic:pic>
              </a:graphicData>
            </a:graphic>
          </wp:inline>
        </w:drawing>
      </w:r>
    </w:p>
    <w:p w14:paraId="0F42EB74" w14:textId="77777777" w:rsidR="00771ED9" w:rsidRDefault="00771ED9" w:rsidP="00771ED9">
      <w:pPr>
        <w:spacing w:line="360" w:lineRule="auto"/>
        <w:jc w:val="both"/>
      </w:pPr>
    </w:p>
    <w:p w14:paraId="154F68DB" w14:textId="77777777" w:rsidR="00771ED9" w:rsidRDefault="00771ED9" w:rsidP="00771ED9">
      <w:pPr>
        <w:spacing w:line="360" w:lineRule="auto"/>
        <w:jc w:val="both"/>
      </w:pPr>
      <w:r>
        <w:t>Legends</w:t>
      </w:r>
    </w:p>
    <w:p w14:paraId="22765760" w14:textId="77777777" w:rsidR="00771ED9" w:rsidRDefault="00771ED9" w:rsidP="00771ED9">
      <w:pPr>
        <w:spacing w:line="360" w:lineRule="auto"/>
        <w:jc w:val="both"/>
      </w:pPr>
    </w:p>
    <w:p w14:paraId="3102D218" w14:textId="77777777" w:rsidR="00771ED9" w:rsidRDefault="00771ED9" w:rsidP="00771ED9">
      <w:pPr>
        <w:spacing w:line="360" w:lineRule="auto"/>
        <w:jc w:val="both"/>
      </w:pPr>
      <w:r>
        <w:t>Fig 3: Delineation of buccal mucosa, as proposed by Dean et al (9)</w:t>
      </w:r>
    </w:p>
    <w:p w14:paraId="5442C2DA" w14:textId="77777777" w:rsidR="00771ED9" w:rsidRDefault="00771ED9" w:rsidP="00771ED9">
      <w:pPr>
        <w:spacing w:line="360" w:lineRule="auto"/>
        <w:jc w:val="both"/>
      </w:pPr>
      <w:r>
        <w:lastRenderedPageBreak/>
        <w:t>Fig 4: Paired t test, demonstrating  statistically significant differences  in oral mucosa ( OM) and spared oral mucosa( sOM)  IMRT and HT plans volumes receiving 32Gy, 39Gy, 45Gy, 50Gy and 55 Gy. The difference if not statistically different for volumes receiving 60Gy.</w:t>
      </w:r>
    </w:p>
    <w:p w14:paraId="203A00C3" w14:textId="77777777" w:rsidR="00771ED9" w:rsidRDefault="00771ED9" w:rsidP="00771ED9">
      <w:pPr>
        <w:spacing w:line="360" w:lineRule="auto"/>
        <w:jc w:val="both"/>
      </w:pPr>
    </w:p>
    <w:p w14:paraId="6C3BEAF7" w14:textId="77777777" w:rsidR="00771ED9" w:rsidRDefault="00771ED9" w:rsidP="00771ED9">
      <w:pPr>
        <w:spacing w:line="360" w:lineRule="auto"/>
        <w:jc w:val="both"/>
      </w:pPr>
      <w:r>
        <w:t>Fig 5:  (A) DVH difference for oral mucosa, IMPT - solid line, Helical Tomotherapy ( HT) - dotted line.Dose colourwash representing 39 Gy ( red) and 32 Gy ( green) sparing oral mucosa, magenta contour, with IMPT ( B), HT (C). (D) Comparison between IMPT and HT</w:t>
      </w:r>
    </w:p>
    <w:p w14:paraId="51B1F36D" w14:textId="77777777" w:rsidR="00771ED9" w:rsidRPr="0053602F" w:rsidRDefault="00771ED9" w:rsidP="00771ED9">
      <w:pPr>
        <w:spacing w:line="360" w:lineRule="auto"/>
        <w:jc w:val="both"/>
        <w:rPr>
          <w:rFonts w:cstheme="minorHAnsi"/>
        </w:rPr>
      </w:pPr>
    </w:p>
    <w:p w14:paraId="15DBB6E5" w14:textId="77777777" w:rsidR="00454160" w:rsidRDefault="00000000"/>
    <w:sectPr w:rsidR="00454160" w:rsidSect="000224FD">
      <w:footerReference w:type="even" r:id="rId7"/>
      <w:footerReference w:type="default" r:id="rI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3588975"/>
      <w:docPartObj>
        <w:docPartGallery w:val="Page Numbers (Bottom of Page)"/>
        <w:docPartUnique/>
      </w:docPartObj>
    </w:sdtPr>
    <w:sdtContent>
      <w:p w14:paraId="4FBF9301" w14:textId="77777777" w:rsidR="0043502C" w:rsidRDefault="00000000" w:rsidP="004350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776FAC" w14:textId="77777777" w:rsidR="0043502C" w:rsidRDefault="00000000" w:rsidP="00676B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7901820"/>
      <w:docPartObj>
        <w:docPartGallery w:val="Page Numbers (Bottom of Page)"/>
        <w:docPartUnique/>
      </w:docPartObj>
    </w:sdtPr>
    <w:sdtContent>
      <w:p w14:paraId="66A6B658" w14:textId="77777777" w:rsidR="0043502C" w:rsidRDefault="00000000" w:rsidP="0043502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noProof/>
          </w:rPr>
          <w:t>0</w:t>
        </w:r>
        <w:r>
          <w:rPr>
            <w:rStyle w:val="PageNumber"/>
          </w:rPr>
          <w:fldChar w:fldCharType="end"/>
        </w:r>
      </w:p>
    </w:sdtContent>
  </w:sdt>
  <w:p w14:paraId="24AE4688" w14:textId="77777777" w:rsidR="0043502C" w:rsidRDefault="00000000" w:rsidP="00676B64">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ED9"/>
    <w:rsid w:val="00771ED9"/>
    <w:rsid w:val="009738A2"/>
    <w:rsid w:val="00AE7A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FA440EF"/>
  <w15:chartTrackingRefBased/>
  <w15:docId w15:val="{8CA2912C-B3A6-924F-B6D2-9E22096AB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ED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1ED9"/>
    <w:pPr>
      <w:tabs>
        <w:tab w:val="center" w:pos="4513"/>
        <w:tab w:val="right" w:pos="9026"/>
      </w:tabs>
    </w:pPr>
  </w:style>
  <w:style w:type="character" w:customStyle="1" w:styleId="FooterChar">
    <w:name w:val="Footer Char"/>
    <w:basedOn w:val="DefaultParagraphFont"/>
    <w:link w:val="Footer"/>
    <w:uiPriority w:val="99"/>
    <w:rsid w:val="00771ED9"/>
    <w:rPr>
      <w:rFonts w:eastAsiaTheme="minorEastAsia"/>
    </w:rPr>
  </w:style>
  <w:style w:type="character" w:styleId="PageNumber">
    <w:name w:val="page number"/>
    <w:basedOn w:val="DefaultParagraphFont"/>
    <w:uiPriority w:val="99"/>
    <w:semiHidden/>
    <w:unhideWhenUsed/>
    <w:rsid w:val="00771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1387</Words>
  <Characters>7907</Characters>
  <Application>Microsoft Office Word</Application>
  <DocSecurity>0</DocSecurity>
  <Lines>65</Lines>
  <Paragraphs>18</Paragraphs>
  <ScaleCrop>false</ScaleCrop>
  <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Kumar Panda</dc:creator>
  <cp:keywords/>
  <dc:description/>
  <cp:lastModifiedBy>Pankaj Kumar Panda</cp:lastModifiedBy>
  <cp:revision>1</cp:revision>
  <dcterms:created xsi:type="dcterms:W3CDTF">2022-08-20T09:47:00Z</dcterms:created>
  <dcterms:modified xsi:type="dcterms:W3CDTF">2022-08-20T09:47:00Z</dcterms:modified>
</cp:coreProperties>
</file>