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ascii="Times New Roman" w:hAnsi="Times New Roman" w:cs="Times New Roman"/>
          <w:b/>
          <w:sz w:val="24"/>
        </w:rPr>
      </w:pPr>
      <w:r>
        <w:rPr>
          <w:rFonts w:hint="default" w:ascii="Times New Roman" w:hAnsi="Times New Roman" w:cs="Times New Roman"/>
          <w:b/>
          <w:sz w:val="24"/>
        </w:rPr>
        <w:t xml:space="preserve">Supplementary Table </w:t>
      </w:r>
      <w:r>
        <w:rPr>
          <w:rFonts w:hint="eastAsia" w:ascii="Times New Roman" w:hAnsi="Times New Roman" w:cs="Times New Roman"/>
          <w:b/>
          <w:sz w:val="24"/>
          <w:lang w:val="en-US" w:eastAsia="zh-CN"/>
        </w:rPr>
        <w:t>1</w:t>
      </w:r>
      <w:r>
        <w:rPr>
          <w:rFonts w:hint="default" w:ascii="Times New Roman" w:hAnsi="Times New Roman" w:cs="Times New Roman"/>
          <w:b/>
          <w:sz w:val="24"/>
          <w:lang w:val="en-US" w:eastAsia="zh-CN"/>
        </w:rPr>
        <w:t>. Demographics and clinical characteristics of 12 JDM patients</w:t>
      </w:r>
    </w:p>
    <w:p>
      <w:pPr>
        <w:shd w:val="clear" w:color="auto" w:fill="FFFFFF"/>
        <w:rPr>
          <w:rFonts w:hint="default" w:ascii="Times New Roman" w:hAnsi="Times New Roman" w:cs="Times New Roman"/>
          <w:b/>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69"/>
        <w:gridCol w:w="3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9" w:type="dxa"/>
          </w:tcPr>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b/>
                <w:sz w:val="20"/>
                <w:szCs w:val="20"/>
                <w:vertAlign w:val="baseline"/>
              </w:rPr>
            </w:pPr>
            <w:r>
              <w:rPr>
                <w:rFonts w:hint="default" w:ascii="Times New Roman" w:hAnsi="Times New Roman" w:eastAsia="TimesNewRomanPS-BoldMT" w:cs="Times New Roman"/>
                <w:b/>
                <w:bCs/>
                <w:color w:val="000000"/>
                <w:kern w:val="0"/>
                <w:sz w:val="20"/>
                <w:szCs w:val="20"/>
                <w:lang w:val="en-US" w:eastAsia="zh-CN" w:bidi="ar"/>
              </w:rPr>
              <w:t>Characteristic</w:t>
            </w:r>
          </w:p>
        </w:tc>
        <w:tc>
          <w:tcPr>
            <w:tcW w:w="3453" w:type="dxa"/>
          </w:tcPr>
          <w:p>
            <w:pPr>
              <w:keepNext w:val="0"/>
              <w:keepLines w:val="0"/>
              <w:pageBreakBefore w:val="0"/>
              <w:kinsoku/>
              <w:wordWrap/>
              <w:overflowPunct/>
              <w:topLinePunct w:val="0"/>
              <w:autoSpaceDE/>
              <w:autoSpaceDN/>
              <w:bidi w:val="0"/>
              <w:adjustRightInd/>
              <w:snapToGrid w:val="0"/>
              <w:textAlignment w:val="auto"/>
              <w:rPr>
                <w:rFonts w:hint="default" w:ascii="Times New Roman" w:hAnsi="Times New Roman" w:eastAsia="宋体" w:cs="Times New Roman"/>
                <w:b/>
                <w:sz w:val="20"/>
                <w:szCs w:val="20"/>
                <w:vertAlign w:val="baseline"/>
                <w:lang w:val="en-US" w:eastAsia="zh-CN"/>
              </w:rPr>
            </w:pPr>
            <w:r>
              <w:rPr>
                <w:rFonts w:hint="default" w:ascii="Times New Roman" w:hAnsi="Times New Roman" w:cs="Times New Roman"/>
                <w:b/>
                <w:sz w:val="20"/>
                <w:szCs w:val="20"/>
                <w:vertAlign w:val="baseline"/>
                <w:lang w:val="en-US" w:eastAsia="zh-CN"/>
              </w:rPr>
              <w:t>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69" w:type="dxa"/>
          </w:tcPr>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Age, year, median (range)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Female/Male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Weight, kg, </w:t>
            </w:r>
            <w:bookmarkStart w:id="0" w:name="OLE_LINK2"/>
            <w:r>
              <w:rPr>
                <w:rFonts w:hint="default" w:ascii="Times New Roman" w:hAnsi="Times New Roman" w:eastAsia="宋体" w:cs="Times New Roman"/>
                <w:color w:val="000000"/>
                <w:kern w:val="0"/>
                <w:sz w:val="20"/>
                <w:szCs w:val="20"/>
                <w:lang w:val="en-US" w:eastAsia="zh-CN" w:bidi="ar"/>
              </w:rPr>
              <w:t>median (range)</w:t>
            </w:r>
            <w:bookmarkEnd w:id="0"/>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Height, cm, </w:t>
            </w:r>
            <w:bookmarkStart w:id="1" w:name="OLE_LINK1"/>
            <w:r>
              <w:rPr>
                <w:rFonts w:hint="default" w:ascii="Times New Roman" w:hAnsi="Times New Roman" w:eastAsia="宋体" w:cs="Times New Roman"/>
                <w:color w:val="000000"/>
                <w:kern w:val="0"/>
                <w:sz w:val="20"/>
                <w:szCs w:val="20"/>
                <w:lang w:val="en-US" w:eastAsia="zh-CN" w:bidi="ar"/>
              </w:rPr>
              <w:t>median</w:t>
            </w:r>
            <w:bookmarkEnd w:id="1"/>
            <w:r>
              <w:rPr>
                <w:rFonts w:hint="default" w:ascii="Times New Roman" w:hAnsi="Times New Roman" w:eastAsia="宋体" w:cs="Times New Roman"/>
                <w:color w:val="000000"/>
                <w:kern w:val="0"/>
                <w:sz w:val="20"/>
                <w:szCs w:val="20"/>
                <w:lang w:val="en-US" w:eastAsia="zh-CN" w:bidi="ar"/>
              </w:rPr>
              <w:t xml:space="preserve"> (range)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eastAsia="宋体" w:cs="Times New Roman"/>
                <w:color w:val="000000"/>
                <w:kern w:val="0"/>
                <w:sz w:val="20"/>
                <w:szCs w:val="20"/>
                <w:lang w:val="en-US" w:eastAsia="zh-CN" w:bidi="ar"/>
              </w:rPr>
              <w:t xml:space="preserve">Duration of </w:t>
            </w:r>
            <w:r>
              <w:rPr>
                <w:rFonts w:hint="default" w:ascii="Times New Roman" w:hAnsi="Times New Roman" w:cs="Times New Roman"/>
                <w:color w:val="000000"/>
                <w:kern w:val="0"/>
                <w:sz w:val="20"/>
                <w:szCs w:val="20"/>
                <w:lang w:val="en-US" w:eastAsia="zh-CN" w:bidi="ar"/>
              </w:rPr>
              <w:t>JDM</w:t>
            </w:r>
            <w:r>
              <w:rPr>
                <w:rFonts w:hint="default" w:ascii="Times New Roman" w:hAnsi="Times New Roman" w:eastAsia="宋体" w:cs="Times New Roman"/>
                <w:color w:val="000000"/>
                <w:kern w:val="0"/>
                <w:sz w:val="20"/>
                <w:szCs w:val="20"/>
                <w:lang w:val="en-US" w:eastAsia="zh-CN" w:bidi="ar"/>
              </w:rPr>
              <w:t xml:space="preserve">, </w:t>
            </w:r>
            <w:r>
              <w:rPr>
                <w:rFonts w:hint="default" w:ascii="Times New Roman" w:hAnsi="Times New Roman" w:cs="Times New Roman"/>
                <w:color w:val="000000"/>
                <w:kern w:val="0"/>
                <w:sz w:val="20"/>
                <w:szCs w:val="20"/>
                <w:lang w:val="en-US" w:eastAsia="zh-CN" w:bidi="ar"/>
              </w:rPr>
              <w:t>month</w:t>
            </w:r>
            <w:r>
              <w:rPr>
                <w:rFonts w:hint="default" w:ascii="Times New Roman" w:hAnsi="Times New Roman" w:eastAsia="宋体" w:cs="Times New Roman"/>
                <w:color w:val="000000"/>
                <w:kern w:val="0"/>
                <w:sz w:val="20"/>
                <w:szCs w:val="20"/>
                <w:lang w:val="en-US" w:eastAsia="zh-CN" w:bidi="ar"/>
              </w:rPr>
              <w:t xml:space="preserve">, median (range)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M</w:t>
            </w:r>
            <w:r>
              <w:rPr>
                <w:rFonts w:hint="default" w:ascii="Times New Roman" w:hAnsi="Times New Roman" w:eastAsia="宋体" w:cs="Times New Roman"/>
                <w:color w:val="000000"/>
                <w:kern w:val="0"/>
                <w:sz w:val="20"/>
                <w:szCs w:val="20"/>
                <w:lang w:val="en-US" w:eastAsia="zh-CN" w:bidi="ar"/>
              </w:rPr>
              <w:t>yositis</w:t>
            </w:r>
            <w:r>
              <w:rPr>
                <w:rFonts w:hint="default" w:ascii="Times New Roman" w:hAnsi="Times New Roman" w:eastAsia="宋体" w:cs="Times New Roman"/>
                <w:color w:val="000000"/>
                <w:kern w:val="0"/>
                <w:sz w:val="20"/>
                <w:szCs w:val="20"/>
                <w:lang w:val="en-US" w:eastAsia="zh-CN" w:bidi="ar"/>
              </w:rPr>
              <w:noBreakHyphen/>
            </w:r>
            <w:r>
              <w:rPr>
                <w:rFonts w:hint="default" w:ascii="Times New Roman" w:hAnsi="Times New Roman" w:eastAsia="宋体" w:cs="Times New Roman"/>
                <w:color w:val="000000"/>
                <w:kern w:val="0"/>
                <w:sz w:val="20"/>
                <w:szCs w:val="20"/>
                <w:lang w:val="en-US" w:eastAsia="zh-CN" w:bidi="ar"/>
              </w:rPr>
              <w:t>specific autoantibodies</w:t>
            </w:r>
          </w:p>
          <w:p>
            <w:pPr>
              <w:keepNext w:val="0"/>
              <w:keepLines w:val="0"/>
              <w:pageBreakBefore w:val="0"/>
              <w:widowControl/>
              <w:suppressLineNumbers w:val="0"/>
              <w:kinsoku/>
              <w:wordWrap/>
              <w:overflowPunct/>
              <w:topLinePunct w:val="0"/>
              <w:autoSpaceDE/>
              <w:autoSpaceDN/>
              <w:bidi w:val="0"/>
              <w:adjustRightInd/>
              <w:snapToGrid w:val="0"/>
              <w:ind w:firstLine="48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Undetected</w:t>
            </w:r>
          </w:p>
          <w:p>
            <w:pPr>
              <w:keepNext w:val="0"/>
              <w:keepLines w:val="0"/>
              <w:pageBreakBefore w:val="0"/>
              <w:widowControl/>
              <w:suppressLineNumbers w:val="0"/>
              <w:kinsoku/>
              <w:wordWrap/>
              <w:overflowPunct/>
              <w:topLinePunct w:val="0"/>
              <w:autoSpaceDE/>
              <w:autoSpaceDN/>
              <w:bidi w:val="0"/>
              <w:adjustRightInd/>
              <w:snapToGrid w:val="0"/>
              <w:ind w:firstLine="48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Detected</w:t>
            </w:r>
          </w:p>
          <w:p>
            <w:pPr>
              <w:keepNext w:val="0"/>
              <w:keepLines w:val="0"/>
              <w:pageBreakBefore w:val="0"/>
              <w:widowControl/>
              <w:suppressLineNumbers w:val="0"/>
              <w:kinsoku/>
              <w:wordWrap/>
              <w:overflowPunct/>
              <w:topLinePunct w:val="0"/>
              <w:autoSpaceDE/>
              <w:autoSpaceDN/>
              <w:bidi w:val="0"/>
              <w:adjustRightInd/>
              <w:snapToGrid w:val="0"/>
              <w:ind w:firstLine="48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 xml:space="preserve">  anti- NXP2 antibody (+)</w:t>
            </w:r>
          </w:p>
          <w:p>
            <w:pPr>
              <w:keepNext w:val="0"/>
              <w:keepLines w:val="0"/>
              <w:pageBreakBefore w:val="0"/>
              <w:widowControl/>
              <w:suppressLineNumbers w:val="0"/>
              <w:kinsoku/>
              <w:wordWrap/>
              <w:overflowPunct/>
              <w:topLinePunct w:val="0"/>
              <w:autoSpaceDE/>
              <w:autoSpaceDN/>
              <w:bidi w:val="0"/>
              <w:adjustRightInd/>
              <w:snapToGrid w:val="0"/>
              <w:ind w:firstLine="48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 xml:space="preserve">  anti-Jo-1 antibody(+)</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Use of concomitant agents (no. of patients) </w:t>
            </w:r>
          </w:p>
          <w:p>
            <w:pPr>
              <w:keepNext w:val="0"/>
              <w:keepLines w:val="0"/>
              <w:pageBreakBefore w:val="0"/>
              <w:widowControl/>
              <w:suppressLineNumbers w:val="0"/>
              <w:kinsoku/>
              <w:wordWrap/>
              <w:overflowPunct/>
              <w:topLinePunct w:val="0"/>
              <w:autoSpaceDE/>
              <w:autoSpaceDN/>
              <w:bidi w:val="0"/>
              <w:adjustRightInd/>
              <w:snapToGrid w:val="0"/>
              <w:ind w:firstLine="400" w:firstLineChars="200"/>
              <w:jc w:val="left"/>
              <w:textAlignment w:val="auto"/>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IVIG</w:t>
            </w:r>
          </w:p>
          <w:p>
            <w:pPr>
              <w:keepNext w:val="0"/>
              <w:keepLines w:val="0"/>
              <w:pageBreakBefore w:val="0"/>
              <w:widowControl/>
              <w:suppressLineNumbers w:val="0"/>
              <w:kinsoku/>
              <w:wordWrap/>
              <w:overflowPunct/>
              <w:topLinePunct w:val="0"/>
              <w:autoSpaceDE/>
              <w:autoSpaceDN/>
              <w:bidi w:val="0"/>
              <w:adjustRightInd/>
              <w:snapToGrid w:val="0"/>
              <w:ind w:firstLine="400" w:firstLineChars="20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Hydroxychloroquine </w:t>
            </w:r>
          </w:p>
          <w:p>
            <w:pPr>
              <w:keepNext w:val="0"/>
              <w:keepLines w:val="0"/>
              <w:pageBreakBefore w:val="0"/>
              <w:widowControl/>
              <w:suppressLineNumbers w:val="0"/>
              <w:kinsoku/>
              <w:wordWrap/>
              <w:overflowPunct/>
              <w:topLinePunct w:val="0"/>
              <w:autoSpaceDE/>
              <w:autoSpaceDN/>
              <w:bidi w:val="0"/>
              <w:adjustRightInd/>
              <w:snapToGrid w:val="0"/>
              <w:ind w:firstLine="400" w:firstLineChars="20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Cyclophosphamide </w:t>
            </w:r>
          </w:p>
          <w:p>
            <w:pPr>
              <w:keepNext w:val="0"/>
              <w:keepLines w:val="0"/>
              <w:pageBreakBefore w:val="0"/>
              <w:widowControl/>
              <w:suppressLineNumbers w:val="0"/>
              <w:kinsoku/>
              <w:wordWrap/>
              <w:overflowPunct/>
              <w:topLinePunct w:val="0"/>
              <w:autoSpaceDE/>
              <w:autoSpaceDN/>
              <w:bidi w:val="0"/>
              <w:adjustRightInd/>
              <w:snapToGrid w:val="0"/>
              <w:ind w:firstLine="400" w:firstLineChars="20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Azathioprine </w:t>
            </w:r>
          </w:p>
          <w:p>
            <w:pPr>
              <w:keepNext w:val="0"/>
              <w:keepLines w:val="0"/>
              <w:pageBreakBefore w:val="0"/>
              <w:widowControl/>
              <w:suppressLineNumbers w:val="0"/>
              <w:kinsoku/>
              <w:wordWrap/>
              <w:overflowPunct/>
              <w:topLinePunct w:val="0"/>
              <w:autoSpaceDE/>
              <w:autoSpaceDN/>
              <w:bidi w:val="0"/>
              <w:adjustRightInd/>
              <w:snapToGrid w:val="0"/>
              <w:ind w:firstLine="400" w:firstLineChars="20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Cyclosporine </w:t>
            </w:r>
          </w:p>
          <w:p>
            <w:pPr>
              <w:keepNext w:val="0"/>
              <w:keepLines w:val="0"/>
              <w:pageBreakBefore w:val="0"/>
              <w:widowControl/>
              <w:suppressLineNumbers w:val="0"/>
              <w:kinsoku/>
              <w:wordWrap/>
              <w:overflowPunct/>
              <w:topLinePunct w:val="0"/>
              <w:autoSpaceDE/>
              <w:autoSpaceDN/>
              <w:bidi w:val="0"/>
              <w:adjustRightInd/>
              <w:snapToGrid w:val="0"/>
              <w:ind w:firstLine="400" w:firstLineChars="20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Methotrexate </w:t>
            </w:r>
          </w:p>
          <w:p>
            <w:pPr>
              <w:keepNext w:val="0"/>
              <w:keepLines w:val="0"/>
              <w:pageBreakBefore w:val="0"/>
              <w:widowControl/>
              <w:suppressLineNumbers w:val="0"/>
              <w:kinsoku/>
              <w:wordWrap/>
              <w:overflowPunct/>
              <w:topLinePunct w:val="0"/>
              <w:autoSpaceDE/>
              <w:autoSpaceDN/>
              <w:bidi w:val="0"/>
              <w:adjustRightInd/>
              <w:snapToGrid w:val="0"/>
              <w:ind w:firstLine="400" w:firstLineChars="200"/>
              <w:jc w:val="left"/>
              <w:textAlignment w:val="auto"/>
              <w:rPr>
                <w:rFonts w:hint="default" w:ascii="Times New Roman" w:hAnsi="Times New Roman" w:cs="Times New Roman"/>
                <w:b/>
                <w:sz w:val="20"/>
                <w:szCs w:val="20"/>
                <w:vertAlign w:val="baseline"/>
              </w:rPr>
            </w:pPr>
            <w:bookmarkStart w:id="2" w:name="OLE_LINK4"/>
            <w:r>
              <w:rPr>
                <w:rFonts w:hint="default" w:ascii="Times New Roman" w:hAnsi="Times New Roman" w:eastAsia="宋体" w:cs="Times New Roman"/>
                <w:color w:val="000000"/>
                <w:kern w:val="0"/>
                <w:sz w:val="20"/>
                <w:szCs w:val="20"/>
                <w:lang w:val="en-US" w:eastAsia="zh-CN" w:bidi="ar"/>
              </w:rPr>
              <w:t>Thalidomide</w:t>
            </w:r>
            <w:bookmarkEnd w:id="2"/>
            <w:r>
              <w:rPr>
                <w:rFonts w:hint="default" w:ascii="Times New Roman" w:hAnsi="Times New Roman" w:eastAsia="宋体" w:cs="Times New Roman"/>
                <w:color w:val="000000"/>
                <w:kern w:val="0"/>
                <w:sz w:val="20"/>
                <w:szCs w:val="20"/>
                <w:lang w:val="en-US" w:eastAsia="zh-CN" w:bidi="ar"/>
              </w:rPr>
              <w:t xml:space="preserve"> </w:t>
            </w:r>
          </w:p>
        </w:tc>
        <w:tc>
          <w:tcPr>
            <w:tcW w:w="3453" w:type="dxa"/>
          </w:tcPr>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7.1</w:t>
            </w:r>
            <w:r>
              <w:rPr>
                <w:rFonts w:hint="default" w:ascii="Times New Roman" w:hAnsi="Times New Roman" w:eastAsia="宋体" w:cs="Times New Roman"/>
                <w:color w:val="000000"/>
                <w:kern w:val="0"/>
                <w:sz w:val="20"/>
                <w:szCs w:val="20"/>
                <w:lang w:val="en-US" w:eastAsia="zh-CN" w:bidi="ar"/>
              </w:rPr>
              <w:t xml:space="preserve"> (</w:t>
            </w:r>
            <w:r>
              <w:rPr>
                <w:rFonts w:hint="default" w:ascii="Times New Roman" w:hAnsi="Times New Roman" w:cs="Times New Roman"/>
                <w:color w:val="000000"/>
                <w:kern w:val="0"/>
                <w:sz w:val="20"/>
                <w:szCs w:val="20"/>
                <w:lang w:val="en-US" w:eastAsia="zh-CN" w:bidi="ar"/>
              </w:rPr>
              <w:t>2</w:t>
            </w:r>
            <w:r>
              <w:rPr>
                <w:rFonts w:hint="default" w:ascii="Times New Roman" w:hAnsi="Times New Roman" w:eastAsia="宋体" w:cs="Times New Roman"/>
                <w:color w:val="000000"/>
                <w:kern w:val="0"/>
                <w:sz w:val="20"/>
                <w:szCs w:val="20"/>
                <w:lang w:val="en-US" w:eastAsia="zh-CN" w:bidi="ar"/>
              </w:rPr>
              <w:t>-</w:t>
            </w:r>
            <w:r>
              <w:rPr>
                <w:rFonts w:hint="default" w:ascii="Times New Roman" w:hAnsi="Times New Roman" w:cs="Times New Roman"/>
                <w:color w:val="000000"/>
                <w:kern w:val="0"/>
                <w:sz w:val="20"/>
                <w:szCs w:val="20"/>
                <w:lang w:val="en-US" w:eastAsia="zh-CN" w:bidi="ar"/>
              </w:rPr>
              <w:t>13</w:t>
            </w:r>
            <w:r>
              <w:rPr>
                <w:rFonts w:hint="default" w:ascii="Times New Roman" w:hAnsi="Times New Roman" w:eastAsia="宋体" w:cs="Times New Roman"/>
                <w:color w:val="000000"/>
                <w:kern w:val="0"/>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eastAsia="宋体"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8(66.7%)</w:t>
            </w:r>
            <w:r>
              <w:rPr>
                <w:rFonts w:hint="default" w:ascii="Times New Roman" w:hAnsi="Times New Roman" w:eastAsia="宋体" w:cs="Times New Roman"/>
                <w:color w:val="000000"/>
                <w:kern w:val="0"/>
                <w:sz w:val="20"/>
                <w:szCs w:val="20"/>
                <w:lang w:val="en-US" w:eastAsia="zh-CN" w:bidi="ar"/>
              </w:rPr>
              <w:t>/</w:t>
            </w:r>
            <w:r>
              <w:rPr>
                <w:rFonts w:hint="default" w:ascii="Times New Roman" w:hAnsi="Times New Roman" w:cs="Times New Roman"/>
                <w:color w:val="000000"/>
                <w:kern w:val="0"/>
                <w:sz w:val="20"/>
                <w:szCs w:val="20"/>
                <w:lang w:val="en-US" w:eastAsia="zh-CN" w:bidi="ar"/>
              </w:rPr>
              <w:t>4(33.3%)</w:t>
            </w:r>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val="en-US" w:eastAsia="zh-CN" w:bidi="ar"/>
              </w:rPr>
              <w:t>18.3</w:t>
            </w:r>
            <w:r>
              <w:rPr>
                <w:rFonts w:hint="default" w:ascii="Times New Roman" w:hAnsi="Times New Roman" w:eastAsia="宋体" w:cs="Times New Roman"/>
                <w:color w:val="000000"/>
                <w:kern w:val="0"/>
                <w:sz w:val="20"/>
                <w:szCs w:val="20"/>
                <w:lang w:val="en-US" w:eastAsia="zh-CN" w:bidi="ar"/>
              </w:rPr>
              <w:t xml:space="preserve"> (</w:t>
            </w:r>
            <w:r>
              <w:rPr>
                <w:rFonts w:hint="default" w:ascii="Times New Roman" w:hAnsi="Times New Roman" w:cs="Times New Roman"/>
                <w:color w:val="000000"/>
                <w:kern w:val="0"/>
                <w:sz w:val="20"/>
                <w:szCs w:val="20"/>
                <w:lang w:val="en-US" w:eastAsia="zh-CN" w:bidi="ar"/>
              </w:rPr>
              <w:t>13</w:t>
            </w:r>
            <w:r>
              <w:rPr>
                <w:rFonts w:hint="default" w:ascii="Times New Roman" w:hAnsi="Times New Roman" w:eastAsia="宋体" w:cs="Times New Roman"/>
                <w:color w:val="000000"/>
                <w:kern w:val="0"/>
                <w:sz w:val="20"/>
                <w:szCs w:val="20"/>
                <w:lang w:val="en-US" w:eastAsia="zh-CN" w:bidi="ar"/>
              </w:rPr>
              <w:t>-</w:t>
            </w:r>
            <w:r>
              <w:rPr>
                <w:rFonts w:hint="default" w:ascii="Times New Roman" w:hAnsi="Times New Roman" w:cs="Times New Roman"/>
                <w:color w:val="000000"/>
                <w:kern w:val="0"/>
                <w:sz w:val="20"/>
                <w:szCs w:val="20"/>
                <w:lang w:val="en-US" w:eastAsia="zh-CN" w:bidi="ar"/>
              </w:rPr>
              <w:t>40</w:t>
            </w:r>
            <w:r>
              <w:rPr>
                <w:rFonts w:hint="default" w:ascii="Times New Roman" w:hAnsi="Times New Roman" w:eastAsia="宋体" w:cs="Times New Roman"/>
                <w:color w:val="000000"/>
                <w:kern w:val="0"/>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1</w:t>
            </w:r>
            <w:r>
              <w:rPr>
                <w:rFonts w:hint="default" w:ascii="Times New Roman" w:hAnsi="Times New Roman"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val="en-US" w:eastAsia="zh-CN" w:bidi="ar"/>
              </w:rPr>
              <w:t>1 (</w:t>
            </w:r>
            <w:r>
              <w:rPr>
                <w:rFonts w:hint="default" w:ascii="Times New Roman" w:hAnsi="Times New Roman" w:cs="Times New Roman"/>
                <w:color w:val="000000"/>
                <w:kern w:val="0"/>
                <w:sz w:val="20"/>
                <w:szCs w:val="20"/>
                <w:lang w:val="en-US" w:eastAsia="zh-CN" w:bidi="ar"/>
              </w:rPr>
              <w:t>92</w:t>
            </w:r>
            <w:r>
              <w:rPr>
                <w:rFonts w:hint="default" w:ascii="Times New Roman" w:hAnsi="Times New Roman" w:eastAsia="宋体" w:cs="Times New Roman"/>
                <w:color w:val="000000"/>
                <w:kern w:val="0"/>
                <w:sz w:val="20"/>
                <w:szCs w:val="20"/>
                <w:lang w:val="en-US" w:eastAsia="zh-CN" w:bidi="ar"/>
              </w:rPr>
              <w:t>-1</w:t>
            </w:r>
            <w:r>
              <w:rPr>
                <w:rFonts w:hint="default" w:ascii="Times New Roman" w:hAnsi="Times New Roman" w:cs="Times New Roman"/>
                <w:color w:val="000000"/>
                <w:kern w:val="0"/>
                <w:sz w:val="20"/>
                <w:szCs w:val="20"/>
                <w:lang w:val="en-US" w:eastAsia="zh-CN" w:bidi="ar"/>
              </w:rPr>
              <w:t>5</w:t>
            </w:r>
            <w:r>
              <w:rPr>
                <w:rFonts w:hint="default" w:ascii="Times New Roman" w:hAnsi="Times New Roman" w:eastAsia="宋体" w:cs="Times New Roman"/>
                <w:color w:val="000000"/>
                <w:kern w:val="0"/>
                <w:sz w:val="20"/>
                <w:szCs w:val="20"/>
                <w:lang w:val="en-US" w:eastAsia="zh-CN" w:bidi="ar"/>
              </w:rPr>
              <w:t xml:space="preserve">5)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val="en-US" w:eastAsia="zh-CN" w:bidi="ar"/>
              </w:rPr>
              <w:t>5</w:t>
            </w:r>
            <w:r>
              <w:rPr>
                <w:rFonts w:hint="default" w:ascii="Times New Roman" w:hAnsi="Times New Roman" w:eastAsia="宋体" w:cs="Times New Roman"/>
                <w:color w:val="000000"/>
                <w:kern w:val="0"/>
                <w:sz w:val="20"/>
                <w:szCs w:val="20"/>
                <w:lang w:val="en-US" w:eastAsia="zh-CN" w:bidi="ar"/>
              </w:rPr>
              <w:t>.</w:t>
            </w:r>
            <w:r>
              <w:rPr>
                <w:rFonts w:hint="default" w:ascii="Times New Roman" w:hAnsi="Times New Roman" w:cs="Times New Roman"/>
                <w:color w:val="000000"/>
                <w:kern w:val="0"/>
                <w:sz w:val="20"/>
                <w:szCs w:val="20"/>
                <w:lang w:val="en-US" w:eastAsia="zh-CN" w:bidi="ar"/>
              </w:rPr>
              <w:t>6</w:t>
            </w:r>
            <w:r>
              <w:rPr>
                <w:rFonts w:hint="default" w:ascii="Times New Roman" w:hAnsi="Times New Roman" w:eastAsia="宋体" w:cs="Times New Roman"/>
                <w:color w:val="000000"/>
                <w:kern w:val="0"/>
                <w:sz w:val="20"/>
                <w:szCs w:val="20"/>
                <w:lang w:val="en-US" w:eastAsia="zh-CN" w:bidi="ar"/>
              </w:rPr>
              <w:t xml:space="preserve"> (1-</w:t>
            </w:r>
            <w:r>
              <w:rPr>
                <w:rFonts w:hint="default" w:ascii="Times New Roman" w:hAnsi="Times New Roman" w:cs="Times New Roman"/>
                <w:color w:val="000000"/>
                <w:kern w:val="0"/>
                <w:sz w:val="20"/>
                <w:szCs w:val="20"/>
                <w:lang w:val="en-US" w:eastAsia="zh-CN" w:bidi="ar"/>
              </w:rPr>
              <w:t>22</w:t>
            </w:r>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7</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5</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1</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color w:val="000000"/>
                <w:kern w:val="0"/>
                <w:sz w:val="20"/>
                <w:szCs w:val="20"/>
                <w:lang w:val="en-US" w:eastAsia="zh-CN" w:bidi="ar"/>
              </w:rPr>
            </w:pPr>
            <w:r>
              <w:rPr>
                <w:rFonts w:hint="default" w:ascii="Times New Roman" w:hAnsi="Times New Roman" w:cs="Times New Roman"/>
                <w:color w:val="000000"/>
                <w:kern w:val="0"/>
                <w:sz w:val="20"/>
                <w:szCs w:val="20"/>
                <w:lang w:val="en-US" w:eastAsia="zh-CN" w:bidi="ar"/>
              </w:rPr>
              <w:t>1</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color w:val="000000"/>
                <w:kern w:val="0"/>
                <w:sz w:val="20"/>
                <w:szCs w:val="20"/>
                <w:lang w:val="en-US" w:eastAsia="zh-CN" w:bidi="ar"/>
              </w:rPr>
            </w:pP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val="en-US" w:eastAsia="zh-CN" w:bidi="ar"/>
              </w:rPr>
              <w:t>3</w:t>
            </w:r>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val="en-US" w:eastAsia="zh-CN" w:bidi="ar"/>
              </w:rPr>
              <w:t>5</w:t>
            </w:r>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val="en-US" w:eastAsia="zh-CN" w:bidi="ar"/>
              </w:rPr>
              <w:t>0</w:t>
            </w:r>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eastAsia="宋体" w:cs="Times New Roman"/>
                <w:color w:val="000000"/>
                <w:kern w:val="0"/>
                <w:sz w:val="20"/>
                <w:szCs w:val="20"/>
                <w:lang w:val="en-US" w:eastAsia="zh-CN" w:bidi="ar"/>
              </w:rPr>
              <w:t xml:space="preserve">0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color w:val="000000"/>
                <w:kern w:val="0"/>
                <w:sz w:val="20"/>
                <w:szCs w:val="20"/>
                <w:lang w:val="en-US" w:eastAsia="zh-CN" w:bidi="ar"/>
              </w:rPr>
              <w:t>1</w:t>
            </w:r>
            <w:r>
              <w:rPr>
                <w:rFonts w:hint="default" w:ascii="Times New Roman" w:hAnsi="Times New Roman" w:eastAsia="宋体" w:cs="Times New Roman"/>
                <w:color w:val="000000"/>
                <w:kern w:val="0"/>
                <w:sz w:val="20"/>
                <w:szCs w:val="2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val="0"/>
              <w:jc w:val="left"/>
              <w:textAlignment w:val="auto"/>
              <w:rPr>
                <w:rFonts w:hint="default" w:ascii="Times New Roman" w:hAnsi="Times New Roman" w:cs="Times New Roman"/>
                <w:b/>
                <w:sz w:val="20"/>
                <w:szCs w:val="20"/>
                <w:vertAlign w:val="baseline"/>
              </w:rPr>
            </w:pPr>
            <w:r>
              <w:rPr>
                <w:rFonts w:hint="default" w:ascii="Times New Roman" w:hAnsi="Times New Roman" w:cs="Times New Roman"/>
                <w:color w:val="000000"/>
                <w:kern w:val="0"/>
                <w:sz w:val="20"/>
                <w:szCs w:val="20"/>
                <w:lang w:val="en-US" w:eastAsia="zh-CN" w:bidi="ar"/>
              </w:rPr>
              <w:t>1</w:t>
            </w:r>
          </w:p>
        </w:tc>
      </w:tr>
    </w:tbl>
    <w:p>
      <w:pPr>
        <w:shd w:val="clear" w:color="auto" w:fill="FFFFFF"/>
        <w:rPr>
          <w:rFonts w:hint="default" w:ascii="Times New Roman" w:hAnsi="Times New Roman" w:cs="Times New Roman"/>
          <w:b/>
          <w:sz w:val="24"/>
        </w:rPr>
      </w:pPr>
    </w:p>
    <w:p>
      <w:pPr>
        <w:shd w:val="clear" w:color="auto" w:fill="FFFFFF"/>
        <w:rPr>
          <w:rFonts w:hint="default" w:ascii="Times New Roman" w:hAnsi="Times New Roman" w:cs="Times New Roman"/>
          <w:b/>
          <w:sz w:val="24"/>
        </w:rPr>
      </w:pPr>
    </w:p>
    <w:p>
      <w:pPr>
        <w:shd w:val="clear" w:color="auto" w:fill="FFFFFF"/>
        <w:rPr>
          <w:rFonts w:hint="default" w:ascii="Times New Roman" w:hAnsi="Times New Roman" w:cs="Times New Roman"/>
          <w:b/>
          <w:sz w:val="24"/>
        </w:rPr>
      </w:pPr>
    </w:p>
    <w:p>
      <w:pPr>
        <w:shd w:val="clear" w:color="auto" w:fill="FFFFFF"/>
        <w:rPr>
          <w:rFonts w:hint="default" w:ascii="Times New Roman" w:hAnsi="Times New Roman" w:cs="Times New Roman"/>
          <w:b/>
          <w:sz w:val="24"/>
        </w:rPr>
      </w:pPr>
    </w:p>
    <w:p>
      <w:pPr>
        <w:rPr>
          <w:rFonts w:hint="default" w:ascii="Times New Roman" w:hAnsi="Times New Roman" w:cs="Times New Roman"/>
          <w:b/>
          <w:sz w:val="24"/>
        </w:rPr>
      </w:pPr>
      <w:r>
        <w:rPr>
          <w:rFonts w:hint="default" w:ascii="Times New Roman" w:hAnsi="Times New Roman" w:cs="Times New Roman"/>
          <w:b/>
          <w:sz w:val="24"/>
        </w:rPr>
        <w:br w:type="page"/>
      </w:r>
    </w:p>
    <w:p>
      <w:pPr>
        <w:shd w:val="clear" w:color="auto" w:fill="FFFFFF"/>
        <w:rPr>
          <w:rFonts w:hint="default" w:ascii="Times New Roman" w:hAnsi="Times New Roman" w:eastAsia="宋体" w:cs="Times New Roman"/>
          <w:b/>
          <w:sz w:val="24"/>
          <w:lang w:val="en-US" w:eastAsia="zh-CN"/>
        </w:rPr>
      </w:pPr>
      <w:r>
        <w:rPr>
          <w:rFonts w:hint="default" w:ascii="Times New Roman" w:hAnsi="Times New Roman" w:cs="Times New Roman"/>
          <w:b/>
          <w:sz w:val="24"/>
        </w:rPr>
        <w:t xml:space="preserve">Supplementary Table </w:t>
      </w:r>
      <w:r>
        <w:rPr>
          <w:rFonts w:hint="eastAsia" w:ascii="Times New Roman" w:hAnsi="Times New Roman" w:cs="Times New Roman"/>
          <w:b/>
          <w:sz w:val="24"/>
          <w:lang w:val="en-US" w:eastAsia="zh-CN"/>
        </w:rPr>
        <w:t>2</w:t>
      </w:r>
      <w:r>
        <w:rPr>
          <w:rFonts w:hint="default" w:ascii="Times New Roman" w:hAnsi="Times New Roman" w:cs="Times New Roman"/>
          <w:b/>
          <w:sz w:val="24"/>
        </w:rPr>
        <w:t xml:space="preserve">. Clinical characteristics of </w:t>
      </w:r>
      <w:r>
        <w:rPr>
          <w:rFonts w:hint="default" w:ascii="Times New Roman" w:hAnsi="Times New Roman" w:cs="Times New Roman"/>
          <w:b/>
          <w:sz w:val="24"/>
          <w:lang w:val="en-US" w:eastAsia="zh-CN"/>
        </w:rPr>
        <w:t xml:space="preserve">JDM </w:t>
      </w:r>
      <w:r>
        <w:rPr>
          <w:rFonts w:hint="default" w:ascii="Times New Roman" w:hAnsi="Times New Roman" w:cs="Times New Roman"/>
          <w:b/>
          <w:sz w:val="24"/>
        </w:rPr>
        <w:t>patients before and after treatment</w:t>
      </w:r>
      <w:r>
        <w:rPr>
          <w:rFonts w:hint="default" w:ascii="Times New Roman" w:hAnsi="Times New Roman" w:cs="Times New Roman"/>
          <w:b/>
          <w:sz w:val="24"/>
          <w:lang w:val="en-US" w:eastAsia="zh-CN"/>
        </w:rPr>
        <w:t>(n=12)</w:t>
      </w:r>
    </w:p>
    <w:tbl>
      <w:tblPr>
        <w:tblStyle w:val="11"/>
        <w:tblW w:w="8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709"/>
        <w:gridCol w:w="1875"/>
        <w:gridCol w:w="814"/>
        <w:gridCol w:w="879"/>
        <w:gridCol w:w="1168"/>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Merge w:val="restart"/>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Patient</w:t>
            </w:r>
          </w:p>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No.</w:t>
            </w:r>
          </w:p>
        </w:tc>
        <w:tc>
          <w:tcPr>
            <w:tcW w:w="3584"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cutaneous findings</w:t>
            </w:r>
          </w:p>
        </w:tc>
        <w:tc>
          <w:tcPr>
            <w:tcW w:w="2861"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CMAS score</w:t>
            </w:r>
          </w:p>
        </w:tc>
        <w:tc>
          <w:tcPr>
            <w:tcW w:w="1263" w:type="dxa"/>
            <w:vMerge w:val="restart"/>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myositis</w:t>
            </w:r>
            <w:r>
              <w:rPr>
                <w:rFonts w:hint="default" w:ascii="Times New Roman" w:hAnsi="Times New Roman" w:cs="Times New Roman"/>
                <w:sz w:val="20"/>
                <w:szCs w:val="20"/>
              </w:rPr>
              <w:noBreakHyphen/>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specific </w:t>
            </w:r>
            <w:r>
              <w:rPr>
                <w:rFonts w:hint="default" w:ascii="Times New Roman" w:hAnsi="Times New Roman" w:cs="Times New Roman"/>
                <w:sz w:val="20"/>
                <w:szCs w:val="20"/>
                <w:lang w:val="en-US" w:eastAsia="zh-CN"/>
              </w:rPr>
              <w:t>auto</w:t>
            </w:r>
            <w:r>
              <w:rPr>
                <w:rFonts w:hint="default" w:ascii="Times New Roman" w:hAnsi="Times New Roman" w:cs="Times New Roman"/>
                <w:sz w:val="20"/>
                <w:szCs w:val="20"/>
              </w:rPr>
              <w:t>antibodies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cs="Times New Roman"/>
                <w:sz w:val="20"/>
                <w:szCs w:val="20"/>
              </w:rPr>
            </w:pP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Before treatment</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After 30months treatment</w:t>
            </w:r>
          </w:p>
        </w:tc>
        <w:tc>
          <w:tcPr>
            <w:tcW w:w="814"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Before treatment</w:t>
            </w:r>
          </w:p>
        </w:tc>
        <w:tc>
          <w:tcPr>
            <w:tcW w:w="87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After 30months treatment</w:t>
            </w:r>
          </w:p>
        </w:tc>
        <w:tc>
          <w:tcPr>
            <w:tcW w:w="1168"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Improvement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(delta CMAS)</w:t>
            </w:r>
          </w:p>
        </w:tc>
        <w:tc>
          <w:tcPr>
            <w:tcW w:w="1263"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Gottron papule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bookmarkStart w:id="3" w:name="OLE_LINK3"/>
            <w:r>
              <w:rPr>
                <w:rFonts w:hint="default" w:ascii="Times New Roman" w:hAnsi="Times New Roman" w:cs="Times New Roman"/>
                <w:sz w:val="20"/>
                <w:szCs w:val="20"/>
              </w:rPr>
              <w:t>erythroderma</w:t>
            </w:r>
            <w:bookmarkEnd w:id="3"/>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37</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49</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12</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undetected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35</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48</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13</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undetected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40</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48</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8</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undetected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39</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51</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12</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undetected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5</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30</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48</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18</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 xml:space="preserve">anti- NXP2 </w:t>
            </w:r>
            <w:r>
              <w:rPr>
                <w:rFonts w:hint="default" w:ascii="Times New Roman" w:hAnsi="Times New Roman" w:cs="Times New Roman"/>
                <w:sz w:val="20"/>
                <w:szCs w:val="20"/>
              </w:rPr>
              <w:t>antibody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6</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40</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51</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11</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34</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52</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18</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undetected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8</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39</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52</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13</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anti-Jo-1</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antibody</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r>
              <w:rPr>
                <w:rFonts w:hint="default" w:ascii="Times New Roman" w:hAnsi="Times New Roman" w:cs="Times New Roman"/>
                <w:sz w:val="20"/>
                <w:szCs w:val="2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9</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35</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51</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16</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10</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30</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51</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21</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undetected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11</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34</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52</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18</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undetected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12</w:t>
            </w:r>
          </w:p>
        </w:tc>
        <w:tc>
          <w:tcPr>
            <w:tcW w:w="1709"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calcinosis (-)</w:t>
            </w:r>
          </w:p>
        </w:tc>
        <w:tc>
          <w:tcPr>
            <w:tcW w:w="1875"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heliotrope rash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Gottron papule (-)</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erythroderma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kern w:val="2"/>
                <w:sz w:val="20"/>
                <w:szCs w:val="20"/>
                <w:lang w:val="en-US" w:eastAsia="zh-CN" w:bidi="ar-SA"/>
              </w:rPr>
            </w:pPr>
            <w:r>
              <w:rPr>
                <w:rFonts w:hint="default" w:ascii="Times New Roman" w:hAnsi="Times New Roman" w:cs="Times New Roman"/>
                <w:sz w:val="20"/>
                <w:szCs w:val="20"/>
              </w:rPr>
              <w:t>calcinosis (-)</w:t>
            </w:r>
          </w:p>
        </w:tc>
        <w:tc>
          <w:tcPr>
            <w:tcW w:w="814"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28</w:t>
            </w:r>
          </w:p>
        </w:tc>
        <w:tc>
          <w:tcPr>
            <w:tcW w:w="879"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49</w:t>
            </w:r>
          </w:p>
        </w:tc>
        <w:tc>
          <w:tcPr>
            <w:tcW w:w="116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21</w:t>
            </w:r>
          </w:p>
        </w:tc>
        <w:tc>
          <w:tcPr>
            <w:tcW w:w="1263"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w:t>
            </w:r>
          </w:p>
        </w:tc>
      </w:tr>
    </w:tbl>
    <w:p>
      <w:pPr>
        <w:shd w:val="clear" w:color="auto" w:fill="FFFFFF"/>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br w:type="page"/>
      </w:r>
    </w:p>
    <w:p>
      <w:pPr>
        <w:rPr>
          <w:rFonts w:hint="default" w:ascii="Times New Roman" w:hAnsi="Times New Roman" w:cs="Times New Roman"/>
          <w:b/>
          <w:sz w:val="24"/>
        </w:rPr>
      </w:pPr>
      <w:r>
        <w:rPr>
          <w:rFonts w:hint="default" w:ascii="Times New Roman" w:hAnsi="Times New Roman" w:cs="Times New Roman"/>
          <w:b/>
          <w:sz w:val="24"/>
        </w:rPr>
        <w:t xml:space="preserve">Supplementary Table </w:t>
      </w:r>
      <w:r>
        <w:rPr>
          <w:rFonts w:hint="eastAsia" w:ascii="Times New Roman" w:hAnsi="Times New Roman" w:cs="Times New Roman"/>
          <w:b/>
          <w:sz w:val="24"/>
          <w:lang w:val="en-US" w:eastAsia="zh-CN"/>
        </w:rPr>
        <w:t>3</w:t>
      </w:r>
      <w:r>
        <w:rPr>
          <w:rFonts w:hint="default" w:ascii="Times New Roman" w:hAnsi="Times New Roman" w:cs="Times New Roman"/>
          <w:b/>
          <w:sz w:val="24"/>
        </w:rPr>
        <w:t>. The efficacy indexes of JDM patients before and after treatment（n=12）</w:t>
      </w:r>
    </w:p>
    <w:tbl>
      <w:tblPr>
        <w:tblStyle w:val="1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430"/>
        <w:gridCol w:w="1183"/>
        <w:gridCol w:w="1061"/>
        <w:gridCol w:w="1500"/>
        <w:gridCol w:w="1134"/>
        <w:gridCol w:w="141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tcMar>
              <w:top w:w="0" w:type="dxa"/>
              <w:left w:w="57" w:type="dxa"/>
              <w:bottom w:w="0" w:type="dxa"/>
              <w:right w:w="57" w:type="dxa"/>
            </w:tcMar>
            <w:vAlign w:val="top"/>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Treatment stage</w:t>
            </w:r>
          </w:p>
        </w:tc>
        <w:tc>
          <w:tcPr>
            <w:tcW w:w="1613" w:type="dxa"/>
            <w:gridSpan w:val="2"/>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CMAS score</w:t>
            </w:r>
          </w:p>
        </w:tc>
        <w:tc>
          <w:tcPr>
            <w:tcW w:w="1061"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ESR</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(mm.h</w:t>
            </w:r>
            <w:r>
              <w:rPr>
                <w:rFonts w:hint="default" w:ascii="Times New Roman" w:hAnsi="Times New Roman" w:cs="Times New Roman"/>
                <w:b/>
                <w:sz w:val="20"/>
                <w:szCs w:val="20"/>
                <w:vertAlign w:val="superscript"/>
              </w:rPr>
              <w:t>-1</w:t>
            </w:r>
            <w:r>
              <w:rPr>
                <w:rFonts w:hint="default" w:ascii="Times New Roman" w:hAnsi="Times New Roman" w:cs="Times New Roman"/>
                <w:b/>
                <w:sz w:val="20"/>
                <w:szCs w:val="20"/>
              </w:rPr>
              <w:t>)</w:t>
            </w:r>
          </w:p>
        </w:tc>
        <w:tc>
          <w:tcPr>
            <w:tcW w:w="1500"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CK</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(U/L)</w:t>
            </w:r>
          </w:p>
        </w:tc>
        <w:tc>
          <w:tcPr>
            <w:tcW w:w="1134"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CKMB</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(U/L)</w:t>
            </w:r>
          </w:p>
        </w:tc>
        <w:tc>
          <w:tcPr>
            <w:tcW w:w="1417"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LDH</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(U/L)</w:t>
            </w:r>
          </w:p>
        </w:tc>
        <w:tc>
          <w:tcPr>
            <w:tcW w:w="1134"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AST</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(U/L)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Before treatment</w:t>
            </w:r>
          </w:p>
        </w:tc>
        <w:tc>
          <w:tcPr>
            <w:tcW w:w="430" w:type="dxa"/>
            <w:vAlign w:val="center"/>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0"/>
                <w:szCs w:val="20"/>
              </w:rPr>
            </w:pPr>
            <w:r>
              <w:rPr>
                <w:rFonts w:hint="default" w:ascii="Times New Roman" w:hAnsi="Times New Roman" w:cs="Times New Roman"/>
                <w:b/>
                <w:sz w:val="20"/>
                <w:szCs w:val="20"/>
              </w:rPr>
              <w:t>0</w:t>
            </w:r>
          </w:p>
        </w:tc>
        <w:tc>
          <w:tcPr>
            <w:tcW w:w="1183"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c>
          <w:tcPr>
            <w:tcW w:w="1061"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27.8(4-69)</w:t>
            </w:r>
          </w:p>
        </w:tc>
        <w:tc>
          <w:tcPr>
            <w:tcW w:w="1500"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1092.1(229-4223)</w:t>
            </w:r>
          </w:p>
        </w:tc>
        <w:tc>
          <w:tcPr>
            <w:tcW w:w="1134"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c>
          <w:tcPr>
            <w:tcW w:w="1417"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c>
          <w:tcPr>
            <w:tcW w:w="1134" w:type="dxa"/>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vMerge w:val="restart"/>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After treatment</w:t>
            </w:r>
          </w:p>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eastAsia="宋体" w:cs="Times New Roman"/>
                <w:b/>
                <w:sz w:val="20"/>
                <w:szCs w:val="20"/>
                <w:lang w:eastAsia="zh-CN"/>
              </w:rPr>
            </w:pPr>
            <w:r>
              <w:rPr>
                <w:rFonts w:hint="default" w:ascii="Times New Roman" w:hAnsi="Times New Roman" w:cs="Times New Roman"/>
                <w:b/>
                <w:sz w:val="20"/>
                <w:szCs w:val="20"/>
                <w:lang w:val="en-US" w:eastAsia="zh-CN"/>
              </w:rPr>
              <w:t>(</w:t>
            </w:r>
            <w:r>
              <w:rPr>
                <w:rFonts w:hint="default" w:ascii="Times New Roman" w:hAnsi="Times New Roman" w:cs="Times New Roman"/>
                <w:b/>
                <w:sz w:val="20"/>
                <w:szCs w:val="20"/>
              </w:rPr>
              <w:t>month</w:t>
            </w:r>
            <w:r>
              <w:rPr>
                <w:rFonts w:hint="default" w:ascii="Times New Roman" w:hAnsi="Times New Roman" w:cs="Times New Roman"/>
                <w:b/>
                <w:sz w:val="20"/>
                <w:szCs w:val="20"/>
                <w:lang w:val="en-US" w:eastAsia="zh-CN"/>
              </w:rPr>
              <w:t>)</w:t>
            </w:r>
          </w:p>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vertAlign w:val="superscript"/>
              </w:rPr>
            </w:pPr>
            <w:r>
              <w:rPr>
                <w:rFonts w:hint="default" w:ascii="Times New Roman" w:hAnsi="Times New Roman" w:cs="Times New Roman"/>
                <w:sz w:val="20"/>
                <w:szCs w:val="20"/>
              </w:rPr>
              <w:t>*</w:t>
            </w:r>
            <w:r>
              <w:rPr>
                <w:rFonts w:hint="default" w:ascii="Times New Roman" w:hAnsi="Times New Roman" w:cs="Times New Roman"/>
                <w:sz w:val="20"/>
                <w:szCs w:val="20"/>
                <w:vertAlign w:val="superscript"/>
              </w:rPr>
              <w:t>#</w:t>
            </w:r>
          </w:p>
        </w:tc>
        <w:tc>
          <w:tcPr>
            <w:tcW w:w="430" w:type="dxa"/>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1</w:t>
            </w:r>
          </w:p>
        </w:tc>
        <w:tc>
          <w:tcPr>
            <w:tcW w:w="1183"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43.7(38-47)</w:t>
            </w:r>
            <w:r>
              <w:rPr>
                <w:rFonts w:hint="default" w:ascii="Times New Roman" w:hAnsi="Times New Roman" w:cs="Times New Roman"/>
                <w:color w:val="000000" w:themeColor="text1"/>
                <w:sz w:val="20"/>
                <w:szCs w:val="20"/>
                <w14:textFill>
                  <w14:solidFill>
                    <w14:schemeClr w14:val="tx1"/>
                  </w14:solidFill>
                </w14:textFill>
              </w:rPr>
              <w:t>*</w:t>
            </w:r>
          </w:p>
        </w:tc>
        <w:tc>
          <w:tcPr>
            <w:tcW w:w="1061"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21.8(5-48)</w:t>
            </w:r>
            <w:r>
              <w:rPr>
                <w:rFonts w:hint="default" w:ascii="Times New Roman" w:hAnsi="Times New Roman" w:cs="Times New Roman"/>
                <w:color w:val="000000" w:themeColor="text1"/>
                <w:sz w:val="20"/>
                <w:szCs w:val="20"/>
                <w14:textFill>
                  <w14:solidFill>
                    <w14:schemeClr w14:val="tx1"/>
                  </w14:solidFill>
                </w14:textFill>
              </w:rPr>
              <w:t>#</w:t>
            </w:r>
          </w:p>
        </w:tc>
        <w:tc>
          <w:tcPr>
            <w:tcW w:w="1500"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583.7(157-1983)</w:t>
            </w:r>
            <w:r>
              <w:rPr>
                <w:rFonts w:hint="default" w:ascii="Times New Roman" w:hAnsi="Times New Roman" w:cs="Times New Roman"/>
                <w:color w:val="000000" w:themeColor="text1"/>
                <w:sz w:val="20"/>
                <w:szCs w:val="20"/>
                <w14:textFill>
                  <w14:solidFill>
                    <w14:schemeClr w14:val="tx1"/>
                  </w14:solidFill>
                </w14:textFill>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cs="Times New Roman"/>
                <w:color w:val="000000" w:themeColor="text1"/>
                <w:sz w:val="20"/>
                <w:szCs w:val="20"/>
                <w14:textFill>
                  <w14:solidFill>
                    <w14:schemeClr w14:val="tx1"/>
                  </w14:solidFill>
                </w14:textFill>
              </w:rPr>
              <w:t>*</w:t>
            </w:r>
          </w:p>
        </w:tc>
        <w:tc>
          <w:tcPr>
            <w:tcW w:w="1417"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vMerge w:val="continue"/>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p>
        </w:tc>
        <w:tc>
          <w:tcPr>
            <w:tcW w:w="430" w:type="dxa"/>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3</w:t>
            </w:r>
          </w:p>
        </w:tc>
        <w:tc>
          <w:tcPr>
            <w:tcW w:w="1183"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46.2(42-50)</w:t>
            </w:r>
            <w:r>
              <w:rPr>
                <w:rFonts w:hint="default" w:ascii="Times New Roman" w:hAnsi="Times New Roman" w:cs="Times New Roman"/>
                <w:color w:val="000000" w:themeColor="text1"/>
                <w:sz w:val="20"/>
                <w:szCs w:val="20"/>
                <w14:textFill>
                  <w14:solidFill>
                    <w14:schemeClr w14:val="tx1"/>
                  </w14:solidFill>
                </w14:textFill>
              </w:rPr>
              <w:t>*</w:t>
            </w:r>
          </w:p>
        </w:tc>
        <w:tc>
          <w:tcPr>
            <w:tcW w:w="1061"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13.7(3-24)</w:t>
            </w:r>
            <w:r>
              <w:rPr>
                <w:rFonts w:hint="default" w:ascii="Times New Roman" w:hAnsi="Times New Roman" w:cs="Times New Roman"/>
                <w:color w:val="000000" w:themeColor="text1"/>
                <w:sz w:val="20"/>
                <w:szCs w:val="20"/>
                <w14:textFill>
                  <w14:solidFill>
                    <w14:schemeClr w14:val="tx1"/>
                  </w14:solidFill>
                </w14:textFill>
              </w:rPr>
              <w:t>*</w:t>
            </w:r>
          </w:p>
        </w:tc>
        <w:tc>
          <w:tcPr>
            <w:tcW w:w="1500"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209(116-302)</w:t>
            </w:r>
            <w:r>
              <w:rPr>
                <w:rFonts w:hint="default" w:ascii="Times New Roman" w:hAnsi="Times New Roman" w:cs="Times New Roman"/>
                <w:color w:val="000000" w:themeColor="text1"/>
                <w:sz w:val="20"/>
                <w:szCs w:val="20"/>
                <w14:textFill>
                  <w14:solidFill>
                    <w14:schemeClr w14:val="tx1"/>
                  </w14:solidFill>
                </w14:textFill>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cs="Times New Roman"/>
                <w:color w:val="000000" w:themeColor="text1"/>
                <w:sz w:val="20"/>
                <w:szCs w:val="20"/>
                <w14:textFill>
                  <w14:solidFill>
                    <w14:schemeClr w14:val="tx1"/>
                  </w14:solidFill>
                </w14:textFill>
              </w:rPr>
              <w:t>*</w:t>
            </w:r>
          </w:p>
        </w:tc>
        <w:tc>
          <w:tcPr>
            <w:tcW w:w="1417"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vMerge w:val="continue"/>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p>
        </w:tc>
        <w:tc>
          <w:tcPr>
            <w:tcW w:w="430" w:type="dxa"/>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6</w:t>
            </w:r>
          </w:p>
        </w:tc>
        <w:tc>
          <w:tcPr>
            <w:tcW w:w="1183"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48.2(46-50)</w:t>
            </w:r>
            <w:r>
              <w:rPr>
                <w:rFonts w:hint="default" w:ascii="Times New Roman" w:hAnsi="Times New Roman" w:cs="Times New Roman"/>
                <w:color w:val="000000" w:themeColor="text1"/>
                <w:sz w:val="20"/>
                <w:szCs w:val="20"/>
                <w14:textFill>
                  <w14:solidFill>
                    <w14:schemeClr w14:val="tx1"/>
                  </w14:solidFill>
                </w14:textFill>
              </w:rPr>
              <w:t>*</w:t>
            </w:r>
          </w:p>
        </w:tc>
        <w:tc>
          <w:tcPr>
            <w:tcW w:w="1061"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9.6(3-16)</w:t>
            </w:r>
            <w:r>
              <w:rPr>
                <w:rFonts w:hint="default" w:ascii="Times New Roman" w:hAnsi="Times New Roman" w:cs="Times New Roman"/>
                <w:color w:val="000000" w:themeColor="text1"/>
                <w:sz w:val="20"/>
                <w:szCs w:val="20"/>
                <w14:textFill>
                  <w14:solidFill>
                    <w14:schemeClr w14:val="tx1"/>
                  </w14:solidFill>
                </w14:textFill>
              </w:rPr>
              <w:t>*</w:t>
            </w:r>
          </w:p>
        </w:tc>
        <w:tc>
          <w:tcPr>
            <w:tcW w:w="1500"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167.9(110-216)</w:t>
            </w:r>
            <w:r>
              <w:rPr>
                <w:rFonts w:hint="default" w:ascii="Times New Roman" w:hAnsi="Times New Roman" w:cs="Times New Roman"/>
                <w:color w:val="000000" w:themeColor="text1"/>
                <w:sz w:val="20"/>
                <w:szCs w:val="20"/>
                <w14:textFill>
                  <w14:solidFill>
                    <w14:schemeClr w14:val="tx1"/>
                  </w14:solidFill>
                </w14:textFill>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cs="Times New Roman"/>
                <w:color w:val="000000" w:themeColor="text1"/>
                <w:sz w:val="20"/>
                <w:szCs w:val="20"/>
                <w14:textFill>
                  <w14:solidFill>
                    <w14:schemeClr w14:val="tx1"/>
                  </w14:solidFill>
                </w14:textFill>
              </w:rPr>
              <w:t>*</w:t>
            </w:r>
          </w:p>
        </w:tc>
        <w:tc>
          <w:tcPr>
            <w:tcW w:w="1417"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vMerge w:val="continue"/>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p>
        </w:tc>
        <w:tc>
          <w:tcPr>
            <w:tcW w:w="430" w:type="dxa"/>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12</w:t>
            </w:r>
          </w:p>
        </w:tc>
        <w:tc>
          <w:tcPr>
            <w:tcW w:w="1183"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49.3(47-51)</w:t>
            </w:r>
            <w:r>
              <w:rPr>
                <w:rFonts w:hint="default" w:ascii="Times New Roman" w:hAnsi="Times New Roman" w:cs="Times New Roman"/>
                <w:color w:val="000000" w:themeColor="text1"/>
                <w:sz w:val="20"/>
                <w:szCs w:val="20"/>
                <w14:textFill>
                  <w14:solidFill>
                    <w14:schemeClr w14:val="tx1"/>
                  </w14:solidFill>
                </w14:textFill>
              </w:rPr>
              <w:t>*</w:t>
            </w:r>
          </w:p>
        </w:tc>
        <w:tc>
          <w:tcPr>
            <w:tcW w:w="1061"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6.8(2-11)</w:t>
            </w:r>
            <w:r>
              <w:rPr>
                <w:rFonts w:hint="default" w:ascii="Times New Roman" w:hAnsi="Times New Roman" w:cs="Times New Roman"/>
                <w:color w:val="000000" w:themeColor="text1"/>
                <w:sz w:val="20"/>
                <w:szCs w:val="20"/>
                <w14:textFill>
                  <w14:solidFill>
                    <w14:schemeClr w14:val="tx1"/>
                  </w14:solidFill>
                </w14:textFill>
              </w:rPr>
              <w:t>*</w:t>
            </w:r>
          </w:p>
        </w:tc>
        <w:tc>
          <w:tcPr>
            <w:tcW w:w="1500"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140.8(93-265)</w:t>
            </w:r>
            <w:r>
              <w:rPr>
                <w:rFonts w:hint="default" w:ascii="Times New Roman" w:hAnsi="Times New Roman" w:cs="Times New Roman"/>
                <w:color w:val="000000" w:themeColor="text1"/>
                <w:sz w:val="20"/>
                <w:szCs w:val="20"/>
                <w14:textFill>
                  <w14:solidFill>
                    <w14:schemeClr w14:val="tx1"/>
                  </w14:solidFill>
                </w14:textFill>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cs="Times New Roman"/>
                <w:color w:val="000000" w:themeColor="text1"/>
                <w:sz w:val="20"/>
                <w:szCs w:val="20"/>
                <w14:textFill>
                  <w14:solidFill>
                    <w14:schemeClr w14:val="tx1"/>
                  </w14:solidFill>
                </w14:textFill>
              </w:rPr>
              <w:t>*</w:t>
            </w:r>
          </w:p>
        </w:tc>
        <w:tc>
          <w:tcPr>
            <w:tcW w:w="1417"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vMerge w:val="continue"/>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p>
        </w:tc>
        <w:tc>
          <w:tcPr>
            <w:tcW w:w="430" w:type="dxa"/>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r>
              <w:rPr>
                <w:rFonts w:hint="default" w:ascii="Times New Roman" w:hAnsi="Times New Roman" w:cs="Times New Roman"/>
                <w:b/>
                <w:sz w:val="20"/>
                <w:szCs w:val="20"/>
              </w:rPr>
              <w:t>24</w:t>
            </w:r>
          </w:p>
        </w:tc>
        <w:tc>
          <w:tcPr>
            <w:tcW w:w="1183"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49.8(48-52)</w:t>
            </w:r>
            <w:r>
              <w:rPr>
                <w:rFonts w:hint="default" w:ascii="Times New Roman" w:hAnsi="Times New Roman" w:cs="Times New Roman"/>
                <w:color w:val="000000" w:themeColor="text1"/>
                <w:sz w:val="20"/>
                <w:szCs w:val="20"/>
                <w14:textFill>
                  <w14:solidFill>
                    <w14:schemeClr w14:val="tx1"/>
                  </w14:solidFill>
                </w14:textFill>
              </w:rPr>
              <w:t>*</w:t>
            </w:r>
          </w:p>
        </w:tc>
        <w:tc>
          <w:tcPr>
            <w:tcW w:w="1061"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5.8(2-10)</w:t>
            </w:r>
            <w:r>
              <w:rPr>
                <w:rFonts w:hint="default" w:ascii="Times New Roman" w:hAnsi="Times New Roman" w:cs="Times New Roman"/>
                <w:color w:val="000000" w:themeColor="text1"/>
                <w:sz w:val="20"/>
                <w:szCs w:val="20"/>
                <w14:textFill>
                  <w14:solidFill>
                    <w14:schemeClr w14:val="tx1"/>
                  </w14:solidFill>
                </w14:textFill>
              </w:rPr>
              <w:t>*</w:t>
            </w:r>
          </w:p>
        </w:tc>
        <w:tc>
          <w:tcPr>
            <w:tcW w:w="1500"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144(105-212)</w:t>
            </w:r>
            <w:r>
              <w:rPr>
                <w:rFonts w:hint="default" w:ascii="Times New Roman" w:hAnsi="Times New Roman" w:cs="Times New Roman"/>
                <w:color w:val="000000" w:themeColor="text1"/>
                <w:sz w:val="20"/>
                <w:szCs w:val="20"/>
                <w14:textFill>
                  <w14:solidFill>
                    <w14:schemeClr w14:val="tx1"/>
                  </w14:solidFill>
                </w14:textFill>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cs="Times New Roman"/>
                <w:color w:val="000000" w:themeColor="text1"/>
                <w:sz w:val="20"/>
                <w:szCs w:val="20"/>
                <w14:textFill>
                  <w14:solidFill>
                    <w14:schemeClr w14:val="tx1"/>
                  </w14:solidFill>
                </w14:textFill>
              </w:rPr>
              <w:t>*</w:t>
            </w:r>
          </w:p>
        </w:tc>
        <w:tc>
          <w:tcPr>
            <w:tcW w:w="1417"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tcPr>
          <w:p>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b/>
                <w:sz w:val="20"/>
                <w:szCs w:val="20"/>
              </w:rPr>
            </w:pPr>
          </w:p>
        </w:tc>
        <w:tc>
          <w:tcPr>
            <w:tcW w:w="430" w:type="dxa"/>
          </w:tcPr>
          <w:p>
            <w:pPr>
              <w:keepNext w:val="0"/>
              <w:keepLines w:val="0"/>
              <w:pageBreakBefore w:val="0"/>
              <w:widowControl w:val="0"/>
              <w:kinsoku/>
              <w:wordWrap/>
              <w:overflowPunct/>
              <w:topLinePunct w:val="0"/>
              <w:autoSpaceDE/>
              <w:autoSpaceDN/>
              <w:bidi w:val="0"/>
              <w:adjustRightInd/>
              <w:snapToGrid w:val="0"/>
              <w:textAlignment w:val="auto"/>
              <w:rPr>
                <w:rFonts w:hint="eastAsia" w:ascii="Times New Roman" w:hAnsi="Times New Roman" w:eastAsia="宋体" w:cs="Times New Roman"/>
                <w:b/>
                <w:sz w:val="20"/>
                <w:szCs w:val="20"/>
                <w:lang w:eastAsia="zh-CN"/>
              </w:rPr>
            </w:pPr>
            <w:r>
              <w:rPr>
                <w:rFonts w:hint="default" w:ascii="Times New Roman" w:hAnsi="Times New Roman" w:cs="Times New Roman"/>
                <w:b/>
                <w:sz w:val="20"/>
                <w:szCs w:val="20"/>
              </w:rPr>
              <w:t>3</w:t>
            </w:r>
            <w:r>
              <w:rPr>
                <w:rFonts w:hint="eastAsia" w:ascii="Times New Roman" w:hAnsi="Times New Roman" w:cs="Times New Roman"/>
                <w:b/>
                <w:sz w:val="20"/>
                <w:szCs w:val="20"/>
                <w:lang w:val="en-US" w:eastAsia="zh-CN"/>
              </w:rPr>
              <w:t>6</w:t>
            </w:r>
          </w:p>
        </w:tc>
        <w:tc>
          <w:tcPr>
            <w:tcW w:w="1183"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50.2(4</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-52)</w:t>
            </w:r>
            <w:r>
              <w:rPr>
                <w:rFonts w:hint="default" w:ascii="Times New Roman" w:hAnsi="Times New Roman" w:cs="Times New Roman"/>
                <w:color w:val="000000" w:themeColor="text1"/>
                <w:sz w:val="20"/>
                <w:szCs w:val="20"/>
                <w14:textFill>
                  <w14:solidFill>
                    <w14:schemeClr w14:val="tx1"/>
                  </w14:solidFill>
                </w14:textFill>
              </w:rPr>
              <w:t>*</w:t>
            </w:r>
          </w:p>
        </w:tc>
        <w:tc>
          <w:tcPr>
            <w:tcW w:w="1061"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6.8(2-12)</w:t>
            </w:r>
            <w:r>
              <w:rPr>
                <w:rFonts w:hint="default" w:ascii="Times New Roman" w:hAnsi="Times New Roman" w:cs="Times New Roman"/>
                <w:color w:val="000000" w:themeColor="text1"/>
                <w:sz w:val="20"/>
                <w:szCs w:val="20"/>
                <w14:textFill>
                  <w14:solidFill>
                    <w14:schemeClr w14:val="tx1"/>
                  </w14:solidFill>
                </w14:textFill>
              </w:rPr>
              <w:t>*</w:t>
            </w:r>
          </w:p>
        </w:tc>
        <w:tc>
          <w:tcPr>
            <w:tcW w:w="1500"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137.7(102-182)</w:t>
            </w:r>
            <w:r>
              <w:rPr>
                <w:rFonts w:hint="default" w:ascii="Times New Roman" w:hAnsi="Times New Roman" w:cs="Times New Roman"/>
                <w:color w:val="000000" w:themeColor="text1"/>
                <w:sz w:val="20"/>
                <w:szCs w:val="20"/>
                <w14:textFill>
                  <w14:solidFill>
                    <w14:schemeClr w14:val="tx1"/>
                  </w14:solidFill>
                </w14:textFill>
              </w:rPr>
              <w:t>*</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cs="Times New Roman"/>
                <w:color w:val="000000" w:themeColor="text1"/>
                <w:sz w:val="20"/>
                <w:szCs w:val="20"/>
                <w14:textFill>
                  <w14:solidFill>
                    <w14:schemeClr w14:val="tx1"/>
                  </w14:solidFill>
                </w14:textFill>
              </w:rPr>
              <w:t>*</w:t>
            </w:r>
          </w:p>
        </w:tc>
        <w:tc>
          <w:tcPr>
            <w:tcW w:w="1417"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p>
        </w:tc>
        <w:tc>
          <w:tcPr>
            <w:tcW w:w="1134" w:type="dxa"/>
            <w:tcMar>
              <w:top w:w="0" w:type="dxa"/>
              <w:left w:w="0" w:type="dxa"/>
              <w:bottom w:w="0" w:type="dxa"/>
              <w:right w:w="0" w:type="dxa"/>
            </w:tcMa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lang w:val="en-US" w:eastAsia="zh-CN"/>
                <w14:textFill>
                  <w14:solidFill>
                    <w14:schemeClr w14:val="tx1"/>
                  </w14:solidFill>
                </w14:textFill>
              </w:rPr>
              <w:t>35</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szCs w:val="20"/>
                <w:lang w:val="en-US" w:eastAsia="zh-CN"/>
                <w14:textFill>
                  <w14:solidFill>
                    <w14:schemeClr w14:val="tx1"/>
                  </w14:solidFill>
                </w14:textFill>
              </w:rPr>
              <w:t>1(2</w:t>
            </w:r>
            <w:r>
              <w:rPr>
                <w:rFonts w:hint="default" w:ascii="Times New Roman" w:hAnsi="Times New Roman" w:cs="Times New Roman"/>
                <w:color w:val="000000" w:themeColor="text1"/>
                <w:sz w:val="20"/>
                <w:szCs w:val="20"/>
                <w14:textFill>
                  <w14:solidFill>
                    <w14:schemeClr w14:val="tx1"/>
                  </w14:solidFill>
                </w14:textFill>
              </w:rPr>
              <w:t>8</w:t>
            </w:r>
            <w:r>
              <w:rPr>
                <w:rFonts w:hint="default" w:ascii="Times New Roman" w:hAnsi="Times New Roman" w:cs="Times New Roman"/>
                <w:color w:val="000000" w:themeColor="text1"/>
                <w:sz w:val="20"/>
                <w:szCs w:val="20"/>
                <w:lang w:val="en-US" w:eastAsia="zh-CN"/>
                <w14:textFill>
                  <w14:solidFill>
                    <w14:schemeClr w14:val="tx1"/>
                  </w14:solidFill>
                </w14:textFill>
              </w:rPr>
              <w:t>-40)</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r>
    </w:tbl>
    <w:p>
      <w:pPr>
        <w:rPr>
          <w:rFonts w:hint="default" w:ascii="Times New Roman" w:hAnsi="Times New Roman" w:cs="Times New Roman"/>
          <w:sz w:val="20"/>
          <w:szCs w:val="20"/>
        </w:rPr>
      </w:pPr>
      <w:r>
        <w:rPr>
          <w:rFonts w:hint="default" w:ascii="Times New Roman" w:hAnsi="Times New Roman" w:cs="Times New Roman"/>
          <w:sz w:val="20"/>
          <w:szCs w:val="20"/>
        </w:rPr>
        <w:t xml:space="preserve">*P&lt;0.01 </w:t>
      </w:r>
      <w:bookmarkStart w:id="4" w:name="OLE_LINK5"/>
      <w:r>
        <w:rPr>
          <w:rFonts w:hint="default" w:ascii="Times New Roman" w:hAnsi="Times New Roman" w:cs="Times New Roman"/>
          <w:sz w:val="20"/>
          <w:szCs w:val="20"/>
        </w:rPr>
        <w:t>vs</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rPr>
        <w:t xml:space="preserve"> before treatment</w:t>
      </w:r>
      <w:bookmarkEnd w:id="4"/>
      <w:r>
        <w:rPr>
          <w:rFonts w:hint="default" w:ascii="Times New Roman" w:hAnsi="Times New Roman" w:cs="Times New Roman"/>
          <w:sz w:val="20"/>
          <w:szCs w:val="20"/>
        </w:rPr>
        <w:t>，</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r>
        <w:rPr>
          <w:rFonts w:hint="default" w:ascii="Times New Roman" w:hAnsi="Times New Roman" w:cs="Times New Roman"/>
          <w:sz w:val="20"/>
          <w:szCs w:val="20"/>
        </w:rPr>
        <w:t>P&lt;0.05 vs</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rPr>
        <w:t xml:space="preserve"> before treatment</w:t>
      </w:r>
    </w:p>
    <w:p>
      <w:pPr>
        <w:rPr>
          <w:rFonts w:hint="default" w:ascii="Times New Roman" w:hAnsi="Times New Roman" w:cs="Times New Roman"/>
        </w:rPr>
      </w:pPr>
      <w:r>
        <w:rPr>
          <w:rFonts w:hint="default" w:ascii="Times New Roman" w:hAnsi="Times New Roman" w:cs="Times New Roman"/>
        </w:rPr>
        <w:br w:type="page"/>
      </w:r>
    </w:p>
    <w:p>
      <w:pPr>
        <w:rPr>
          <w:rFonts w:hint="default" w:ascii="Times New Roman" w:hAnsi="Times New Roman" w:cs="Times New Roman"/>
          <w:b/>
          <w:sz w:val="24"/>
        </w:rPr>
      </w:pPr>
      <w:r>
        <w:rPr>
          <w:rFonts w:hint="default" w:ascii="Times New Roman" w:hAnsi="Times New Roman" w:cs="Times New Roman"/>
          <w:b/>
          <w:sz w:val="24"/>
        </w:rPr>
        <w:t>Supplementary Table</w:t>
      </w:r>
      <w:r>
        <w:rPr>
          <w:rFonts w:hint="eastAsia" w:ascii="Times New Roman" w:hAnsi="Times New Roman" w:cs="Times New Roman"/>
          <w:b/>
          <w:sz w:val="24"/>
          <w:lang w:val="en-US" w:eastAsia="zh-CN"/>
        </w:rPr>
        <w:t xml:space="preserve"> 4-1</w:t>
      </w:r>
      <w:r>
        <w:rPr>
          <w:rFonts w:hint="default" w:ascii="Times New Roman" w:hAnsi="Times New Roman" w:cs="Times New Roman"/>
          <w:b/>
          <w:sz w:val="24"/>
        </w:rPr>
        <w:t>. The safety indexes of JDM patients before and after treatment（n=12）</w:t>
      </w:r>
    </w:p>
    <w:tbl>
      <w:tblPr>
        <w:tblStyle w:val="11"/>
        <w:tblW w:w="86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490"/>
        <w:gridCol w:w="1286"/>
        <w:gridCol w:w="1157"/>
        <w:gridCol w:w="1060"/>
        <w:gridCol w:w="1099"/>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dxa"/>
            <w:gridSpan w:val="2"/>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r>
              <w:rPr>
                <w:rFonts w:hint="default" w:ascii="Times New Roman" w:hAnsi="Times New Roman" w:cs="Times New Roman"/>
                <w:b/>
                <w:sz w:val="20"/>
                <w:szCs w:val="20"/>
              </w:rPr>
              <w:t>Treatment stage</w:t>
            </w:r>
          </w:p>
        </w:tc>
        <w:tc>
          <w:tcPr>
            <w:tcW w:w="1286"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Height percentile</w:t>
            </w:r>
          </w:p>
        </w:tc>
        <w:tc>
          <w:tcPr>
            <w:tcW w:w="115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Weight percentile</w:t>
            </w:r>
          </w:p>
        </w:tc>
        <w:tc>
          <w:tcPr>
            <w:tcW w:w="106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IOP（R）</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(mmHg)</w:t>
            </w:r>
          </w:p>
        </w:tc>
        <w:tc>
          <w:tcPr>
            <w:tcW w:w="109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IOP（L）</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(mmHg)</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TG</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(mmol.L</w:t>
            </w:r>
            <w:r>
              <w:rPr>
                <w:rFonts w:hint="default" w:ascii="Times New Roman" w:hAnsi="Times New Roman" w:cs="Times New Roman"/>
                <w:b/>
                <w:sz w:val="20"/>
                <w:szCs w:val="20"/>
                <w:vertAlign w:val="superscript"/>
              </w:rPr>
              <w:t>-1</w:t>
            </w:r>
            <w:r>
              <w:rPr>
                <w:rFonts w:hint="default" w:ascii="Times New Roman" w:hAnsi="Times New Roman" w:cs="Times New Roman"/>
                <w:b/>
                <w:sz w:val="20"/>
                <w:szCs w:val="20"/>
              </w:rPr>
              <w:t>)</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FBG</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(mmol.L</w:t>
            </w:r>
            <w:r>
              <w:rPr>
                <w:rFonts w:hint="default" w:ascii="Times New Roman" w:hAnsi="Times New Roman" w:cs="Times New Roman"/>
                <w:b/>
                <w:sz w:val="20"/>
                <w:szCs w:val="20"/>
                <w:vertAlign w:val="superscript"/>
              </w:rPr>
              <w:t>-1</w:t>
            </w:r>
            <w:r>
              <w:rPr>
                <w:rFonts w:hint="default" w:ascii="Times New Roman" w:hAnsi="Times New Roman" w:cs="Times New Roman"/>
                <w:b/>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r>
              <w:rPr>
                <w:rFonts w:hint="default" w:ascii="Times New Roman" w:hAnsi="Times New Roman" w:cs="Times New Roman"/>
                <w:b/>
                <w:sz w:val="20"/>
                <w:szCs w:val="20"/>
              </w:rPr>
              <w:t>Before treatment</w:t>
            </w:r>
          </w:p>
        </w:tc>
        <w:tc>
          <w:tcPr>
            <w:tcW w:w="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0</w:t>
            </w:r>
          </w:p>
        </w:tc>
        <w:tc>
          <w:tcPr>
            <w:tcW w:w="128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34.6±30.4</w:t>
            </w:r>
          </w:p>
        </w:tc>
        <w:tc>
          <w:tcPr>
            <w:tcW w:w="115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46.3±16.6</w:t>
            </w:r>
          </w:p>
        </w:tc>
        <w:tc>
          <w:tcPr>
            <w:tcW w:w="106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16.7±3.6</w:t>
            </w:r>
          </w:p>
        </w:tc>
        <w:tc>
          <w:tcPr>
            <w:tcW w:w="109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16.6±3.1</w:t>
            </w:r>
          </w:p>
        </w:tc>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2.05±0.93</w:t>
            </w:r>
          </w:p>
        </w:tc>
        <w:tc>
          <w:tcPr>
            <w:tcW w:w="11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4.63±1.56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vMerge w:val="restart"/>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r>
              <w:rPr>
                <w:rFonts w:hint="default" w:ascii="Times New Roman" w:hAnsi="Times New Roman" w:cs="Times New Roman"/>
                <w:b/>
                <w:sz w:val="20"/>
                <w:szCs w:val="20"/>
              </w:rPr>
              <w:t>After treatment（month）</w:t>
            </w:r>
          </w:p>
        </w:tc>
        <w:tc>
          <w:tcPr>
            <w:tcW w:w="49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1</w:t>
            </w:r>
          </w:p>
        </w:tc>
        <w:tc>
          <w:tcPr>
            <w:tcW w:w="1286"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35.7±22.6</w:t>
            </w:r>
          </w:p>
        </w:tc>
        <w:tc>
          <w:tcPr>
            <w:tcW w:w="115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48.3±22.4</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c>
          <w:tcPr>
            <w:tcW w:w="106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19.4±1.4*</w:t>
            </w:r>
          </w:p>
        </w:tc>
        <w:tc>
          <w:tcPr>
            <w:tcW w:w="109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19.6±1.9*</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1.94±0.69</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4.20±1.47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49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3</w:t>
            </w:r>
          </w:p>
        </w:tc>
        <w:tc>
          <w:tcPr>
            <w:tcW w:w="1286"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34.9±25.2</w:t>
            </w:r>
          </w:p>
        </w:tc>
        <w:tc>
          <w:tcPr>
            <w:tcW w:w="115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51.9±27.2*</w:t>
            </w:r>
          </w:p>
        </w:tc>
        <w:tc>
          <w:tcPr>
            <w:tcW w:w="106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18.7±1.9*</w:t>
            </w:r>
          </w:p>
        </w:tc>
        <w:tc>
          <w:tcPr>
            <w:tcW w:w="109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000000" w:themeColor="text1"/>
                <w:sz w:val="20"/>
                <w:szCs w:val="20"/>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18.5±2.2*</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1.98±0.77</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4.01±1.75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49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6</w:t>
            </w:r>
          </w:p>
        </w:tc>
        <w:tc>
          <w:tcPr>
            <w:tcW w:w="1286"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35.1±21.6</w:t>
            </w:r>
          </w:p>
        </w:tc>
        <w:tc>
          <w:tcPr>
            <w:tcW w:w="115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50.6±26.7*</w:t>
            </w:r>
          </w:p>
        </w:tc>
        <w:tc>
          <w:tcPr>
            <w:tcW w:w="106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17.7±2.3*</w:t>
            </w:r>
          </w:p>
        </w:tc>
        <w:tc>
          <w:tcPr>
            <w:tcW w:w="109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17.6±2.5*</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2.11±0.72</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3.89±1.69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49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12</w:t>
            </w:r>
          </w:p>
        </w:tc>
        <w:tc>
          <w:tcPr>
            <w:tcW w:w="1286"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35.4±19.4</w:t>
            </w:r>
          </w:p>
        </w:tc>
        <w:tc>
          <w:tcPr>
            <w:tcW w:w="115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47.1±27.3</w:t>
            </w:r>
          </w:p>
        </w:tc>
        <w:tc>
          <w:tcPr>
            <w:tcW w:w="106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16.8±2,1</w:t>
            </w:r>
          </w:p>
        </w:tc>
        <w:tc>
          <w:tcPr>
            <w:tcW w:w="109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17.1±2.5</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1.96±0.86</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4.13±1.61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49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24</w:t>
            </w:r>
          </w:p>
        </w:tc>
        <w:tc>
          <w:tcPr>
            <w:tcW w:w="1286"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37.6±19.7</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c>
          <w:tcPr>
            <w:tcW w:w="115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46.5±23.9</w:t>
            </w:r>
          </w:p>
        </w:tc>
        <w:tc>
          <w:tcPr>
            <w:tcW w:w="106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17.1±2.6</w:t>
            </w:r>
          </w:p>
        </w:tc>
        <w:tc>
          <w:tcPr>
            <w:tcW w:w="109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16.8±2.2</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2.01±0.79</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4.08±1.38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49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b/>
                <w:sz w:val="20"/>
                <w:szCs w:val="20"/>
                <w:lang w:eastAsia="zh-CN"/>
              </w:rPr>
            </w:pPr>
            <w:r>
              <w:rPr>
                <w:rFonts w:hint="default" w:ascii="Times New Roman" w:hAnsi="Times New Roman" w:cs="Times New Roman"/>
                <w:b/>
                <w:sz w:val="20"/>
                <w:szCs w:val="20"/>
              </w:rPr>
              <w:t>3</w:t>
            </w:r>
            <w:r>
              <w:rPr>
                <w:rFonts w:hint="eastAsia" w:ascii="Times New Roman" w:hAnsi="Times New Roman" w:cs="Times New Roman"/>
                <w:b/>
                <w:sz w:val="20"/>
                <w:szCs w:val="20"/>
                <w:lang w:val="en-US" w:eastAsia="zh-CN"/>
              </w:rPr>
              <w:t>6</w:t>
            </w:r>
          </w:p>
        </w:tc>
        <w:tc>
          <w:tcPr>
            <w:tcW w:w="1286"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36.7±20.5</w:t>
            </w:r>
            <w:r>
              <w:rPr>
                <w:rFonts w:hint="default" w:ascii="Times New Roman" w:hAnsi="Times New Roman" w:eastAsia="Tahoma" w:cs="Times New Roman"/>
                <w:i w:val="0"/>
                <w:iCs w:val="0"/>
                <w:caps w:val="0"/>
                <w:color w:val="333333"/>
                <w:spacing w:val="0"/>
                <w:sz w:val="20"/>
                <w:szCs w:val="20"/>
                <w:shd w:val="clear" w:color="auto" w:fill="auto"/>
                <w:vertAlign w:val="superscript"/>
              </w:rPr>
              <w:t>†</w:t>
            </w:r>
          </w:p>
        </w:tc>
        <w:tc>
          <w:tcPr>
            <w:tcW w:w="115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46.1±28.4</w:t>
            </w:r>
          </w:p>
        </w:tc>
        <w:tc>
          <w:tcPr>
            <w:tcW w:w="1060"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16.9±2.4</w:t>
            </w:r>
          </w:p>
        </w:tc>
        <w:tc>
          <w:tcPr>
            <w:tcW w:w="109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17.0±2.4</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1.99±0.84</w:t>
            </w:r>
          </w:p>
        </w:tc>
        <w:tc>
          <w:tcPr>
            <w:tcW w:w="1134"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3.94±1.78</w:t>
            </w:r>
          </w:p>
        </w:tc>
      </w:tr>
    </w:tbl>
    <w:p>
      <w:pPr>
        <w:ind w:firstLine="400" w:firstLineChars="200"/>
        <w:rPr>
          <w:rFonts w:hint="eastAsia" w:ascii="Times New Roman" w:hAnsi="Times New Roman" w:eastAsia="宋体" w:cs="Times New Roman"/>
          <w:sz w:val="20"/>
          <w:szCs w:val="20"/>
          <w:lang w:val="en-US" w:eastAsia="zh-CN"/>
        </w:rPr>
      </w:pPr>
      <w:r>
        <w:rPr>
          <w:rFonts w:hint="default" w:ascii="Times New Roman" w:hAnsi="Times New Roman" w:cs="Times New Roman"/>
          <w:sz w:val="20"/>
          <w:szCs w:val="20"/>
        </w:rPr>
        <w:t>*P&lt;0.01</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vs</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rPr>
        <w:t xml:space="preserve"> before treatment，</w:t>
      </w:r>
      <w:r>
        <w:rPr>
          <w:rFonts w:hint="default" w:ascii="Times New Roman" w:hAnsi="Times New Roman" w:eastAsia="Tahoma" w:cs="Times New Roman"/>
          <w:b/>
          <w:bCs/>
          <w:i w:val="0"/>
          <w:iCs w:val="0"/>
          <w:caps w:val="0"/>
          <w:color w:val="333333"/>
          <w:spacing w:val="0"/>
          <w:sz w:val="20"/>
          <w:szCs w:val="20"/>
          <w:shd w:val="clear" w:color="auto" w:fill="auto"/>
          <w:vertAlign w:val="superscript"/>
        </w:rPr>
        <w:t>†</w:t>
      </w:r>
      <w:r>
        <w:rPr>
          <w:rFonts w:hint="default" w:ascii="Times New Roman" w:hAnsi="Times New Roman" w:cs="Times New Roman"/>
          <w:sz w:val="20"/>
          <w:szCs w:val="20"/>
        </w:rPr>
        <w:t>P&lt;0.05</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vs</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rPr>
        <w:t xml:space="preserve"> before treatment</w:t>
      </w:r>
      <w:r>
        <w:rPr>
          <w:rFonts w:hint="eastAsia" w:ascii="Times New Roman" w:hAnsi="Times New Roman" w:cs="Times New Roman"/>
          <w:sz w:val="20"/>
          <w:szCs w:val="20"/>
          <w:lang w:val="en-US" w:eastAsia="zh-CN"/>
        </w:rPr>
        <w:t>.</w:t>
      </w:r>
    </w:p>
    <w:p>
      <w:pPr>
        <w:shd w:val="clear" w:color="auto" w:fill="FFFFFF"/>
        <w:rPr>
          <w:rFonts w:hint="default" w:ascii="Times New Roman" w:hAnsi="Times New Roman" w:cs="Times New Roman"/>
        </w:rPr>
      </w:pPr>
    </w:p>
    <w:p>
      <w:pPr>
        <w:rPr>
          <w:rFonts w:hint="default" w:ascii="Times New Roman" w:hAnsi="Times New Roman" w:cs="Times New Roman"/>
        </w:rPr>
      </w:pPr>
      <w:r>
        <w:rPr>
          <w:rFonts w:hint="default" w:ascii="Times New Roman" w:hAnsi="Times New Roman" w:cs="Times New Roman"/>
        </w:rPr>
        <w:br w:type="page"/>
      </w:r>
    </w:p>
    <w:p>
      <w:pPr>
        <w:shd w:val="clear" w:color="auto" w:fill="FFFFFF"/>
        <w:rPr>
          <w:rFonts w:hint="default" w:ascii="Times New Roman" w:hAnsi="Times New Roman" w:cs="Times New Roman"/>
        </w:rPr>
      </w:pPr>
    </w:p>
    <w:p>
      <w:pPr>
        <w:rPr>
          <w:rFonts w:hint="default" w:ascii="Times New Roman" w:hAnsi="Times New Roman" w:cs="Times New Roman"/>
          <w:b/>
          <w:sz w:val="24"/>
        </w:rPr>
      </w:pPr>
      <w:r>
        <w:rPr>
          <w:rFonts w:hint="default" w:ascii="Times New Roman" w:hAnsi="Times New Roman" w:cs="Times New Roman"/>
          <w:b/>
          <w:sz w:val="24"/>
        </w:rPr>
        <w:t xml:space="preserve">Supplementary Table </w:t>
      </w:r>
      <w:r>
        <w:rPr>
          <w:rFonts w:hint="eastAsia" w:ascii="Times New Roman" w:hAnsi="Times New Roman" w:cs="Times New Roman"/>
          <w:b/>
          <w:sz w:val="24"/>
          <w:lang w:val="en-US" w:eastAsia="zh-CN"/>
        </w:rPr>
        <w:t>4-2</w:t>
      </w:r>
      <w:r>
        <w:rPr>
          <w:rFonts w:hint="default" w:ascii="Times New Roman" w:hAnsi="Times New Roman" w:cs="Times New Roman"/>
          <w:b/>
          <w:sz w:val="24"/>
        </w:rPr>
        <w:t>. The safety indexes of JDM patients before and after treatment（n=12）</w:t>
      </w:r>
    </w:p>
    <w:tbl>
      <w:tblPr>
        <w:tblStyle w:val="11"/>
        <w:tblW w:w="847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
        <w:gridCol w:w="655"/>
        <w:gridCol w:w="2169"/>
        <w:gridCol w:w="2268"/>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gridSpan w:val="3"/>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r>
              <w:rPr>
                <w:rFonts w:hint="default" w:ascii="Times New Roman" w:hAnsi="Times New Roman" w:cs="Times New Roman"/>
                <w:b/>
                <w:sz w:val="20"/>
                <w:szCs w:val="20"/>
              </w:rPr>
              <w:t>Treatment stage</w:t>
            </w:r>
          </w:p>
        </w:tc>
        <w:tc>
          <w:tcPr>
            <w:tcW w:w="216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SBP</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(mmHg)</w:t>
            </w:r>
          </w:p>
        </w:tc>
        <w:tc>
          <w:tcPr>
            <w:tcW w:w="2268"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DBP</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(mmHg)</w:t>
            </w:r>
          </w:p>
        </w:tc>
        <w:tc>
          <w:tcPr>
            <w:tcW w:w="212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Serum Ca</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(mmol/L)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r>
              <w:rPr>
                <w:rFonts w:hint="default" w:ascii="Times New Roman" w:hAnsi="Times New Roman" w:cs="Times New Roman"/>
                <w:b/>
                <w:sz w:val="20"/>
                <w:szCs w:val="20"/>
              </w:rPr>
              <w:t>Before treatment</w:t>
            </w:r>
          </w:p>
        </w:tc>
        <w:tc>
          <w:tcPr>
            <w:tcW w:w="666"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0</w:t>
            </w:r>
          </w:p>
        </w:tc>
        <w:tc>
          <w:tcPr>
            <w:tcW w:w="216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106.6±18.3</w:t>
            </w:r>
          </w:p>
        </w:tc>
        <w:tc>
          <w:tcPr>
            <w:tcW w:w="226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70.4±14.7</w:t>
            </w:r>
          </w:p>
        </w:tc>
        <w:tc>
          <w:tcPr>
            <w:tcW w:w="212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1.98±0.27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gridSpan w:val="2"/>
            <w:vMerge w:val="restart"/>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r>
              <w:rPr>
                <w:rFonts w:hint="default" w:ascii="Times New Roman" w:hAnsi="Times New Roman" w:cs="Times New Roman"/>
                <w:b/>
                <w:sz w:val="20"/>
                <w:szCs w:val="20"/>
              </w:rPr>
              <w:t>After treatment（month）</w:t>
            </w:r>
          </w:p>
        </w:tc>
        <w:tc>
          <w:tcPr>
            <w:tcW w:w="655"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1</w:t>
            </w:r>
          </w:p>
        </w:tc>
        <w:tc>
          <w:tcPr>
            <w:tcW w:w="216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113.5±22.5*</w:t>
            </w:r>
          </w:p>
        </w:tc>
        <w:tc>
          <w:tcPr>
            <w:tcW w:w="2268"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75.6±13.8*</w:t>
            </w:r>
          </w:p>
        </w:tc>
        <w:tc>
          <w:tcPr>
            <w:tcW w:w="212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1.98±0.21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gridSpan w:val="2"/>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655"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3</w:t>
            </w:r>
          </w:p>
        </w:tc>
        <w:tc>
          <w:tcPr>
            <w:tcW w:w="216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123.3±21.7*</w:t>
            </w:r>
          </w:p>
        </w:tc>
        <w:tc>
          <w:tcPr>
            <w:tcW w:w="2268"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79.4±13.3*</w:t>
            </w:r>
          </w:p>
        </w:tc>
        <w:tc>
          <w:tcPr>
            <w:tcW w:w="212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gridSpan w:val="2"/>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655"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6</w:t>
            </w:r>
          </w:p>
        </w:tc>
        <w:tc>
          <w:tcPr>
            <w:tcW w:w="216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118.7±19.4*</w:t>
            </w:r>
          </w:p>
        </w:tc>
        <w:tc>
          <w:tcPr>
            <w:tcW w:w="2268"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78.2±14.7*</w:t>
            </w:r>
          </w:p>
        </w:tc>
        <w:tc>
          <w:tcPr>
            <w:tcW w:w="212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2.04±0.19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gridSpan w:val="2"/>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655"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12</w:t>
            </w:r>
          </w:p>
        </w:tc>
        <w:tc>
          <w:tcPr>
            <w:tcW w:w="216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110.8±19.6</w:t>
            </w:r>
          </w:p>
        </w:tc>
        <w:tc>
          <w:tcPr>
            <w:tcW w:w="2268"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73.6±12.9</w:t>
            </w:r>
          </w:p>
        </w:tc>
        <w:tc>
          <w:tcPr>
            <w:tcW w:w="212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1.98±0.17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gridSpan w:val="2"/>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655"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sz w:val="20"/>
                <w:szCs w:val="20"/>
              </w:rPr>
            </w:pPr>
            <w:r>
              <w:rPr>
                <w:rFonts w:hint="default" w:ascii="Times New Roman" w:hAnsi="Times New Roman" w:cs="Times New Roman"/>
                <w:b/>
                <w:sz w:val="20"/>
                <w:szCs w:val="20"/>
              </w:rPr>
              <w:t>24</w:t>
            </w:r>
          </w:p>
        </w:tc>
        <w:tc>
          <w:tcPr>
            <w:tcW w:w="216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108.6±18.5</w:t>
            </w:r>
          </w:p>
        </w:tc>
        <w:tc>
          <w:tcPr>
            <w:tcW w:w="2268"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72.4±16.8</w:t>
            </w:r>
          </w:p>
        </w:tc>
        <w:tc>
          <w:tcPr>
            <w:tcW w:w="212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1.93±0.22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3" w:type="dxa"/>
            <w:gridSpan w:val="2"/>
            <w:vMerge w:val="continue"/>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b/>
                <w:sz w:val="20"/>
                <w:szCs w:val="20"/>
              </w:rPr>
            </w:pPr>
          </w:p>
        </w:tc>
        <w:tc>
          <w:tcPr>
            <w:tcW w:w="655"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b/>
                <w:sz w:val="20"/>
                <w:szCs w:val="20"/>
                <w:lang w:eastAsia="zh-CN"/>
              </w:rPr>
            </w:pPr>
            <w:r>
              <w:rPr>
                <w:rFonts w:hint="default" w:ascii="Times New Roman" w:hAnsi="Times New Roman" w:cs="Times New Roman"/>
                <w:b/>
                <w:sz w:val="20"/>
                <w:szCs w:val="20"/>
              </w:rPr>
              <w:t>3</w:t>
            </w:r>
            <w:r>
              <w:rPr>
                <w:rFonts w:hint="eastAsia" w:ascii="Times New Roman" w:hAnsi="Times New Roman" w:cs="Times New Roman"/>
                <w:b/>
                <w:sz w:val="20"/>
                <w:szCs w:val="20"/>
                <w:lang w:val="en-US" w:eastAsia="zh-CN"/>
              </w:rPr>
              <w:t>6</w:t>
            </w:r>
          </w:p>
        </w:tc>
        <w:tc>
          <w:tcPr>
            <w:tcW w:w="2169"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109.3±19.4</w:t>
            </w:r>
          </w:p>
        </w:tc>
        <w:tc>
          <w:tcPr>
            <w:tcW w:w="2268"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72.5±14.1</w:t>
            </w:r>
          </w:p>
        </w:tc>
        <w:tc>
          <w:tcPr>
            <w:tcW w:w="2127"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1.99±0.19</w:t>
            </w:r>
          </w:p>
        </w:tc>
      </w:tr>
    </w:tbl>
    <w:p>
      <w:pPr>
        <w:keepNext w:val="0"/>
        <w:keepLines w:val="0"/>
        <w:pageBreakBefore w:val="0"/>
        <w:widowControl w:val="0"/>
        <w:kinsoku/>
        <w:wordWrap/>
        <w:overflowPunct/>
        <w:topLinePunct w:val="0"/>
        <w:autoSpaceDE/>
        <w:autoSpaceDN/>
        <w:bidi w:val="0"/>
        <w:adjustRightInd/>
        <w:snapToGrid w:val="0"/>
        <w:spacing w:line="240" w:lineRule="auto"/>
        <w:ind w:firstLine="400" w:firstLineChars="200"/>
        <w:textAlignment w:val="auto"/>
        <w:rPr>
          <w:rFonts w:hint="default" w:ascii="Times New Roman" w:hAnsi="Times New Roman" w:cs="Times New Roman"/>
          <w:sz w:val="16"/>
          <w:szCs w:val="16"/>
        </w:rPr>
      </w:pPr>
      <w:r>
        <w:rPr>
          <w:rFonts w:hint="default" w:ascii="Times New Roman" w:hAnsi="Times New Roman" w:cs="Times New Roman"/>
          <w:sz w:val="20"/>
          <w:szCs w:val="20"/>
        </w:rPr>
        <w:t>*P&lt;0.01</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vs</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rPr>
        <w:t xml:space="preserve"> before treatment</w:t>
      </w:r>
      <w:r>
        <w:rPr>
          <w:rFonts w:hint="eastAsia" w:ascii="Times New Roman" w:hAnsi="Times New Roman" w:cs="Times New Roman"/>
          <w:sz w:val="20"/>
          <w:szCs w:val="20"/>
          <w:lang w:val="en-US" w:eastAsia="zh-CN"/>
        </w:rPr>
        <w:t>.</w:t>
      </w:r>
      <w:r>
        <w:rPr>
          <w:rFonts w:hint="default" w:ascii="Times New Roman" w:hAnsi="Times New Roman" w:cs="Times New Roman"/>
          <w:sz w:val="20"/>
          <w:szCs w:val="20"/>
        </w:rPr>
        <w:t xml:space="preserve"> </w:t>
      </w:r>
    </w:p>
    <w:p>
      <w:pPr>
        <w:shd w:val="clear" w:color="auto" w:fill="FFFFFF"/>
        <w:rPr>
          <w:rFonts w:hint="default" w:ascii="Times New Roman" w:hAnsi="Times New Roman" w:cs="Times New Roman"/>
          <w:sz w:val="20"/>
          <w:szCs w:val="20"/>
        </w:rPr>
      </w:pPr>
    </w:p>
    <w:p>
      <w:pPr>
        <w:shd w:val="clear" w:color="auto" w:fill="FFFFFF"/>
        <w:rPr>
          <w:rFonts w:hint="default" w:ascii="Times New Roman" w:hAnsi="Times New Roman" w:cs="Times New Roman"/>
        </w:rPr>
        <w:sectPr>
          <w:headerReference r:id="rId3" w:type="default"/>
          <w:pgSz w:w="11906" w:h="16838"/>
          <w:pgMar w:top="1440" w:right="1800" w:bottom="1440" w:left="1800" w:header="851" w:footer="992" w:gutter="0"/>
          <w:cols w:space="720" w:num="1"/>
          <w:docGrid w:type="lines" w:linePitch="312" w:charSpace="0"/>
        </w:sectPr>
      </w:pPr>
    </w:p>
    <w:p>
      <w:pPr>
        <w:rPr>
          <w:rFonts w:hint="default" w:ascii="Times New Roman" w:hAnsi="Times New Roman" w:cs="Times New Roman"/>
          <w:sz w:val="24"/>
        </w:rPr>
      </w:pPr>
      <w:r>
        <w:rPr>
          <w:rFonts w:hint="default" w:ascii="Times New Roman" w:hAnsi="Times New Roman" w:cs="Times New Roman"/>
          <w:b/>
          <w:sz w:val="24"/>
        </w:rPr>
        <w:t xml:space="preserve">Supplementary Table </w:t>
      </w:r>
      <w:r>
        <w:rPr>
          <w:rFonts w:hint="eastAsia" w:ascii="Times New Roman" w:hAnsi="Times New Roman" w:cs="Times New Roman"/>
          <w:b/>
          <w:sz w:val="24"/>
          <w:lang w:val="en-US" w:eastAsia="zh-CN"/>
        </w:rPr>
        <w:t>5</w:t>
      </w:r>
      <w:r>
        <w:rPr>
          <w:rFonts w:hint="default" w:ascii="Times New Roman" w:hAnsi="Times New Roman" w:cs="Times New Roman"/>
          <w:b/>
          <w:sz w:val="24"/>
        </w:rPr>
        <w:t>. The studies of JDM treatment</w:t>
      </w:r>
    </w:p>
    <w:tbl>
      <w:tblPr>
        <w:tblStyle w:val="11"/>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09"/>
        <w:gridCol w:w="2976"/>
        <w:gridCol w:w="1701"/>
        <w:gridCol w:w="4962"/>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Studies</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Cases</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Treatment regimen</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Follow-up</w:t>
            </w:r>
          </w:p>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Time</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Results</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Conclusions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Bowyer SL,</w:t>
            </w:r>
            <w:r>
              <w:rPr>
                <w:rFonts w:hint="default" w:ascii="Times New Roman" w:hAnsi="Times New Roman" w:cs="Times New Roman"/>
                <w:sz w:val="20"/>
                <w:szCs w:val="20"/>
                <w:lang w:val="en-IN"/>
              </w:rPr>
              <w:t xml:space="preserve"> </w:t>
            </w:r>
            <w:r>
              <w:rPr>
                <w:rFonts w:hint="default" w:ascii="Times New Roman" w:hAnsi="Times New Roman" w:cs="Times New Roman"/>
                <w:sz w:val="20"/>
                <w:szCs w:val="20"/>
              </w:rPr>
              <w:t>1983</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47</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Prednisone, 2 mg/ kg/d, in the first mon, then according to the good clinical and laboratory response, reduced to stop within 24 mon</w:t>
            </w:r>
            <w:r>
              <w:rPr>
                <w:rFonts w:hint="eastAsia" w:ascii="Times New Roman" w:hAnsi="Times New Roman" w:cs="Times New Roman"/>
                <w:sz w:val="20"/>
                <w:szCs w:val="20"/>
                <w:lang w:val="en-US" w:eastAsia="zh-CN"/>
              </w:rPr>
              <w:t>ths</w:t>
            </w:r>
            <w:r>
              <w:rPr>
                <w:rFonts w:hint="default" w:ascii="Times New Roman" w:hAnsi="Times New Roman" w:cs="Times New Roman"/>
                <w:sz w:val="20"/>
                <w:szCs w:val="20"/>
              </w:rPr>
              <w:t>.</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Times New Roman" w:hAnsi="Times New Roman" w:eastAsia="宋体" w:cs="Times New Roman"/>
                <w:sz w:val="20"/>
                <w:szCs w:val="20"/>
                <w:lang w:val="en-US" w:eastAsia="zh-CN"/>
              </w:rPr>
            </w:pPr>
            <w:r>
              <w:rPr>
                <w:rFonts w:hint="default" w:ascii="Times New Roman" w:hAnsi="Times New Roman" w:cs="Times New Roman"/>
                <w:sz w:val="20"/>
                <w:szCs w:val="20"/>
              </w:rPr>
              <w:t>24 m</w:t>
            </w:r>
            <w:bookmarkStart w:id="5" w:name="_GoBack"/>
            <w:bookmarkEnd w:id="5"/>
            <w:r>
              <w:rPr>
                <w:rFonts w:hint="default" w:ascii="Times New Roman" w:hAnsi="Times New Roman" w:cs="Times New Roman"/>
                <w:sz w:val="20"/>
                <w:szCs w:val="20"/>
              </w:rPr>
              <w:t>on</w:t>
            </w:r>
            <w:r>
              <w:rPr>
                <w:rFonts w:hint="eastAsia" w:ascii="Times New Roman" w:hAnsi="Times New Roman" w:cs="Times New Roman"/>
                <w:sz w:val="20"/>
                <w:szCs w:val="20"/>
                <w:lang w:val="en-US" w:eastAsia="zh-CN"/>
              </w:rPr>
              <w:t>ths</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Typical monophasic process presented in 11 cases (23.4%). Relapse occurred in 17 cases (36.1%), requiring a temporary increased prednisone dose.</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18 cases (40%) presented with 3 or 4 cycles of treatment course. 6 cases were severely disabled as a result of persistent disease activities; Calcinosis appeared in 5 cases. 1 case died of infection.</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Early, high-dose and prolonged treatment of prednisone was the best predictor of good functional recovery and mild calcinosis.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Those who received a small dose of prednisone had worse outcomes than those who received a large dose of prednisone [2mg/(kg·d)]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Tabarki B, 1998</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36</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Low-dose oral prednisone, 1mg/ kg/d</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13 cases with no remission after at least 9 mon</w:t>
            </w:r>
            <w:r>
              <w:rPr>
                <w:rFonts w:hint="eastAsia" w:ascii="Times New Roman" w:hAnsi="Times New Roman" w:cs="Times New Roman"/>
                <w:sz w:val="20"/>
                <w:szCs w:val="20"/>
                <w:lang w:val="en-US" w:eastAsia="zh-CN"/>
              </w:rPr>
              <w:t>th</w:t>
            </w:r>
            <w:r>
              <w:rPr>
                <w:rFonts w:hint="default" w:ascii="Times New Roman" w:hAnsi="Times New Roman" w:cs="Times New Roman"/>
                <w:sz w:val="20"/>
                <w:szCs w:val="20"/>
              </w:rPr>
              <w:t>s of prednisone treatment were given CYC (4 cases) /MTX(2 cases) /IVIG /MTX+ CYC (1 case)</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More than 24 mon</w:t>
            </w:r>
            <w:r>
              <w:rPr>
                <w:rFonts w:hint="eastAsia" w:ascii="Times New Roman" w:hAnsi="Times New Roman" w:cs="Times New Roman"/>
                <w:sz w:val="20"/>
                <w:szCs w:val="20"/>
                <w:lang w:val="en-US" w:eastAsia="zh-CN"/>
              </w:rPr>
              <w:t>th</w:t>
            </w:r>
            <w:r>
              <w:rPr>
                <w:rFonts w:hint="default" w:ascii="Times New Roman" w:hAnsi="Times New Roman" w:cs="Times New Roman"/>
                <w:sz w:val="20"/>
                <w:szCs w:val="20"/>
              </w:rPr>
              <w:t>s, at least 1y after treatment, the mean duration 4.9y</w:t>
            </w:r>
            <w:r>
              <w:rPr>
                <w:rFonts w:hint="eastAsia" w:ascii="Times New Roman" w:hAnsi="Times New Roman" w:cs="Times New Roman"/>
                <w:sz w:val="20"/>
                <w:szCs w:val="20"/>
                <w:lang w:val="en-US" w:eastAsia="zh-CN"/>
              </w:rPr>
              <w:t>ear</w:t>
            </w:r>
            <w:r>
              <w:rPr>
                <w:rFonts w:hint="default" w:ascii="Times New Roman" w:hAnsi="Times New Roman" w:cs="Times New Roman"/>
                <w:sz w:val="20"/>
                <w:szCs w:val="20"/>
              </w:rPr>
              <w:t>s</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No functional impairment was observed in 28 cases (78%) and 14 cases were monophasic. There were 5 cases with inactivity, but persistent disability, and 3 cases with continuous activity and significant functional impairment. Calcinosis occurred in 5 patients.</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The effect of low dose prednisone on JDM is not ideal, and the combination of MTX/CYC can improve the treatment outcome.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Lang B,</w:t>
            </w:r>
            <w:r>
              <w:rPr>
                <w:rFonts w:hint="default" w:ascii="Times New Roman" w:hAnsi="Times New Roman" w:cs="Times New Roman"/>
                <w:sz w:val="20"/>
                <w:szCs w:val="20"/>
                <w:lang w:val="en-IN"/>
              </w:rPr>
              <w:t xml:space="preserve"> </w:t>
            </w:r>
            <w:r>
              <w:rPr>
                <w:rFonts w:hint="default" w:ascii="Times New Roman" w:hAnsi="Times New Roman" w:cs="Times New Roman"/>
                <w:sz w:val="20"/>
                <w:szCs w:val="20"/>
              </w:rPr>
              <w:t>1996</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7</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Treatment began within 3 mon</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rPr>
              <w:t>s of onset. IVMP 30 mg/kg/d ×3d, once a week, 1-4 weeks. Oral prednisone (2 mg/kg/d, divided into 4 times [Max. 60 mg])</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The mean duration 7 y</w:t>
            </w:r>
            <w:r>
              <w:rPr>
                <w:rFonts w:hint="eastAsia" w:ascii="Times New Roman" w:hAnsi="Times New Roman" w:cs="Times New Roman"/>
                <w:sz w:val="20"/>
                <w:szCs w:val="20"/>
                <w:lang w:val="en-US" w:eastAsia="zh-CN"/>
              </w:rPr>
              <w:t>ear</w:t>
            </w:r>
            <w:r>
              <w:rPr>
                <w:rFonts w:hint="default" w:ascii="Times New Roman" w:hAnsi="Times New Roman" w:cs="Times New Roman"/>
                <w:sz w:val="20"/>
                <w:szCs w:val="20"/>
              </w:rPr>
              <w:t>s</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After oral high-dose prednisone treatment, 3 cases required second-line drugs subsequently. After onset at 3-6 years, all patients had normal muscle strength, 2 cases had increased CK.</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Temporary hypertension during the IVMP process and developed vomiting occurred in 1 case respectively.</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Muscle strength may be determined by pulsed IVMP treatment early in the disease, and routine oral corticosteroid or IVMP followed by oral corticosteroid therapy is recommended as initial treatment JDM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Ramanan AV,</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2005</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31</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Study Group—</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prednisone 2mg/kg/d, max75mg/d, -10%/mon;</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MTX 10-20mg/m</w:t>
            </w:r>
            <w:r>
              <w:rPr>
                <w:rFonts w:hint="default" w:ascii="Times New Roman" w:hAnsi="Times New Roman" w:cs="Times New Roman"/>
                <w:sz w:val="20"/>
                <w:szCs w:val="20"/>
                <w:vertAlign w:val="superscript"/>
              </w:rPr>
              <w:t>2</w:t>
            </w:r>
            <w:r>
              <w:rPr>
                <w:rFonts w:hint="default" w:ascii="Times New Roman" w:hAnsi="Times New Roman" w:cs="Times New Roman"/>
                <w:sz w:val="20"/>
                <w:szCs w:val="20"/>
                <w:lang w:val="en-IN"/>
              </w:rPr>
              <w:t xml:space="preserve">, </w:t>
            </w:r>
            <w:r>
              <w:rPr>
                <w:rFonts w:hint="default" w:ascii="Times New Roman" w:hAnsi="Times New Roman" w:cs="Times New Roman"/>
                <w:sz w:val="20"/>
                <w:szCs w:val="20"/>
              </w:rPr>
              <w:t>&lt;25mg/w,</w:t>
            </w:r>
            <w:r>
              <w:rPr>
                <w:rFonts w:hint="default" w:ascii="Times New Roman" w:hAnsi="Times New Roman" w:cs="Times New Roman"/>
                <w:sz w:val="20"/>
                <w:szCs w:val="20"/>
                <w:lang w:val="en-IN"/>
              </w:rPr>
              <w:t xml:space="preserve"> </w:t>
            </w:r>
            <w:r>
              <w:rPr>
                <w:rFonts w:hint="default" w:ascii="Times New Roman" w:hAnsi="Times New Roman" w:cs="Times New Roman"/>
                <w:sz w:val="20"/>
                <w:szCs w:val="20"/>
              </w:rPr>
              <w:t>po/ih</w:t>
            </w:r>
          </w:p>
        </w:tc>
        <w:tc>
          <w:tcPr>
            <w:tcW w:w="1701" w:type="dxa"/>
            <w:vMerge w:val="restart"/>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4 y</w:t>
            </w:r>
            <w:r>
              <w:rPr>
                <w:rFonts w:hint="eastAsia" w:ascii="Times New Roman" w:hAnsi="Times New Roman" w:cs="Times New Roman"/>
                <w:sz w:val="20"/>
                <w:szCs w:val="20"/>
                <w:lang w:val="en-US" w:eastAsia="zh-CN"/>
              </w:rPr>
              <w:t>ear</w:t>
            </w:r>
            <w:r>
              <w:rPr>
                <w:rFonts w:hint="default" w:ascii="Times New Roman" w:hAnsi="Times New Roman" w:cs="Times New Roman"/>
                <w:sz w:val="20"/>
                <w:szCs w:val="20"/>
              </w:rPr>
              <w:t>s</w:t>
            </w:r>
          </w:p>
        </w:tc>
        <w:tc>
          <w:tcPr>
            <w:tcW w:w="4962" w:type="dxa"/>
            <w:vMerge w:val="restart"/>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Both groups had similar improvement in strength and physical function. During the follow-up period, calcinosis developed in 5 control patients and 2 study patients. The time to development of calcinosis was similar in the 2 groups.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Fewer adverse events, faster growth in height, less weight gain and a reduced risk of developing cataracts in Study Group.</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The average duration of prednisone in the study group was significantly shorter than that in the control group, and the cumulative dose of the hormone was significantly lower than that in the control group.</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The recurrence time was similar in two groups, and there was no significant difference between the two groups in response to treatment after recurrence.</w:t>
            </w:r>
          </w:p>
        </w:tc>
        <w:tc>
          <w:tcPr>
            <w:tcW w:w="2976" w:type="dxa"/>
            <w:vMerge w:val="restart"/>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Compared with hormone therapy alone, the addition of MTX in the initial treatment can significantly shorten the duration of hormone therapy, reduce the total cumulative dose of hormones and improve the therapeutic effect.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22</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Control Group—</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prednisone 2mg/kg/d, &lt;75mg/d, -10%/mon</w:t>
            </w:r>
          </w:p>
        </w:tc>
        <w:tc>
          <w:tcPr>
            <w:tcW w:w="1701" w:type="dxa"/>
            <w:vMerge w:val="continue"/>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p>
        </w:tc>
        <w:tc>
          <w:tcPr>
            <w:tcW w:w="4962" w:type="dxa"/>
            <w:vMerge w:val="continue"/>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p>
        </w:tc>
        <w:tc>
          <w:tcPr>
            <w:tcW w:w="2976" w:type="dxa"/>
            <w:vMerge w:val="continue"/>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R</w:t>
            </w:r>
            <w:r>
              <w:rPr>
                <w:rFonts w:hint="default" w:ascii="Times New Roman" w:hAnsi="Times New Roman" w:cs="Times New Roman"/>
                <w:sz w:val="20"/>
                <w:szCs w:val="20"/>
              </w:rPr>
              <w:t>ouster-</w:t>
            </w:r>
            <w:r>
              <w:rPr>
                <w:rFonts w:hint="default" w:ascii="Times New Roman" w:hAnsi="Times New Roman" w:cs="Times New Roman"/>
                <w:sz w:val="20"/>
                <w:szCs w:val="20"/>
                <w:lang w:val="en-US" w:eastAsia="zh-CN"/>
              </w:rPr>
              <w:t>S</w:t>
            </w:r>
            <w:r>
              <w:rPr>
                <w:rFonts w:hint="default" w:ascii="Times New Roman" w:hAnsi="Times New Roman" w:cs="Times New Roman"/>
                <w:sz w:val="20"/>
                <w:szCs w:val="20"/>
              </w:rPr>
              <w:t>tevens</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2010</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US" w:eastAsia="zh-CN"/>
              </w:rPr>
              <w:t>50</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Beginning：MMF20 mg/kg/d.</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IVMP (30 mg/kg/d×3d, &lt;1g/d)</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Then：</w:t>
            </w:r>
            <w:r>
              <w:rPr>
                <w:rFonts w:hint="default" w:ascii="Times New Roman" w:hAnsi="Times New Roman" w:cs="Times New Roman"/>
                <w:sz w:val="20"/>
                <w:szCs w:val="20"/>
              </w:rPr>
              <w:t>IVMP 1</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3 times </w:t>
            </w:r>
            <w:r>
              <w:rPr>
                <w:rFonts w:hint="default" w:ascii="Times New Roman" w:hAnsi="Times New Roman" w:cs="Times New Roman"/>
                <w:sz w:val="20"/>
                <w:szCs w:val="20"/>
                <w:lang w:val="en-US" w:eastAsia="zh-CN"/>
              </w:rPr>
              <w:t>/w</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eastAsia="zh-CN"/>
              </w:rPr>
              <w:t>+</w:t>
            </w:r>
            <w:r>
              <w:rPr>
                <w:rFonts w:hint="default" w:ascii="Times New Roman" w:hAnsi="Times New Roman" w:cs="Times New Roman"/>
                <w:sz w:val="20"/>
                <w:szCs w:val="20"/>
              </w:rPr>
              <w:t xml:space="preserve">prednisone , </w:t>
            </w:r>
            <w:r>
              <w:rPr>
                <w:rFonts w:hint="default" w:ascii="Times New Roman" w:hAnsi="Times New Roman" w:cs="Times New Roman"/>
                <w:sz w:val="20"/>
                <w:szCs w:val="20"/>
                <w:lang w:val="en-US" w:eastAsia="zh-CN"/>
              </w:rPr>
              <w:t>0.5</w:t>
            </w:r>
            <w:r>
              <w:rPr>
                <w:rFonts w:hint="default" w:ascii="Times New Roman" w:hAnsi="Times New Roman" w:cs="Times New Roman"/>
                <w:sz w:val="20"/>
                <w:szCs w:val="20"/>
              </w:rPr>
              <w:t>mg/kg/d</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on non-IVMP days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MTX≥15mg/m</w:t>
            </w:r>
            <w:r>
              <w:rPr>
                <w:rFonts w:hint="default" w:ascii="Times New Roman" w:hAnsi="Times New Roman" w:cs="Times New Roman"/>
                <w:sz w:val="20"/>
                <w:szCs w:val="20"/>
                <w:vertAlign w:val="superscript"/>
                <w:lang w:val="en-US" w:eastAsia="zh-CN"/>
              </w:rPr>
              <w:t>2</w:t>
            </w:r>
            <w:r>
              <w:rPr>
                <w:rFonts w:hint="default" w:ascii="Times New Roman" w:hAnsi="Times New Roman" w:cs="Times New Roman"/>
                <w:sz w:val="20"/>
                <w:szCs w:val="20"/>
                <w:lang w:val="en-US" w:eastAsia="zh-CN"/>
              </w:rPr>
              <w:t>/w</w:t>
            </w:r>
            <w:r>
              <w:rPr>
                <w:rFonts w:hint="default" w:ascii="Times New Roman" w:hAnsi="Times New Roman" w:cs="Times New Roman"/>
                <w:sz w:val="20"/>
                <w:szCs w:val="20"/>
              </w:rPr>
              <w:t xml:space="preserve"> , </w:t>
            </w:r>
            <w:r>
              <w:rPr>
                <w:rFonts w:hint="default" w:ascii="Times New Roman" w:hAnsi="Times New Roman" w:cs="Times New Roman"/>
                <w:sz w:val="20"/>
                <w:szCs w:val="20"/>
                <w:lang w:val="en-US" w:eastAsia="zh-CN"/>
              </w:rPr>
              <w:t>V</w:t>
            </w:r>
            <w:r>
              <w:rPr>
                <w:rFonts w:hint="default" w:ascii="Times New Roman" w:hAnsi="Times New Roman" w:cs="Times New Roman"/>
                <w:sz w:val="20"/>
                <w:szCs w:val="20"/>
              </w:rPr>
              <w:t>it D, folic acid</w:t>
            </w:r>
            <w:r>
              <w:rPr>
                <w:rFonts w:hint="default" w:ascii="Times New Roman" w:hAnsi="Times New Roman" w:cs="Times New Roman"/>
                <w:sz w:val="20"/>
                <w:szCs w:val="20"/>
                <w:lang w:val="en-US" w:eastAsia="zh-CN"/>
              </w:rPr>
              <w:t xml:space="preserve"> </w:t>
            </w:r>
            <w:r>
              <w:rPr>
                <w:rFonts w:hint="default" w:ascii="Times New Roman" w:hAnsi="Times New Roman" w:cs="Times New Roman"/>
                <w:sz w:val="20"/>
                <w:szCs w:val="20"/>
              </w:rPr>
              <w:t>1 gm</w:t>
            </w:r>
            <w:r>
              <w:rPr>
                <w:rFonts w:hint="default" w:ascii="Times New Roman" w:hAnsi="Times New Roman" w:cs="Times New Roman"/>
                <w:sz w:val="20"/>
                <w:szCs w:val="20"/>
                <w:lang w:val="en-US" w:eastAsia="zh-CN"/>
              </w:rPr>
              <w:t>/w</w:t>
            </w:r>
            <w:r>
              <w:rPr>
                <w:rFonts w:hint="default" w:ascii="Times New Roman" w:hAnsi="Times New Roman" w:cs="Times New Roman"/>
                <w:sz w:val="20"/>
                <w:szCs w:val="20"/>
              </w:rPr>
              <w:t xml:space="preserve">. </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rPr>
              <w:t>H</w:t>
            </w:r>
            <w:r>
              <w:rPr>
                <w:rFonts w:hint="default" w:ascii="Times New Roman" w:hAnsi="Times New Roman" w:cs="Times New Roman"/>
                <w:sz w:val="20"/>
                <w:szCs w:val="20"/>
                <w:lang w:val="en-US" w:eastAsia="zh-CN"/>
              </w:rPr>
              <w:t>CQ</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 xml:space="preserve">IVIG </w:t>
            </w:r>
            <w:r>
              <w:rPr>
                <w:rFonts w:hint="default" w:ascii="Times New Roman" w:hAnsi="Times New Roman" w:cs="Times New Roman"/>
                <w:sz w:val="20"/>
                <w:szCs w:val="20"/>
              </w:rPr>
              <w:t xml:space="preserve"> </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 xml:space="preserve">12 </w:t>
            </w:r>
            <w:r>
              <w:rPr>
                <w:rFonts w:hint="default" w:ascii="Times New Roman" w:hAnsi="Times New Roman" w:cs="Times New Roman"/>
                <w:sz w:val="20"/>
                <w:szCs w:val="20"/>
              </w:rPr>
              <w:t>mon</w:t>
            </w:r>
            <w:r>
              <w:rPr>
                <w:rFonts w:hint="eastAsia" w:ascii="Times New Roman" w:hAnsi="Times New Roman" w:cs="Times New Roman"/>
                <w:sz w:val="20"/>
                <w:szCs w:val="20"/>
                <w:lang w:val="en-US" w:eastAsia="zh-CN"/>
              </w:rPr>
              <w:t>th</w:t>
            </w:r>
            <w:r>
              <w:rPr>
                <w:rFonts w:hint="default" w:ascii="Times New Roman" w:hAnsi="Times New Roman" w:cs="Times New Roman"/>
                <w:sz w:val="20"/>
                <w:szCs w:val="20"/>
              </w:rPr>
              <w:t>s</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DAS-S was significantly lower at 6 months (P = 0.004) and further improved at 12 months (P = 0.0001). DAS-M was significantly lower at 6 months (P=0.02), but did not further change between 6 months and 12 months (P = 0.96).</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The prescribed dosage of prednisone (mg/kg/day) at MMF therapy followup at both 6 and 12 months was significantly lower than that at the start of MMF therapy.</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The patients tolerated MMF well and there were no serious adverse events attributed to MMF between onset and the followup visit.</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lang w:val="en-US" w:eastAsia="zh-CN"/>
              </w:rPr>
              <w:t>MMF appears to be worthy of consideration as an additional therapeutic modality for treatment of children with juvenile DM. These data suggest that the use of MMF decreases skin and muscle disease activity and is steroid sparing. MMF appears to be well tolerated, but patients should be monitored for infection.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Ruperto N, 2016</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139</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Beginning：IVMP (30 mg/kg/d×3d, &lt;1g/d)</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Then：</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(47) prednisone alone</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(prednisone , 2mg/kg/d)</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(46) prednisone+MTX</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(prednisone, 2mg/kg/d +MTX15–20 mg/m</w:t>
            </w:r>
            <w:r>
              <w:rPr>
                <w:rFonts w:hint="default" w:ascii="Times New Roman" w:hAnsi="Times New Roman" w:cs="Times New Roman"/>
                <w:sz w:val="20"/>
                <w:szCs w:val="20"/>
                <w:vertAlign w:val="superscript"/>
              </w:rPr>
              <w:t>2</w:t>
            </w:r>
            <w:r>
              <w:rPr>
                <w:rFonts w:hint="default" w:ascii="Times New Roman" w:hAnsi="Times New Roman" w:cs="Times New Roman"/>
                <w:sz w:val="20"/>
                <w:szCs w:val="20"/>
              </w:rPr>
              <w:t>/w)</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(46) prednisone + CYC (prednisone , 2mg/kg/d +CYC4-5mg/kg/d)</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More than 2 years</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At 6 months, 3 groups achieved a juvenile dermatomyositis PRINTO 20 improvement.</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Median time for clinical remission was 41.9 months in patients assigned to prednisone plus methotrexate but was not able to observe in the other two treatment groups.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Median time to prednisone discontinuation was 35.8 months with prednisone alone compared with 29.4–29.7 months in the combination groups.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A significantly greater proportion of patients assigned prednisone plus ciclosporin had adverse events, affecting the skin and subcutaneous tissues, gastrointestinal system, and general disorders. Infections and infestations were significantly increased in patients assigned to prednisone plus ciclosporin and prednisone plus methotrexate.</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Combined treatment with prednisone and either cyclosporin or methotrexate was more effective than prednisone alone. The safety profile and steroid-sparing effect favored the combination of prednisone plus methotrexate.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Barut,</w:t>
            </w:r>
            <w:r>
              <w:rPr>
                <w:rFonts w:hint="default" w:ascii="Times New Roman" w:hAnsi="Times New Roman" w:cs="Times New Roman"/>
                <w:sz w:val="20"/>
                <w:szCs w:val="20"/>
                <w:lang w:val="en-IN"/>
              </w:rPr>
              <w:t xml:space="preserve"> </w:t>
            </w:r>
            <w:r>
              <w:rPr>
                <w:rFonts w:hint="default" w:ascii="Times New Roman" w:hAnsi="Times New Roman" w:cs="Times New Roman"/>
                <w:sz w:val="20"/>
                <w:szCs w:val="20"/>
              </w:rPr>
              <w:t xml:space="preserve">2017 </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50</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kern w:val="0"/>
                <w:sz w:val="20"/>
                <w:szCs w:val="20"/>
              </w:rPr>
            </w:pPr>
            <w:r>
              <w:rPr>
                <w:rFonts w:hint="default" w:ascii="Times New Roman" w:hAnsi="Times New Roman" w:cs="Times New Roman"/>
                <w:sz w:val="20"/>
                <w:szCs w:val="20"/>
              </w:rPr>
              <w:t>Early stage -- GC+MTX, severe/refractory cases or GC-dependent cases-- 48% added cyclosporine, a small number of cases combined with IVIG (18%), CTX (10%) and infliximab (4%).</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The mean duration 33.9±40.6 months</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The median recovery time of muscle enzymes were 3.8±5.8 months, and the median recovery time of muscle strength was 6.7±9.3 months. Calcinosis occurred in 38% of patients and severe joint contracture in 4%.</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GC+MTX is effective in the treatment of JDM. Early diagnosis and early intensive treatment are important to reduce JDM complications.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7" w:hRule="atLeast"/>
        </w:trPr>
        <w:tc>
          <w:tcPr>
            <w:tcW w:w="959"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eastAsia" w:ascii="Times New Roman" w:hAnsi="Times New Roman" w:eastAsia="宋体" w:cs="Times New Roman"/>
                <w:sz w:val="20"/>
                <w:szCs w:val="20"/>
                <w:lang w:val="en-US" w:eastAsia="zh-CN"/>
              </w:rPr>
            </w:pPr>
            <w:r>
              <w:rPr>
                <w:rFonts w:hint="default" w:ascii="Times New Roman" w:hAnsi="Times New Roman" w:cs="Times New Roman"/>
                <w:sz w:val="20"/>
                <w:szCs w:val="20"/>
              </w:rPr>
              <w:t>Our study, 202</w:t>
            </w:r>
            <w:r>
              <w:rPr>
                <w:rFonts w:hint="eastAsia" w:ascii="Times New Roman" w:hAnsi="Times New Roman" w:cs="Times New Roman"/>
                <w:sz w:val="20"/>
                <w:szCs w:val="20"/>
                <w:lang w:val="en-US" w:eastAsia="zh-CN"/>
              </w:rPr>
              <w:t>2</w:t>
            </w:r>
          </w:p>
        </w:tc>
        <w:tc>
          <w:tcPr>
            <w:tcW w:w="709"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sz w:val="20"/>
                <w:szCs w:val="20"/>
              </w:rPr>
            </w:pPr>
            <w:r>
              <w:rPr>
                <w:rFonts w:hint="default" w:ascii="Times New Roman" w:hAnsi="Times New Roman" w:cs="Times New Roman"/>
                <w:sz w:val="20"/>
                <w:szCs w:val="20"/>
              </w:rPr>
              <w:t>12</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eastAsia" w:ascii="Times New Roman" w:hAnsi="Times New Roman" w:cs="Times New Roman"/>
                <w:sz w:val="20"/>
                <w:szCs w:val="20"/>
                <w:lang w:val="en-US" w:eastAsia="zh-CN"/>
              </w:rPr>
              <w:t>IV</w:t>
            </w:r>
            <w:r>
              <w:rPr>
                <w:rFonts w:hint="default" w:ascii="Times New Roman" w:hAnsi="Times New Roman" w:cs="Times New Roman"/>
                <w:sz w:val="20"/>
                <w:szCs w:val="20"/>
              </w:rPr>
              <w:t xml:space="preserve">MP pulse, 30mg/kg/d, ≤1000mg/d, 3 days for a round, 7-9 rounds. In the intermittent period and after </w:t>
            </w:r>
            <w:r>
              <w:rPr>
                <w:rFonts w:hint="eastAsia" w:ascii="Times New Roman" w:hAnsi="Times New Roman" w:cs="Times New Roman"/>
                <w:sz w:val="20"/>
                <w:szCs w:val="20"/>
                <w:lang w:val="en-US" w:eastAsia="zh-CN"/>
              </w:rPr>
              <w:t>IV</w:t>
            </w:r>
            <w:r>
              <w:rPr>
                <w:rFonts w:hint="default" w:ascii="Times New Roman" w:hAnsi="Times New Roman" w:cs="Times New Roman"/>
                <w:sz w:val="20"/>
                <w:szCs w:val="20"/>
              </w:rPr>
              <w:t>MP pulse，followed by oral prednisone 7.5-10 mg/d, and is reduced to stop within 24 months.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Combined application of MMF, 600mg/m</w:t>
            </w:r>
            <w:r>
              <w:rPr>
                <w:rFonts w:hint="default" w:ascii="Times New Roman" w:hAnsi="Times New Roman" w:cs="Times New Roman"/>
                <w:sz w:val="20"/>
                <w:szCs w:val="20"/>
                <w:vertAlign w:val="superscript"/>
              </w:rPr>
              <w:t>2</w:t>
            </w:r>
            <w:r>
              <w:rPr>
                <w:rFonts w:hint="default" w:ascii="Times New Roman" w:hAnsi="Times New Roman" w:cs="Times New Roman"/>
                <w:sz w:val="20"/>
                <w:szCs w:val="20"/>
              </w:rPr>
              <w:t>/d, gradually reduced to stop within 30 months.</w:t>
            </w:r>
          </w:p>
        </w:tc>
        <w:tc>
          <w:tcPr>
            <w:tcW w:w="1701"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More than 2 years</w:t>
            </w:r>
          </w:p>
        </w:tc>
        <w:tc>
          <w:tcPr>
            <w:tcW w:w="4962"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The overall response to </w:t>
            </w:r>
            <w:r>
              <w:rPr>
                <w:rFonts w:hint="eastAsia" w:ascii="Times New Roman" w:hAnsi="Times New Roman" w:cs="Times New Roman"/>
                <w:sz w:val="20"/>
                <w:szCs w:val="20"/>
                <w:lang w:val="en-US" w:eastAsia="zh-CN"/>
              </w:rPr>
              <w:t>IV</w:t>
            </w:r>
            <w:r>
              <w:rPr>
                <w:rFonts w:hint="default" w:ascii="Times New Roman" w:hAnsi="Times New Roman" w:cs="Times New Roman"/>
                <w:sz w:val="20"/>
                <w:szCs w:val="20"/>
              </w:rPr>
              <w:t>MP pulse+MMF treatment was 100%. The muscle strength and CMAS score of all patients increased significantly after treatment. The CMAS recovery time was 16.7±9.8 months and the median time was 19.6 months. The recovery time of muscle enzymes was 1.7±2.2 months and the median time was 1.8 months.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During treatment period, the patients' height percentiles did not drop, the weight percentiles were increased, the blood pressure and IOP were also transiently increased. In the maintenance stage, the height percentile was increased, and the weight percentile, blood pressure and IOP were decreased to the pre-treatment levels. The incidence of infection was 0.7</w:t>
            </w:r>
            <w:r>
              <w:rPr>
                <w:rFonts w:hint="eastAsia" w:ascii="Times New Roman" w:hAnsi="Times New Roman" w:cs="Times New Roman"/>
                <w:sz w:val="20"/>
                <w:szCs w:val="20"/>
                <w:lang w:val="en-US" w:eastAsia="zh-CN"/>
              </w:rPr>
              <w:t>7</w:t>
            </w:r>
            <w:r>
              <w:rPr>
                <w:rFonts w:hint="default" w:ascii="Times New Roman" w:hAnsi="Times New Roman" w:cs="Times New Roman"/>
                <w:sz w:val="20"/>
                <w:szCs w:val="20"/>
              </w:rPr>
              <w:t xml:space="preserve"> times/person/year. 2 cases with recurrence, no calcinosis.</w:t>
            </w:r>
          </w:p>
        </w:tc>
        <w:tc>
          <w:tcPr>
            <w:tcW w:w="2976" w:type="dxa"/>
            <w:vAlign w:val="center"/>
          </w:tcPr>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default" w:ascii="Times New Roman" w:hAnsi="Times New Roman" w:cs="Times New Roman"/>
                <w:sz w:val="20"/>
                <w:szCs w:val="20"/>
              </w:rPr>
              <w:t xml:space="preserve">In this study, </w:t>
            </w:r>
            <w:r>
              <w:rPr>
                <w:rFonts w:hint="eastAsia" w:ascii="Times New Roman" w:hAnsi="Times New Roman" w:cs="Times New Roman"/>
                <w:sz w:val="20"/>
                <w:szCs w:val="20"/>
                <w:lang w:val="en-US" w:eastAsia="zh-CN"/>
              </w:rPr>
              <w:t>IV</w:t>
            </w:r>
            <w:r>
              <w:rPr>
                <w:rFonts w:hint="default" w:ascii="Times New Roman" w:hAnsi="Times New Roman" w:cs="Times New Roman"/>
                <w:sz w:val="20"/>
                <w:szCs w:val="20"/>
              </w:rPr>
              <w:t>MP pulse combined with MMF treatment shows a positive outcome in JDM without myositis</w:t>
            </w:r>
            <w:r>
              <w:rPr>
                <w:rFonts w:hint="default" w:ascii="Times New Roman" w:hAnsi="Times New Roman" w:cs="Times New Roman"/>
                <w:sz w:val="20"/>
                <w:szCs w:val="20"/>
              </w:rPr>
              <w:noBreakHyphen/>
            </w:r>
            <w:r>
              <w:rPr>
                <w:rFonts w:hint="default" w:ascii="Times New Roman" w:hAnsi="Times New Roman" w:cs="Times New Roman"/>
                <w:sz w:val="20"/>
                <w:szCs w:val="20"/>
              </w:rPr>
              <w:t>specific antibodies.</w:t>
            </w:r>
          </w:p>
          <w:p>
            <w:pPr>
              <w:keepNext w:val="0"/>
              <w:keepLines w:val="0"/>
              <w:pageBreakBefore w:val="0"/>
              <w:widowControl w:val="0"/>
              <w:kinsoku/>
              <w:wordWrap/>
              <w:overflowPunct/>
              <w:topLinePunct w:val="0"/>
              <w:autoSpaceDE/>
              <w:autoSpaceDN/>
              <w:bidi w:val="0"/>
              <w:adjustRightInd/>
              <w:snapToGrid w:val="0"/>
              <w:jc w:val="left"/>
              <w:textAlignment w:val="auto"/>
              <w:rPr>
                <w:rFonts w:hint="default" w:ascii="Times New Roman" w:hAnsi="Times New Roman" w:cs="Times New Roman"/>
                <w:sz w:val="20"/>
                <w:szCs w:val="20"/>
              </w:rPr>
            </w:pPr>
            <w:r>
              <w:rPr>
                <w:rFonts w:hint="eastAsia" w:ascii="Times New Roman" w:hAnsi="Times New Roman" w:cs="Times New Roman"/>
                <w:sz w:val="20"/>
                <w:szCs w:val="20"/>
                <w:lang w:val="en-US" w:eastAsia="zh-CN"/>
              </w:rPr>
              <w:t>IV</w:t>
            </w:r>
            <w:r>
              <w:rPr>
                <w:rFonts w:hint="default" w:ascii="Times New Roman" w:hAnsi="Times New Roman" w:cs="Times New Roman"/>
                <w:sz w:val="20"/>
                <w:szCs w:val="20"/>
              </w:rPr>
              <w:t>MP pulse combined with MMF treatment is likely to be a promising treatment for JDM.</w:t>
            </w:r>
          </w:p>
        </w:tc>
      </w:tr>
    </w:tbl>
    <w:p>
      <w:pPr>
        <w:ind w:left="220" w:hanging="200" w:hangingChars="100"/>
        <w:jc w:val="left"/>
        <w:rPr>
          <w:rFonts w:hint="default" w:ascii="Times New Roman" w:hAnsi="Times New Roman" w:eastAsia="等线" w:cs="Times New Roman"/>
          <w:sz w:val="20"/>
          <w:szCs w:val="20"/>
          <w:lang w:val="en-US" w:eastAsia="zh-CN"/>
        </w:rPr>
      </w:pPr>
      <w:r>
        <w:rPr>
          <w:rFonts w:hint="default" w:ascii="Times New Roman" w:hAnsi="Times New Roman" w:cs="Times New Roman"/>
          <w:sz w:val="20"/>
          <w:szCs w:val="20"/>
        </w:rPr>
        <w:t xml:space="preserve"> </w:t>
      </w:r>
      <w:r>
        <w:rPr>
          <w:rFonts w:hint="default" w:ascii="Times New Roman" w:hAnsi="Times New Roman" w:eastAsia="等线" w:cs="Times New Roman"/>
          <w:sz w:val="20"/>
          <w:szCs w:val="20"/>
        </w:rPr>
        <w:t xml:space="preserve">CYC, cyclophosphamide; MTX, methotrexate; IVIG, Intravenous injection of gamma globulin; </w:t>
      </w:r>
      <w:r>
        <w:rPr>
          <w:rFonts w:hint="default" w:ascii="Times New Roman" w:hAnsi="Times New Roman" w:cs="Times New Roman"/>
          <w:sz w:val="20"/>
          <w:szCs w:val="20"/>
        </w:rPr>
        <w:t xml:space="preserve">IVMP, intravenous methylprednisolone; </w:t>
      </w:r>
      <w:r>
        <w:rPr>
          <w:rFonts w:hint="default" w:ascii="Times New Roman" w:hAnsi="Times New Roman" w:eastAsia="等线" w:cs="Times New Roman"/>
          <w:sz w:val="20"/>
          <w:szCs w:val="20"/>
        </w:rPr>
        <w:t xml:space="preserve">GC, glucocorticoid; </w:t>
      </w:r>
      <w:r>
        <w:rPr>
          <w:rFonts w:hint="default" w:ascii="Times New Roman" w:hAnsi="Times New Roman" w:cs="Times New Roman"/>
          <w:color w:val="000000"/>
          <w:sz w:val="20"/>
          <w:szCs w:val="20"/>
        </w:rPr>
        <w:t xml:space="preserve">MP, </w:t>
      </w:r>
      <w:r>
        <w:rPr>
          <w:rFonts w:hint="default" w:ascii="Times New Roman" w:hAnsi="Times New Roman" w:cs="Times New Roman"/>
          <w:sz w:val="20"/>
          <w:szCs w:val="20"/>
        </w:rPr>
        <w:t xml:space="preserve">methylprednisolone; </w:t>
      </w:r>
      <w:r>
        <w:rPr>
          <w:rFonts w:hint="default" w:ascii="Times New Roman" w:hAnsi="Times New Roman" w:cs="Times New Roman"/>
          <w:color w:val="000000"/>
          <w:sz w:val="20"/>
          <w:szCs w:val="20"/>
        </w:rPr>
        <w:t xml:space="preserve">MMF, </w:t>
      </w:r>
      <w:r>
        <w:rPr>
          <w:rFonts w:hint="default" w:ascii="Times New Roman" w:hAnsi="Times New Roman" w:cs="Times New Roman"/>
          <w:sz w:val="20"/>
          <w:szCs w:val="20"/>
        </w:rPr>
        <w:t>mycophenolate m</w:t>
      </w:r>
      <w:r>
        <w:rPr>
          <w:rFonts w:hint="default" w:ascii="Times New Roman" w:hAnsi="Times New Roman" w:eastAsia="等线" w:cs="Times New Roman"/>
          <w:sz w:val="20"/>
          <w:szCs w:val="20"/>
        </w:rPr>
        <w:t>ofetil</w:t>
      </w:r>
      <w:r>
        <w:rPr>
          <w:rFonts w:hint="default" w:ascii="Times New Roman" w:hAnsi="Times New Roman" w:eastAsia="等线" w:cs="Times New Roman"/>
          <w:sz w:val="20"/>
          <w:szCs w:val="20"/>
          <w:lang w:val="en-US" w:eastAsia="zh-CN"/>
        </w:rPr>
        <w:t xml:space="preserve">; HCQ, </w:t>
      </w:r>
      <w:r>
        <w:rPr>
          <w:rFonts w:hint="default" w:ascii="Times New Roman" w:hAnsi="Times New Roman" w:eastAsia="等线" w:cs="Times New Roman"/>
          <w:sz w:val="20"/>
          <w:szCs w:val="20"/>
        </w:rPr>
        <w:t>Hydroxychloroquine</w:t>
      </w:r>
      <w:r>
        <w:rPr>
          <w:rFonts w:hint="default" w:ascii="Times New Roman" w:hAnsi="Times New Roman" w:eastAsia="等线" w:cs="Times New Roman"/>
          <w:sz w:val="20"/>
          <w:szCs w:val="20"/>
          <w:lang w:val="en-US" w:eastAsia="zh-CN"/>
        </w:rPr>
        <w:t>.</w:t>
      </w:r>
    </w:p>
    <w:p>
      <w:pPr>
        <w:spacing w:line="480" w:lineRule="auto"/>
        <w:jc w:val="left"/>
        <w:rPr>
          <w:rFonts w:hint="default" w:ascii="Times New Roman" w:hAnsi="Times New Roman" w:cs="Times New Roman"/>
        </w:rPr>
      </w:pPr>
    </w:p>
    <w:p>
      <w:pPr>
        <w:shd w:val="clear" w:color="auto" w:fill="FFFFFF"/>
        <w:rPr>
          <w:rFonts w:hint="default" w:ascii="Times New Roman" w:hAnsi="Times New Roman" w:cs="Times New Roman"/>
        </w:rPr>
      </w:pPr>
    </w:p>
    <w:p>
      <w:pPr>
        <w:shd w:val="clear" w:color="auto" w:fill="FFFFFF"/>
        <w:rPr>
          <w:rFonts w:hint="default" w:ascii="Times New Roman" w:hAnsi="Times New Roman" w:cs="Times New Roman"/>
        </w:rPr>
      </w:pPr>
    </w:p>
    <w:p>
      <w:pPr>
        <w:shd w:val="clear" w:color="auto" w:fill="FFFFFF"/>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ADDIN EN.REFLIST </w:instrText>
      </w:r>
      <w:r>
        <w:rPr>
          <w:rFonts w:hint="default" w:ascii="Times New Roman" w:hAnsi="Times New Roman" w:cs="Times New Roman"/>
        </w:rPr>
        <w:fldChar w:fldCharType="end"/>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nion Pro">
    <w:altName w:val="Microsoft Sans Serif"/>
    <w:panose1 w:val="00000000000000000000"/>
    <w:charset w:val="00"/>
    <w:family w:val="roman"/>
    <w:pitch w:val="default"/>
    <w:sig w:usb0="00000000" w:usb1="00000000" w:usb2="00000000" w:usb3="00000000" w:csb0="0000019F" w:csb1="00000000"/>
  </w:font>
  <w:font w:name="Microsoft Sans Serif">
    <w:panose1 w:val="020B0604020202020204"/>
    <w:charset w:val="00"/>
    <w:family w:val="auto"/>
    <w:pitch w:val="default"/>
    <w:sig w:usb0="E5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xNGZjMTk2ZGI2YTJiMTE1MTUxNDA2YzQ1MDRiOWEifQ=="/>
    <w:docVar w:name="EN.InstantFormat" w:val="&lt;ENInstantFormat&gt;&lt;Enabled&gt;1&lt;/Enabled&gt;&lt;ScanUnformatted&gt;1&lt;/ScanUnformatted&gt;&lt;ScanChanges&gt;1&lt;/ScanChanges&gt;&lt;Suspended&gt;0&lt;/Suspended&gt;&lt;/ENInstantFormat&gt;"/>
    <w:docVar w:name="EN.Layout" w:val="&lt;ENLayout&gt;&lt;Style&gt;JAMA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s290wdszverieerz5pazxs90sz25f0fzwz&quot;&gt;王晶华文章&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record-ids&gt;&lt;/item&gt;&lt;/Libraries&gt;"/>
  </w:docVars>
  <w:rsids>
    <w:rsidRoot w:val="00BF2A33"/>
    <w:rsid w:val="00013278"/>
    <w:rsid w:val="0001784E"/>
    <w:rsid w:val="00020757"/>
    <w:rsid w:val="000231FB"/>
    <w:rsid w:val="000345C2"/>
    <w:rsid w:val="00034F41"/>
    <w:rsid w:val="00035ACD"/>
    <w:rsid w:val="00036A51"/>
    <w:rsid w:val="00041D06"/>
    <w:rsid w:val="00045714"/>
    <w:rsid w:val="00052D03"/>
    <w:rsid w:val="000536A4"/>
    <w:rsid w:val="00054C29"/>
    <w:rsid w:val="000574EB"/>
    <w:rsid w:val="00057F5A"/>
    <w:rsid w:val="00057F6A"/>
    <w:rsid w:val="00064462"/>
    <w:rsid w:val="00066EAF"/>
    <w:rsid w:val="000702A3"/>
    <w:rsid w:val="00070674"/>
    <w:rsid w:val="000745DC"/>
    <w:rsid w:val="00076512"/>
    <w:rsid w:val="00077694"/>
    <w:rsid w:val="00082C14"/>
    <w:rsid w:val="0008708C"/>
    <w:rsid w:val="000A076D"/>
    <w:rsid w:val="000A119B"/>
    <w:rsid w:val="000A1D36"/>
    <w:rsid w:val="000A3D3B"/>
    <w:rsid w:val="000A6CC6"/>
    <w:rsid w:val="000B4CBA"/>
    <w:rsid w:val="000B552B"/>
    <w:rsid w:val="000B6A71"/>
    <w:rsid w:val="000B7116"/>
    <w:rsid w:val="000C015A"/>
    <w:rsid w:val="000C3077"/>
    <w:rsid w:val="000C3AA7"/>
    <w:rsid w:val="000C4BDD"/>
    <w:rsid w:val="000C5183"/>
    <w:rsid w:val="000C66C9"/>
    <w:rsid w:val="000D061C"/>
    <w:rsid w:val="000D4E90"/>
    <w:rsid w:val="000E1F92"/>
    <w:rsid w:val="000E3D0B"/>
    <w:rsid w:val="000F0E7F"/>
    <w:rsid w:val="00100BF6"/>
    <w:rsid w:val="00102363"/>
    <w:rsid w:val="001032A5"/>
    <w:rsid w:val="00104418"/>
    <w:rsid w:val="00110790"/>
    <w:rsid w:val="001135CB"/>
    <w:rsid w:val="00117F40"/>
    <w:rsid w:val="001257BA"/>
    <w:rsid w:val="001259B8"/>
    <w:rsid w:val="00126EB3"/>
    <w:rsid w:val="00132496"/>
    <w:rsid w:val="00132D51"/>
    <w:rsid w:val="001375A7"/>
    <w:rsid w:val="00140C64"/>
    <w:rsid w:val="00144C97"/>
    <w:rsid w:val="00147AD8"/>
    <w:rsid w:val="00152FB7"/>
    <w:rsid w:val="001543EB"/>
    <w:rsid w:val="00154D1B"/>
    <w:rsid w:val="00157522"/>
    <w:rsid w:val="00160B42"/>
    <w:rsid w:val="0016514C"/>
    <w:rsid w:val="001666F9"/>
    <w:rsid w:val="00170C88"/>
    <w:rsid w:val="0017787A"/>
    <w:rsid w:val="00185902"/>
    <w:rsid w:val="00185C25"/>
    <w:rsid w:val="0019382E"/>
    <w:rsid w:val="001974BC"/>
    <w:rsid w:val="001A6ADD"/>
    <w:rsid w:val="001A7D45"/>
    <w:rsid w:val="001B427F"/>
    <w:rsid w:val="001B56A2"/>
    <w:rsid w:val="001B780D"/>
    <w:rsid w:val="001B7E8F"/>
    <w:rsid w:val="001C498A"/>
    <w:rsid w:val="001C5D05"/>
    <w:rsid w:val="001C6FD5"/>
    <w:rsid w:val="001C73EC"/>
    <w:rsid w:val="001D47F6"/>
    <w:rsid w:val="001D625D"/>
    <w:rsid w:val="001E170F"/>
    <w:rsid w:val="001E7D5C"/>
    <w:rsid w:val="001F28B0"/>
    <w:rsid w:val="0020093D"/>
    <w:rsid w:val="00201020"/>
    <w:rsid w:val="00210257"/>
    <w:rsid w:val="002127DB"/>
    <w:rsid w:val="00212A28"/>
    <w:rsid w:val="00220FAC"/>
    <w:rsid w:val="0022734A"/>
    <w:rsid w:val="00232144"/>
    <w:rsid w:val="00234111"/>
    <w:rsid w:val="002508A0"/>
    <w:rsid w:val="00251375"/>
    <w:rsid w:val="002533E1"/>
    <w:rsid w:val="00256D91"/>
    <w:rsid w:val="00265174"/>
    <w:rsid w:val="0027246C"/>
    <w:rsid w:val="00274A91"/>
    <w:rsid w:val="00276845"/>
    <w:rsid w:val="0028607C"/>
    <w:rsid w:val="00293F8B"/>
    <w:rsid w:val="00297437"/>
    <w:rsid w:val="002A0120"/>
    <w:rsid w:val="002A5F81"/>
    <w:rsid w:val="002A7BA1"/>
    <w:rsid w:val="002B06D1"/>
    <w:rsid w:val="002C1059"/>
    <w:rsid w:val="002C3F41"/>
    <w:rsid w:val="002C60CB"/>
    <w:rsid w:val="002D3780"/>
    <w:rsid w:val="002D6A96"/>
    <w:rsid w:val="002E1968"/>
    <w:rsid w:val="00300A1F"/>
    <w:rsid w:val="00306C87"/>
    <w:rsid w:val="003118E2"/>
    <w:rsid w:val="00316C09"/>
    <w:rsid w:val="00317292"/>
    <w:rsid w:val="0032132B"/>
    <w:rsid w:val="00323ABF"/>
    <w:rsid w:val="00323E1D"/>
    <w:rsid w:val="003246EA"/>
    <w:rsid w:val="00327872"/>
    <w:rsid w:val="00332DC6"/>
    <w:rsid w:val="00332F7B"/>
    <w:rsid w:val="003335DF"/>
    <w:rsid w:val="00334EE8"/>
    <w:rsid w:val="00337589"/>
    <w:rsid w:val="00340133"/>
    <w:rsid w:val="00340EF0"/>
    <w:rsid w:val="003457BA"/>
    <w:rsid w:val="00345ECF"/>
    <w:rsid w:val="00346AFB"/>
    <w:rsid w:val="003476A7"/>
    <w:rsid w:val="00350DED"/>
    <w:rsid w:val="00357DC7"/>
    <w:rsid w:val="00363159"/>
    <w:rsid w:val="00363546"/>
    <w:rsid w:val="00366677"/>
    <w:rsid w:val="00374646"/>
    <w:rsid w:val="00376BDE"/>
    <w:rsid w:val="00380777"/>
    <w:rsid w:val="00381DE4"/>
    <w:rsid w:val="00382865"/>
    <w:rsid w:val="00384016"/>
    <w:rsid w:val="00395465"/>
    <w:rsid w:val="003A1AFE"/>
    <w:rsid w:val="003A5AEC"/>
    <w:rsid w:val="003A65B5"/>
    <w:rsid w:val="003A7A57"/>
    <w:rsid w:val="003A7FC6"/>
    <w:rsid w:val="003B1117"/>
    <w:rsid w:val="003B2ADB"/>
    <w:rsid w:val="003B63AE"/>
    <w:rsid w:val="003C11F4"/>
    <w:rsid w:val="003C5A39"/>
    <w:rsid w:val="003C73AE"/>
    <w:rsid w:val="003D2269"/>
    <w:rsid w:val="003D4DB4"/>
    <w:rsid w:val="003D6AD5"/>
    <w:rsid w:val="003D7FB1"/>
    <w:rsid w:val="003E3863"/>
    <w:rsid w:val="003E606D"/>
    <w:rsid w:val="003F10B8"/>
    <w:rsid w:val="003F63D4"/>
    <w:rsid w:val="003F7737"/>
    <w:rsid w:val="00401379"/>
    <w:rsid w:val="0040198A"/>
    <w:rsid w:val="00404252"/>
    <w:rsid w:val="00404EBA"/>
    <w:rsid w:val="00407F03"/>
    <w:rsid w:val="00414767"/>
    <w:rsid w:val="0042049B"/>
    <w:rsid w:val="0042092B"/>
    <w:rsid w:val="0042282F"/>
    <w:rsid w:val="00422D8E"/>
    <w:rsid w:val="00426132"/>
    <w:rsid w:val="0042797D"/>
    <w:rsid w:val="00431DF6"/>
    <w:rsid w:val="0043768C"/>
    <w:rsid w:val="00445055"/>
    <w:rsid w:val="004523E1"/>
    <w:rsid w:val="004537DF"/>
    <w:rsid w:val="0045658F"/>
    <w:rsid w:val="00473DC2"/>
    <w:rsid w:val="00480480"/>
    <w:rsid w:val="00487954"/>
    <w:rsid w:val="004A0B56"/>
    <w:rsid w:val="004A0BC8"/>
    <w:rsid w:val="004A4A2D"/>
    <w:rsid w:val="004A6630"/>
    <w:rsid w:val="004A7201"/>
    <w:rsid w:val="004B11EA"/>
    <w:rsid w:val="004B3401"/>
    <w:rsid w:val="004B58A2"/>
    <w:rsid w:val="004B63F3"/>
    <w:rsid w:val="004B63F8"/>
    <w:rsid w:val="004C2C66"/>
    <w:rsid w:val="004D18BF"/>
    <w:rsid w:val="004D67DF"/>
    <w:rsid w:val="004F0E6A"/>
    <w:rsid w:val="004F112A"/>
    <w:rsid w:val="00500039"/>
    <w:rsid w:val="00500B93"/>
    <w:rsid w:val="00503922"/>
    <w:rsid w:val="0050596B"/>
    <w:rsid w:val="00505AA4"/>
    <w:rsid w:val="00510D36"/>
    <w:rsid w:val="00512E4A"/>
    <w:rsid w:val="00513DBD"/>
    <w:rsid w:val="005145CC"/>
    <w:rsid w:val="00515C14"/>
    <w:rsid w:val="005164FC"/>
    <w:rsid w:val="00526AD9"/>
    <w:rsid w:val="0052715A"/>
    <w:rsid w:val="005274E4"/>
    <w:rsid w:val="00530F3E"/>
    <w:rsid w:val="005318FC"/>
    <w:rsid w:val="00532AFB"/>
    <w:rsid w:val="00535E08"/>
    <w:rsid w:val="00546F3A"/>
    <w:rsid w:val="0055068E"/>
    <w:rsid w:val="00556DE8"/>
    <w:rsid w:val="005711C6"/>
    <w:rsid w:val="00571503"/>
    <w:rsid w:val="00574609"/>
    <w:rsid w:val="005819BC"/>
    <w:rsid w:val="0058480E"/>
    <w:rsid w:val="00584EC4"/>
    <w:rsid w:val="00585E63"/>
    <w:rsid w:val="005950EE"/>
    <w:rsid w:val="00595B6D"/>
    <w:rsid w:val="00596512"/>
    <w:rsid w:val="005970F3"/>
    <w:rsid w:val="005A7C99"/>
    <w:rsid w:val="005B2867"/>
    <w:rsid w:val="005B40B1"/>
    <w:rsid w:val="005C092E"/>
    <w:rsid w:val="005C793A"/>
    <w:rsid w:val="005D54F0"/>
    <w:rsid w:val="005D6A02"/>
    <w:rsid w:val="005E27DA"/>
    <w:rsid w:val="005F347A"/>
    <w:rsid w:val="005F368B"/>
    <w:rsid w:val="00600A6B"/>
    <w:rsid w:val="00601D73"/>
    <w:rsid w:val="00620C08"/>
    <w:rsid w:val="00622E65"/>
    <w:rsid w:val="006240ED"/>
    <w:rsid w:val="0062483E"/>
    <w:rsid w:val="006261B1"/>
    <w:rsid w:val="00627728"/>
    <w:rsid w:val="006327DC"/>
    <w:rsid w:val="00634537"/>
    <w:rsid w:val="00634AB0"/>
    <w:rsid w:val="00634C7A"/>
    <w:rsid w:val="006509B1"/>
    <w:rsid w:val="0065336F"/>
    <w:rsid w:val="00654066"/>
    <w:rsid w:val="00654641"/>
    <w:rsid w:val="00657CB2"/>
    <w:rsid w:val="006617B0"/>
    <w:rsid w:val="00665D0D"/>
    <w:rsid w:val="00670FE7"/>
    <w:rsid w:val="0067195A"/>
    <w:rsid w:val="00671D53"/>
    <w:rsid w:val="00673156"/>
    <w:rsid w:val="006756C1"/>
    <w:rsid w:val="00677403"/>
    <w:rsid w:val="0068041B"/>
    <w:rsid w:val="00681D58"/>
    <w:rsid w:val="00681FAA"/>
    <w:rsid w:val="006826CF"/>
    <w:rsid w:val="00686519"/>
    <w:rsid w:val="006A03FF"/>
    <w:rsid w:val="006A5973"/>
    <w:rsid w:val="006A6C25"/>
    <w:rsid w:val="006A7D1C"/>
    <w:rsid w:val="006B1196"/>
    <w:rsid w:val="006B120C"/>
    <w:rsid w:val="006B529C"/>
    <w:rsid w:val="006B58DF"/>
    <w:rsid w:val="006C244E"/>
    <w:rsid w:val="006C29D2"/>
    <w:rsid w:val="006C7CD3"/>
    <w:rsid w:val="006D6A66"/>
    <w:rsid w:val="006E0E5E"/>
    <w:rsid w:val="006E1F0F"/>
    <w:rsid w:val="006E3434"/>
    <w:rsid w:val="006E49A7"/>
    <w:rsid w:val="006F0B6F"/>
    <w:rsid w:val="006F260E"/>
    <w:rsid w:val="006F3844"/>
    <w:rsid w:val="00705C82"/>
    <w:rsid w:val="0070687E"/>
    <w:rsid w:val="00707A88"/>
    <w:rsid w:val="00711B91"/>
    <w:rsid w:val="00712722"/>
    <w:rsid w:val="0071769F"/>
    <w:rsid w:val="007215EB"/>
    <w:rsid w:val="00723573"/>
    <w:rsid w:val="00723DD1"/>
    <w:rsid w:val="0072470D"/>
    <w:rsid w:val="00724AE6"/>
    <w:rsid w:val="007318D4"/>
    <w:rsid w:val="00731C2E"/>
    <w:rsid w:val="00735003"/>
    <w:rsid w:val="00751650"/>
    <w:rsid w:val="00752E06"/>
    <w:rsid w:val="00752E50"/>
    <w:rsid w:val="00763707"/>
    <w:rsid w:val="00763736"/>
    <w:rsid w:val="00767722"/>
    <w:rsid w:val="00772279"/>
    <w:rsid w:val="00772A1A"/>
    <w:rsid w:val="00775140"/>
    <w:rsid w:val="007767FD"/>
    <w:rsid w:val="00776916"/>
    <w:rsid w:val="00776B43"/>
    <w:rsid w:val="007845E8"/>
    <w:rsid w:val="00787782"/>
    <w:rsid w:val="00787FEA"/>
    <w:rsid w:val="00793934"/>
    <w:rsid w:val="00796A42"/>
    <w:rsid w:val="007A5D60"/>
    <w:rsid w:val="007A79DA"/>
    <w:rsid w:val="007B26FF"/>
    <w:rsid w:val="007B53C8"/>
    <w:rsid w:val="007D4628"/>
    <w:rsid w:val="007D5607"/>
    <w:rsid w:val="007E132E"/>
    <w:rsid w:val="007E3374"/>
    <w:rsid w:val="007F06F7"/>
    <w:rsid w:val="007F0B5A"/>
    <w:rsid w:val="007F61C6"/>
    <w:rsid w:val="00800D3B"/>
    <w:rsid w:val="00802B69"/>
    <w:rsid w:val="00807B10"/>
    <w:rsid w:val="00811543"/>
    <w:rsid w:val="008115F7"/>
    <w:rsid w:val="00811CE6"/>
    <w:rsid w:val="008179E4"/>
    <w:rsid w:val="00822276"/>
    <w:rsid w:val="00823492"/>
    <w:rsid w:val="00825C38"/>
    <w:rsid w:val="00826E11"/>
    <w:rsid w:val="00827307"/>
    <w:rsid w:val="00830041"/>
    <w:rsid w:val="00830067"/>
    <w:rsid w:val="008313AB"/>
    <w:rsid w:val="00832C2C"/>
    <w:rsid w:val="008376C0"/>
    <w:rsid w:val="00840DDD"/>
    <w:rsid w:val="00841B0C"/>
    <w:rsid w:val="0084594E"/>
    <w:rsid w:val="00855584"/>
    <w:rsid w:val="00864F9C"/>
    <w:rsid w:val="00866523"/>
    <w:rsid w:val="00867786"/>
    <w:rsid w:val="00873CA3"/>
    <w:rsid w:val="00880636"/>
    <w:rsid w:val="00895DE1"/>
    <w:rsid w:val="008A026A"/>
    <w:rsid w:val="008A0B7D"/>
    <w:rsid w:val="008A2158"/>
    <w:rsid w:val="008A260B"/>
    <w:rsid w:val="008A3E4E"/>
    <w:rsid w:val="008A5413"/>
    <w:rsid w:val="008A5CE2"/>
    <w:rsid w:val="008A7D2B"/>
    <w:rsid w:val="008C2B77"/>
    <w:rsid w:val="008C4028"/>
    <w:rsid w:val="008D25DD"/>
    <w:rsid w:val="008D279E"/>
    <w:rsid w:val="008D34E8"/>
    <w:rsid w:val="008D369D"/>
    <w:rsid w:val="008D462F"/>
    <w:rsid w:val="008D5599"/>
    <w:rsid w:val="008D641C"/>
    <w:rsid w:val="008D6C5C"/>
    <w:rsid w:val="008D7507"/>
    <w:rsid w:val="008D7B60"/>
    <w:rsid w:val="008E2AA8"/>
    <w:rsid w:val="008E2F75"/>
    <w:rsid w:val="008F0C14"/>
    <w:rsid w:val="008F190E"/>
    <w:rsid w:val="008F5A23"/>
    <w:rsid w:val="008F5F27"/>
    <w:rsid w:val="009018C7"/>
    <w:rsid w:val="0090384B"/>
    <w:rsid w:val="00904D9F"/>
    <w:rsid w:val="00912ECF"/>
    <w:rsid w:val="00914F0D"/>
    <w:rsid w:val="00915957"/>
    <w:rsid w:val="009201CD"/>
    <w:rsid w:val="009235CB"/>
    <w:rsid w:val="00923CAB"/>
    <w:rsid w:val="009241FE"/>
    <w:rsid w:val="0092561E"/>
    <w:rsid w:val="0092794D"/>
    <w:rsid w:val="00931E35"/>
    <w:rsid w:val="00935D80"/>
    <w:rsid w:val="00941B24"/>
    <w:rsid w:val="00942EB1"/>
    <w:rsid w:val="00943723"/>
    <w:rsid w:val="009456AA"/>
    <w:rsid w:val="00945ACA"/>
    <w:rsid w:val="00945FEE"/>
    <w:rsid w:val="00954564"/>
    <w:rsid w:val="00955412"/>
    <w:rsid w:val="00955D08"/>
    <w:rsid w:val="009566F2"/>
    <w:rsid w:val="00961ADA"/>
    <w:rsid w:val="0096358A"/>
    <w:rsid w:val="009760A1"/>
    <w:rsid w:val="009818FE"/>
    <w:rsid w:val="0098238B"/>
    <w:rsid w:val="009870BA"/>
    <w:rsid w:val="00987675"/>
    <w:rsid w:val="009879B5"/>
    <w:rsid w:val="009903D1"/>
    <w:rsid w:val="00994005"/>
    <w:rsid w:val="00994544"/>
    <w:rsid w:val="009946DB"/>
    <w:rsid w:val="009968D4"/>
    <w:rsid w:val="00996EA9"/>
    <w:rsid w:val="00996F58"/>
    <w:rsid w:val="009A2BC8"/>
    <w:rsid w:val="009A4B95"/>
    <w:rsid w:val="009B49A1"/>
    <w:rsid w:val="009B770A"/>
    <w:rsid w:val="009C09B4"/>
    <w:rsid w:val="009C1676"/>
    <w:rsid w:val="009C5454"/>
    <w:rsid w:val="009C5C6A"/>
    <w:rsid w:val="009C7A2F"/>
    <w:rsid w:val="009D235A"/>
    <w:rsid w:val="009D4ACD"/>
    <w:rsid w:val="009E0CC7"/>
    <w:rsid w:val="009E1E70"/>
    <w:rsid w:val="009E665B"/>
    <w:rsid w:val="009E6942"/>
    <w:rsid w:val="009F3384"/>
    <w:rsid w:val="009F70B2"/>
    <w:rsid w:val="00A02203"/>
    <w:rsid w:val="00A02A6A"/>
    <w:rsid w:val="00A06BD4"/>
    <w:rsid w:val="00A10E75"/>
    <w:rsid w:val="00A115C0"/>
    <w:rsid w:val="00A21B39"/>
    <w:rsid w:val="00A24CA2"/>
    <w:rsid w:val="00A25768"/>
    <w:rsid w:val="00A30DBE"/>
    <w:rsid w:val="00A33B3A"/>
    <w:rsid w:val="00A36E60"/>
    <w:rsid w:val="00A374F5"/>
    <w:rsid w:val="00A40886"/>
    <w:rsid w:val="00A40DFB"/>
    <w:rsid w:val="00A440CF"/>
    <w:rsid w:val="00A467E8"/>
    <w:rsid w:val="00A51A3F"/>
    <w:rsid w:val="00A51C69"/>
    <w:rsid w:val="00A5206B"/>
    <w:rsid w:val="00A54443"/>
    <w:rsid w:val="00A62FEE"/>
    <w:rsid w:val="00A654F0"/>
    <w:rsid w:val="00A74F0D"/>
    <w:rsid w:val="00A76EC2"/>
    <w:rsid w:val="00A80478"/>
    <w:rsid w:val="00A80B81"/>
    <w:rsid w:val="00A8158A"/>
    <w:rsid w:val="00A821EC"/>
    <w:rsid w:val="00A8507C"/>
    <w:rsid w:val="00A967A8"/>
    <w:rsid w:val="00A97D1F"/>
    <w:rsid w:val="00AA2390"/>
    <w:rsid w:val="00AA3F3E"/>
    <w:rsid w:val="00AA57FB"/>
    <w:rsid w:val="00AB21D5"/>
    <w:rsid w:val="00AB4D48"/>
    <w:rsid w:val="00AB6310"/>
    <w:rsid w:val="00AC5105"/>
    <w:rsid w:val="00AD17E2"/>
    <w:rsid w:val="00AD46F5"/>
    <w:rsid w:val="00AE12D1"/>
    <w:rsid w:val="00AE655D"/>
    <w:rsid w:val="00AF03FF"/>
    <w:rsid w:val="00AF0D04"/>
    <w:rsid w:val="00AF3545"/>
    <w:rsid w:val="00AF6947"/>
    <w:rsid w:val="00AF7C6C"/>
    <w:rsid w:val="00B0035C"/>
    <w:rsid w:val="00B07980"/>
    <w:rsid w:val="00B11887"/>
    <w:rsid w:val="00B1668E"/>
    <w:rsid w:val="00B20CE8"/>
    <w:rsid w:val="00B22AAB"/>
    <w:rsid w:val="00B257FA"/>
    <w:rsid w:val="00B25DD5"/>
    <w:rsid w:val="00B30C3C"/>
    <w:rsid w:val="00B32025"/>
    <w:rsid w:val="00B351E6"/>
    <w:rsid w:val="00B367AF"/>
    <w:rsid w:val="00B40A79"/>
    <w:rsid w:val="00B43884"/>
    <w:rsid w:val="00B43D59"/>
    <w:rsid w:val="00B458E2"/>
    <w:rsid w:val="00B4607E"/>
    <w:rsid w:val="00B47652"/>
    <w:rsid w:val="00B56FA1"/>
    <w:rsid w:val="00B62814"/>
    <w:rsid w:val="00B62A39"/>
    <w:rsid w:val="00B6369A"/>
    <w:rsid w:val="00B652B8"/>
    <w:rsid w:val="00B77AEA"/>
    <w:rsid w:val="00B77D18"/>
    <w:rsid w:val="00B8210C"/>
    <w:rsid w:val="00B95842"/>
    <w:rsid w:val="00B961E5"/>
    <w:rsid w:val="00B96800"/>
    <w:rsid w:val="00B97BF3"/>
    <w:rsid w:val="00BA1E48"/>
    <w:rsid w:val="00BA69CC"/>
    <w:rsid w:val="00BB0509"/>
    <w:rsid w:val="00BB0BB4"/>
    <w:rsid w:val="00BB1189"/>
    <w:rsid w:val="00BB7138"/>
    <w:rsid w:val="00BC00FF"/>
    <w:rsid w:val="00BC4C76"/>
    <w:rsid w:val="00BD1C7C"/>
    <w:rsid w:val="00BD6D35"/>
    <w:rsid w:val="00BE234C"/>
    <w:rsid w:val="00BE40E9"/>
    <w:rsid w:val="00BE4ED7"/>
    <w:rsid w:val="00BE5FF5"/>
    <w:rsid w:val="00BF0E5D"/>
    <w:rsid w:val="00BF2A33"/>
    <w:rsid w:val="00BF3FF9"/>
    <w:rsid w:val="00BF5917"/>
    <w:rsid w:val="00C017A8"/>
    <w:rsid w:val="00C13D79"/>
    <w:rsid w:val="00C173CF"/>
    <w:rsid w:val="00C26031"/>
    <w:rsid w:val="00C270F2"/>
    <w:rsid w:val="00C27FE0"/>
    <w:rsid w:val="00C32000"/>
    <w:rsid w:val="00C365D3"/>
    <w:rsid w:val="00C42433"/>
    <w:rsid w:val="00C445A4"/>
    <w:rsid w:val="00C47CC4"/>
    <w:rsid w:val="00C47FEB"/>
    <w:rsid w:val="00C62860"/>
    <w:rsid w:val="00C661B5"/>
    <w:rsid w:val="00C7138E"/>
    <w:rsid w:val="00C73B12"/>
    <w:rsid w:val="00C851C0"/>
    <w:rsid w:val="00C854BC"/>
    <w:rsid w:val="00C90E31"/>
    <w:rsid w:val="00C9128A"/>
    <w:rsid w:val="00C93155"/>
    <w:rsid w:val="00CA44B5"/>
    <w:rsid w:val="00CA493A"/>
    <w:rsid w:val="00CA6B87"/>
    <w:rsid w:val="00CA6EDC"/>
    <w:rsid w:val="00CB24EC"/>
    <w:rsid w:val="00CB3FFC"/>
    <w:rsid w:val="00CB44CE"/>
    <w:rsid w:val="00CC5EC5"/>
    <w:rsid w:val="00CC70A4"/>
    <w:rsid w:val="00CC7377"/>
    <w:rsid w:val="00CD1521"/>
    <w:rsid w:val="00CD2FA2"/>
    <w:rsid w:val="00CD501F"/>
    <w:rsid w:val="00CD6868"/>
    <w:rsid w:val="00CE2306"/>
    <w:rsid w:val="00CE4FD9"/>
    <w:rsid w:val="00CE5222"/>
    <w:rsid w:val="00CE6F4F"/>
    <w:rsid w:val="00CF095C"/>
    <w:rsid w:val="00CF546C"/>
    <w:rsid w:val="00D11613"/>
    <w:rsid w:val="00D14392"/>
    <w:rsid w:val="00D210D1"/>
    <w:rsid w:val="00D22088"/>
    <w:rsid w:val="00D26C45"/>
    <w:rsid w:val="00D273EC"/>
    <w:rsid w:val="00D33CDE"/>
    <w:rsid w:val="00D3408C"/>
    <w:rsid w:val="00D35677"/>
    <w:rsid w:val="00D37036"/>
    <w:rsid w:val="00D37D4A"/>
    <w:rsid w:val="00D437A3"/>
    <w:rsid w:val="00D47CE2"/>
    <w:rsid w:val="00D66425"/>
    <w:rsid w:val="00D74525"/>
    <w:rsid w:val="00D75985"/>
    <w:rsid w:val="00D76564"/>
    <w:rsid w:val="00D76927"/>
    <w:rsid w:val="00D812C9"/>
    <w:rsid w:val="00D82182"/>
    <w:rsid w:val="00D8257B"/>
    <w:rsid w:val="00D82FF3"/>
    <w:rsid w:val="00D84E62"/>
    <w:rsid w:val="00D86562"/>
    <w:rsid w:val="00D950BC"/>
    <w:rsid w:val="00D95D5A"/>
    <w:rsid w:val="00DA424B"/>
    <w:rsid w:val="00DA5C74"/>
    <w:rsid w:val="00DA5CB1"/>
    <w:rsid w:val="00DA66BF"/>
    <w:rsid w:val="00DA6858"/>
    <w:rsid w:val="00DA76C9"/>
    <w:rsid w:val="00DB0C38"/>
    <w:rsid w:val="00DB220D"/>
    <w:rsid w:val="00DC0011"/>
    <w:rsid w:val="00DC033A"/>
    <w:rsid w:val="00DC1EE0"/>
    <w:rsid w:val="00DC1F30"/>
    <w:rsid w:val="00DC2C5C"/>
    <w:rsid w:val="00DC2E63"/>
    <w:rsid w:val="00DD3A7A"/>
    <w:rsid w:val="00DD75CF"/>
    <w:rsid w:val="00DE0A2D"/>
    <w:rsid w:val="00DE3AF9"/>
    <w:rsid w:val="00DE407F"/>
    <w:rsid w:val="00DE4D29"/>
    <w:rsid w:val="00DE7AE3"/>
    <w:rsid w:val="00DF05D5"/>
    <w:rsid w:val="00DF3002"/>
    <w:rsid w:val="00DF4E23"/>
    <w:rsid w:val="00DF6007"/>
    <w:rsid w:val="00E010B5"/>
    <w:rsid w:val="00E05013"/>
    <w:rsid w:val="00E062CB"/>
    <w:rsid w:val="00E0678E"/>
    <w:rsid w:val="00E07567"/>
    <w:rsid w:val="00E10363"/>
    <w:rsid w:val="00E1497A"/>
    <w:rsid w:val="00E1730E"/>
    <w:rsid w:val="00E175A9"/>
    <w:rsid w:val="00E2022F"/>
    <w:rsid w:val="00E20C02"/>
    <w:rsid w:val="00E23ECF"/>
    <w:rsid w:val="00E31EE7"/>
    <w:rsid w:val="00E356DB"/>
    <w:rsid w:val="00E36C0A"/>
    <w:rsid w:val="00E4163E"/>
    <w:rsid w:val="00E526CA"/>
    <w:rsid w:val="00E550FF"/>
    <w:rsid w:val="00E57C95"/>
    <w:rsid w:val="00E73354"/>
    <w:rsid w:val="00E75C54"/>
    <w:rsid w:val="00E80D09"/>
    <w:rsid w:val="00E81305"/>
    <w:rsid w:val="00E94C45"/>
    <w:rsid w:val="00EA1A8E"/>
    <w:rsid w:val="00EA4047"/>
    <w:rsid w:val="00EA5F63"/>
    <w:rsid w:val="00EA7F0D"/>
    <w:rsid w:val="00EB087A"/>
    <w:rsid w:val="00EB1852"/>
    <w:rsid w:val="00EB2824"/>
    <w:rsid w:val="00EB38F6"/>
    <w:rsid w:val="00EB5533"/>
    <w:rsid w:val="00EB56E9"/>
    <w:rsid w:val="00EB70FE"/>
    <w:rsid w:val="00EC4C0C"/>
    <w:rsid w:val="00EC5A9C"/>
    <w:rsid w:val="00EC5DC1"/>
    <w:rsid w:val="00EC6926"/>
    <w:rsid w:val="00ED2BDC"/>
    <w:rsid w:val="00ED2FFA"/>
    <w:rsid w:val="00ED720D"/>
    <w:rsid w:val="00EE19A9"/>
    <w:rsid w:val="00EE2290"/>
    <w:rsid w:val="00EE336B"/>
    <w:rsid w:val="00EE3EB7"/>
    <w:rsid w:val="00EE4037"/>
    <w:rsid w:val="00EE6050"/>
    <w:rsid w:val="00EF3DCF"/>
    <w:rsid w:val="00EF553A"/>
    <w:rsid w:val="00EF58D9"/>
    <w:rsid w:val="00F016B1"/>
    <w:rsid w:val="00F0743C"/>
    <w:rsid w:val="00F1177E"/>
    <w:rsid w:val="00F13B38"/>
    <w:rsid w:val="00F145FE"/>
    <w:rsid w:val="00F17EAB"/>
    <w:rsid w:val="00F20291"/>
    <w:rsid w:val="00F22173"/>
    <w:rsid w:val="00F2295F"/>
    <w:rsid w:val="00F241CF"/>
    <w:rsid w:val="00F338BB"/>
    <w:rsid w:val="00F35747"/>
    <w:rsid w:val="00F4717F"/>
    <w:rsid w:val="00F507A2"/>
    <w:rsid w:val="00F5113D"/>
    <w:rsid w:val="00F5331B"/>
    <w:rsid w:val="00F54DA0"/>
    <w:rsid w:val="00F64588"/>
    <w:rsid w:val="00F64A1E"/>
    <w:rsid w:val="00F6528E"/>
    <w:rsid w:val="00F72764"/>
    <w:rsid w:val="00F72EE5"/>
    <w:rsid w:val="00F73AF8"/>
    <w:rsid w:val="00F751E3"/>
    <w:rsid w:val="00F80AEE"/>
    <w:rsid w:val="00F82FEA"/>
    <w:rsid w:val="00F8314E"/>
    <w:rsid w:val="00F83691"/>
    <w:rsid w:val="00F84ECA"/>
    <w:rsid w:val="00F86321"/>
    <w:rsid w:val="00FA0C44"/>
    <w:rsid w:val="00FA2BF2"/>
    <w:rsid w:val="00FA6BB2"/>
    <w:rsid w:val="00FB49B1"/>
    <w:rsid w:val="00FB57E0"/>
    <w:rsid w:val="00FB5F8A"/>
    <w:rsid w:val="00FB7D99"/>
    <w:rsid w:val="00FC207A"/>
    <w:rsid w:val="00FC2FD8"/>
    <w:rsid w:val="00FC4928"/>
    <w:rsid w:val="00FD1B44"/>
    <w:rsid w:val="00FD6914"/>
    <w:rsid w:val="00FD7018"/>
    <w:rsid w:val="00FE40E5"/>
    <w:rsid w:val="00FE5AD3"/>
    <w:rsid w:val="00FF2DD5"/>
    <w:rsid w:val="00FF4973"/>
    <w:rsid w:val="00FF610E"/>
    <w:rsid w:val="00FF6ECA"/>
    <w:rsid w:val="01E25F75"/>
    <w:rsid w:val="0229745B"/>
    <w:rsid w:val="06441112"/>
    <w:rsid w:val="0D854689"/>
    <w:rsid w:val="0DBE187B"/>
    <w:rsid w:val="0FD47DE9"/>
    <w:rsid w:val="1B2A7EEB"/>
    <w:rsid w:val="251E4A2D"/>
    <w:rsid w:val="2B2E5409"/>
    <w:rsid w:val="2F0126D9"/>
    <w:rsid w:val="30316B89"/>
    <w:rsid w:val="34356A0E"/>
    <w:rsid w:val="38312821"/>
    <w:rsid w:val="3A9C15D0"/>
    <w:rsid w:val="415F2748"/>
    <w:rsid w:val="41FD1517"/>
    <w:rsid w:val="43184736"/>
    <w:rsid w:val="45E7624E"/>
    <w:rsid w:val="474A4C9D"/>
    <w:rsid w:val="474B4B95"/>
    <w:rsid w:val="4C4E3392"/>
    <w:rsid w:val="5429734E"/>
    <w:rsid w:val="57A52B56"/>
    <w:rsid w:val="5F25098A"/>
    <w:rsid w:val="5F9D7F05"/>
    <w:rsid w:val="610E08A2"/>
    <w:rsid w:val="63773EAE"/>
    <w:rsid w:val="6B177193"/>
    <w:rsid w:val="6CE54F82"/>
    <w:rsid w:val="7462290C"/>
    <w:rsid w:val="74FD25B7"/>
    <w:rsid w:val="774A60CC"/>
    <w:rsid w:val="7E862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qFormat/>
    <w:uiPriority w:val="0"/>
    <w:pPr>
      <w:jc w:val="left"/>
    </w:pPr>
  </w:style>
  <w:style w:type="paragraph" w:styleId="5">
    <w:name w:val="Balloon Text"/>
    <w:basedOn w:val="1"/>
    <w:link w:val="2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ahoma" w:cs="宋体"/>
      <w:kern w:val="0"/>
      <w:sz w:val="24"/>
    </w:rPr>
  </w:style>
  <w:style w:type="paragraph" w:styleId="9">
    <w:name w:val="Normal (Web)"/>
    <w:basedOn w:val="1"/>
    <w:qFormat/>
    <w:uiPriority w:val="99"/>
    <w:pPr>
      <w:spacing w:before="100" w:beforeAutospacing="1" w:after="100" w:afterAutospacing="1"/>
      <w:jc w:val="left"/>
    </w:pPr>
    <w:rPr>
      <w:kern w:val="0"/>
      <w:sz w:val="24"/>
    </w:rPr>
  </w:style>
  <w:style w:type="paragraph" w:styleId="10">
    <w:name w:val="annotation subject"/>
    <w:basedOn w:val="4"/>
    <w:next w:val="4"/>
    <w:link w:val="22"/>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qFormat/>
    <w:uiPriority w:val="99"/>
    <w:rPr>
      <w:color w:val="00905A"/>
      <w:u w:val="none"/>
    </w:rPr>
  </w:style>
  <w:style w:type="character" w:styleId="15">
    <w:name w:val="annotation reference"/>
    <w:qFormat/>
    <w:uiPriority w:val="0"/>
    <w:rPr>
      <w:sz w:val="21"/>
      <w:szCs w:val="21"/>
    </w:rPr>
  </w:style>
  <w:style w:type="paragraph" w:customStyle="1" w:styleId="16">
    <w:name w:val="Default"/>
    <w:qFormat/>
    <w:uiPriority w:val="0"/>
    <w:pPr>
      <w:widowControl w:val="0"/>
      <w:autoSpaceDE w:val="0"/>
      <w:autoSpaceDN w:val="0"/>
      <w:adjustRightInd w:val="0"/>
    </w:pPr>
    <w:rPr>
      <w:rFonts w:ascii="Minion Pro" w:hAnsi="Calibri" w:eastAsia="Minion Pro" w:cs="Minion Pro"/>
      <w:color w:val="000000"/>
      <w:sz w:val="24"/>
      <w:szCs w:val="24"/>
      <w:lang w:val="en-US" w:eastAsia="zh-CN" w:bidi="ar-SA"/>
    </w:rPr>
  </w:style>
  <w:style w:type="paragraph" w:customStyle="1" w:styleId="17">
    <w:name w:val="_Style 16"/>
    <w:unhideWhenUsed/>
    <w:qFormat/>
    <w:uiPriority w:val="99"/>
    <w:rPr>
      <w:rFonts w:ascii="Calibri" w:hAnsi="Calibri" w:eastAsia="宋体" w:cs="Times New Roman"/>
      <w:kern w:val="2"/>
      <w:sz w:val="21"/>
      <w:szCs w:val="24"/>
      <w:lang w:val="en-US" w:eastAsia="zh-CN" w:bidi="ar-SA"/>
    </w:rPr>
  </w:style>
  <w:style w:type="paragraph" w:customStyle="1" w:styleId="18">
    <w:name w:val="EndNote Bibliography Title"/>
    <w:basedOn w:val="1"/>
    <w:link w:val="27"/>
    <w:qFormat/>
    <w:uiPriority w:val="0"/>
    <w:pPr>
      <w:jc w:val="center"/>
    </w:pPr>
    <w:rPr>
      <w:rFonts w:ascii="Times New Roman" w:hAnsi="Times New Roman"/>
      <w:sz w:val="22"/>
    </w:rPr>
  </w:style>
  <w:style w:type="paragraph" w:customStyle="1" w:styleId="19">
    <w:name w:val="EndNote Bibliography"/>
    <w:basedOn w:val="1"/>
    <w:link w:val="28"/>
    <w:qFormat/>
    <w:uiPriority w:val="0"/>
    <w:rPr>
      <w:rFonts w:ascii="Times New Roman" w:hAnsi="Times New Roman"/>
      <w:sz w:val="22"/>
    </w:rPr>
  </w:style>
  <w:style w:type="character" w:customStyle="1" w:styleId="20">
    <w:name w:val="标题 1 字符"/>
    <w:link w:val="2"/>
    <w:qFormat/>
    <w:uiPriority w:val="0"/>
    <w:rPr>
      <w:b/>
      <w:bCs/>
      <w:kern w:val="44"/>
      <w:sz w:val="44"/>
      <w:szCs w:val="44"/>
    </w:rPr>
  </w:style>
  <w:style w:type="character" w:customStyle="1" w:styleId="21">
    <w:name w:val="批注框文本 字符"/>
    <w:link w:val="5"/>
    <w:qFormat/>
    <w:uiPriority w:val="0"/>
    <w:rPr>
      <w:kern w:val="2"/>
      <w:sz w:val="18"/>
      <w:szCs w:val="18"/>
    </w:rPr>
  </w:style>
  <w:style w:type="character" w:customStyle="1" w:styleId="22">
    <w:name w:val="批注主题 字符"/>
    <w:link w:val="10"/>
    <w:qFormat/>
    <w:uiPriority w:val="0"/>
    <w:rPr>
      <w:b/>
      <w:bCs/>
      <w:kern w:val="2"/>
      <w:sz w:val="21"/>
      <w:szCs w:val="24"/>
    </w:rPr>
  </w:style>
  <w:style w:type="character" w:customStyle="1" w:styleId="23">
    <w:name w:val="批注文字 字符"/>
    <w:link w:val="4"/>
    <w:qFormat/>
    <w:uiPriority w:val="0"/>
    <w:rPr>
      <w:kern w:val="2"/>
      <w:sz w:val="21"/>
      <w:szCs w:val="24"/>
    </w:rPr>
  </w:style>
  <w:style w:type="character" w:customStyle="1" w:styleId="24">
    <w:name w:val="comma"/>
    <w:qFormat/>
    <w:uiPriority w:val="0"/>
  </w:style>
  <w:style w:type="character" w:customStyle="1" w:styleId="25">
    <w:name w:val="标题 2 字符"/>
    <w:link w:val="3"/>
    <w:qFormat/>
    <w:uiPriority w:val="0"/>
    <w:rPr>
      <w:rFonts w:ascii="Cambria" w:hAnsi="Cambria" w:eastAsia="宋体" w:cs="Times New Roman"/>
      <w:b/>
      <w:bCs/>
      <w:kern w:val="2"/>
      <w:sz w:val="32"/>
      <w:szCs w:val="32"/>
    </w:rPr>
  </w:style>
  <w:style w:type="character" w:customStyle="1" w:styleId="26">
    <w:name w:val="volume-issue-pages"/>
    <w:qFormat/>
    <w:uiPriority w:val="0"/>
  </w:style>
  <w:style w:type="character" w:customStyle="1" w:styleId="27">
    <w:name w:val="EndNote Bibliography Title 字符"/>
    <w:link w:val="18"/>
    <w:qFormat/>
    <w:uiPriority w:val="0"/>
    <w:rPr>
      <w:rFonts w:ascii="Times New Roman" w:hAnsi="Times New Roman"/>
      <w:kern w:val="2"/>
      <w:sz w:val="22"/>
      <w:szCs w:val="24"/>
    </w:rPr>
  </w:style>
  <w:style w:type="character" w:customStyle="1" w:styleId="28">
    <w:name w:val="EndNote Bibliography 字符"/>
    <w:link w:val="19"/>
    <w:qFormat/>
    <w:uiPriority w:val="0"/>
    <w:rPr>
      <w:rFonts w:ascii="Times New Roman" w:hAnsi="Times New Roman"/>
      <w:kern w:val="2"/>
      <w:sz w:val="22"/>
      <w:szCs w:val="24"/>
    </w:rPr>
  </w:style>
  <w:style w:type="table" w:customStyle="1" w:styleId="29">
    <w:name w:val="网格型1"/>
    <w:basedOn w:val="11"/>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46AB6-E7C7-44D4-BD31-FD1DD8EAB503}">
  <ds:schemaRefs/>
</ds:datastoreItem>
</file>

<file path=docProps/app.xml><?xml version="1.0" encoding="utf-8"?>
<Properties xmlns="http://schemas.openxmlformats.org/officeDocument/2006/extended-properties" xmlns:vt="http://schemas.openxmlformats.org/officeDocument/2006/docPropsVTypes">
  <Template>Normal</Template>
  <Pages>8</Pages>
  <Words>1839</Words>
  <Characters>10647</Characters>
  <Lines>74</Lines>
  <Paragraphs>21</Paragraphs>
  <TotalTime>19</TotalTime>
  <ScaleCrop>false</ScaleCrop>
  <LinksUpToDate>false</LinksUpToDate>
  <CharactersWithSpaces>12042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2021-03-07T00:20:00Z</dcterms:created>
  <dc:creator>nianxiang.zhu</dc:creator>
  <cp:lastModifiedBy>DELL</cp:lastModifiedBy>
  <cp:lastPrinted>2020-03-25T02:25:00Z</cp:lastPrinted>
  <dcterms:modified xsi:type="dcterms:W3CDTF">2022-08-31T13:29:01Z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21779456B26F4F67AD4492D5ED6F89A3</vt:lpwstr>
  </property>
</Properties>
</file>