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3B89" w14:textId="77777777" w:rsidR="00DB1DE7" w:rsidRPr="00DA6B2F" w:rsidRDefault="00DB1DE7" w:rsidP="00DB1DE7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A6B2F">
        <w:rPr>
          <w:rFonts w:ascii="Times New Roman" w:hAnsi="Times New Roman" w:cs="Times New Roman"/>
          <w:color w:val="000000" w:themeColor="text1"/>
        </w:rPr>
        <w:t xml:space="preserve">Table S1. The changes </w:t>
      </w:r>
      <w:r w:rsidRPr="00DA6B2F">
        <w:rPr>
          <w:rFonts w:ascii="Times New Roman" w:eastAsia="맑은 고딕" w:hAnsi="Times New Roman" w:cs="Times New Roman"/>
        </w:rPr>
        <w:t>in</w:t>
      </w:r>
      <w:r w:rsidRPr="00DA6B2F">
        <w:rPr>
          <w:rFonts w:ascii="Times New Roman" w:hAnsi="Times New Roman" w:cs="Times New Roman"/>
        </w:rPr>
        <w:t xml:space="preserve"> variables between </w:t>
      </w:r>
      <w:r>
        <w:rPr>
          <w:rFonts w:ascii="Times New Roman" w:hAnsi="Times New Roman" w:cs="Times New Roman"/>
        </w:rPr>
        <w:t>baseline</w:t>
      </w:r>
      <w:r w:rsidRPr="00DA6B2F">
        <w:rPr>
          <w:rFonts w:ascii="Times New Roman" w:hAnsi="Times New Roman" w:cs="Times New Roman"/>
        </w:rPr>
        <w:t xml:space="preserve"> and discharge.</w:t>
      </w:r>
    </w:p>
    <w:tbl>
      <w:tblPr>
        <w:tblStyle w:val="a3"/>
        <w:tblW w:w="8978" w:type="dxa"/>
        <w:tblLook w:val="04A0" w:firstRow="1" w:lastRow="0" w:firstColumn="1" w:lastColumn="0" w:noHBand="0" w:noVBand="1"/>
      </w:tblPr>
      <w:tblGrid>
        <w:gridCol w:w="2709"/>
        <w:gridCol w:w="2534"/>
        <w:gridCol w:w="2534"/>
        <w:gridCol w:w="1201"/>
      </w:tblGrid>
      <w:tr w:rsidR="00DB1DE7" w:rsidRPr="00DA6B2F" w14:paraId="774C66EF" w14:textId="77777777" w:rsidTr="00F24191">
        <w:trPr>
          <w:trHeight w:val="395"/>
        </w:trPr>
        <w:tc>
          <w:tcPr>
            <w:tcW w:w="2709" w:type="dxa"/>
          </w:tcPr>
          <w:p w14:paraId="0D10DD5A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534" w:type="dxa"/>
          </w:tcPr>
          <w:p w14:paraId="5B086C5B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At admission</w:t>
            </w:r>
          </w:p>
        </w:tc>
        <w:tc>
          <w:tcPr>
            <w:tcW w:w="2534" w:type="dxa"/>
          </w:tcPr>
          <w:p w14:paraId="6D31D4C5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At discharge</w:t>
            </w:r>
          </w:p>
        </w:tc>
        <w:tc>
          <w:tcPr>
            <w:tcW w:w="1201" w:type="dxa"/>
          </w:tcPr>
          <w:p w14:paraId="2BBC711E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F24191">
              <w:rPr>
                <w:rFonts w:ascii="Times New Roman" w:hAnsi="Times New Roman" w:cs="Times New Roman"/>
              </w:rPr>
              <w:t>value</w:t>
            </w:r>
          </w:p>
        </w:tc>
      </w:tr>
      <w:tr w:rsidR="00DB1DE7" w:rsidRPr="00DA6B2F" w14:paraId="1A3FBFE3" w14:textId="77777777" w:rsidTr="00F24191">
        <w:trPr>
          <w:trHeight w:val="395"/>
        </w:trPr>
        <w:tc>
          <w:tcPr>
            <w:tcW w:w="2709" w:type="dxa"/>
          </w:tcPr>
          <w:p w14:paraId="4915D34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Body mass index, kg/m</w:t>
            </w:r>
            <w:r w:rsidRPr="00DA6B2F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534" w:type="dxa"/>
          </w:tcPr>
          <w:p w14:paraId="655695AB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2</w:t>
            </w:r>
            <w:r w:rsidRPr="00DA6B2F">
              <w:rPr>
                <w:rFonts w:ascii="Times New Roman" w:hAnsi="Times New Roman" w:cs="Times New Roman"/>
              </w:rPr>
              <w:t>1.5 (18.6-24.1)</w:t>
            </w:r>
          </w:p>
        </w:tc>
        <w:tc>
          <w:tcPr>
            <w:tcW w:w="2534" w:type="dxa"/>
          </w:tcPr>
          <w:p w14:paraId="45B8A34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21.2 (18.3-23.7)</w:t>
            </w:r>
          </w:p>
        </w:tc>
        <w:tc>
          <w:tcPr>
            <w:tcW w:w="1201" w:type="dxa"/>
          </w:tcPr>
          <w:p w14:paraId="575CB2AF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&lt;0.001</w:t>
            </w:r>
          </w:p>
        </w:tc>
      </w:tr>
      <w:tr w:rsidR="00DB1DE7" w:rsidRPr="00DA6B2F" w14:paraId="76B2C80C" w14:textId="77777777" w:rsidTr="00F24191">
        <w:trPr>
          <w:trHeight w:val="395"/>
        </w:trPr>
        <w:tc>
          <w:tcPr>
            <w:tcW w:w="2709" w:type="dxa"/>
          </w:tcPr>
          <w:p w14:paraId="1AB138EA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Laboratory results</w:t>
            </w:r>
          </w:p>
        </w:tc>
        <w:tc>
          <w:tcPr>
            <w:tcW w:w="2534" w:type="dxa"/>
          </w:tcPr>
          <w:p w14:paraId="1BE12D7F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14:paraId="289B155D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14:paraId="608F5B69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</w:p>
        </w:tc>
      </w:tr>
      <w:tr w:rsidR="00DB1DE7" w:rsidRPr="00DA6B2F" w14:paraId="72BAB2EB" w14:textId="77777777" w:rsidTr="00F24191">
        <w:trPr>
          <w:trHeight w:val="395"/>
        </w:trPr>
        <w:tc>
          <w:tcPr>
            <w:tcW w:w="2709" w:type="dxa"/>
          </w:tcPr>
          <w:p w14:paraId="43B16CB2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 xml:space="preserve"> White </w:t>
            </w:r>
            <w:r>
              <w:rPr>
                <w:rFonts w:ascii="Times New Roman" w:hAnsi="Times New Roman" w:cs="Times New Roman"/>
              </w:rPr>
              <w:t xml:space="preserve">blood cells, </w:t>
            </w:r>
            <w:r w:rsidRPr="00DA6B2F">
              <w:rPr>
                <w:rFonts w:ascii="Times New Roman" w:hAnsi="Times New Roman" w:cs="Times New Roman"/>
              </w:rPr>
              <w:t>10</w:t>
            </w:r>
            <w:r w:rsidRPr="00DA6B2F">
              <w:rPr>
                <w:rFonts w:ascii="Times New Roman" w:hAnsi="Times New Roman" w:cs="Times New Roman"/>
                <w:vertAlign w:val="superscript"/>
              </w:rPr>
              <w:t>9</w:t>
            </w:r>
            <w:r w:rsidRPr="00DA6B2F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2534" w:type="dxa"/>
          </w:tcPr>
          <w:p w14:paraId="08A3B7B8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11.6 (7.9-16.9)</w:t>
            </w:r>
          </w:p>
        </w:tc>
        <w:tc>
          <w:tcPr>
            <w:tcW w:w="2534" w:type="dxa"/>
          </w:tcPr>
          <w:p w14:paraId="0BCBB329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7.5 (5.7-10.0)</w:t>
            </w:r>
          </w:p>
        </w:tc>
        <w:tc>
          <w:tcPr>
            <w:tcW w:w="1201" w:type="dxa"/>
          </w:tcPr>
          <w:p w14:paraId="20A4F0E8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&lt;</w:t>
            </w:r>
            <w:r w:rsidRPr="00DA6B2F">
              <w:rPr>
                <w:rFonts w:ascii="Times New Roman" w:hAnsi="Times New Roman" w:cs="Times New Roman"/>
              </w:rPr>
              <w:t>0.001</w:t>
            </w:r>
          </w:p>
        </w:tc>
      </w:tr>
      <w:tr w:rsidR="00DB1DE7" w:rsidRPr="00DA6B2F" w14:paraId="044F66C3" w14:textId="77777777" w:rsidTr="00F24191">
        <w:trPr>
          <w:trHeight w:val="395"/>
        </w:trPr>
        <w:tc>
          <w:tcPr>
            <w:tcW w:w="2709" w:type="dxa"/>
          </w:tcPr>
          <w:p w14:paraId="7F6EDBE0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 xml:space="preserve"> Haemoglobin, g/dL</w:t>
            </w:r>
          </w:p>
        </w:tc>
        <w:tc>
          <w:tcPr>
            <w:tcW w:w="2534" w:type="dxa"/>
          </w:tcPr>
          <w:p w14:paraId="5AF61FFA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1</w:t>
            </w:r>
            <w:r w:rsidRPr="00DA6B2F">
              <w:rPr>
                <w:rFonts w:ascii="Times New Roman" w:hAnsi="Times New Roman" w:cs="Times New Roman"/>
              </w:rPr>
              <w:t>1.6 (10.0-13.0)</w:t>
            </w:r>
          </w:p>
        </w:tc>
        <w:tc>
          <w:tcPr>
            <w:tcW w:w="2534" w:type="dxa"/>
          </w:tcPr>
          <w:p w14:paraId="2F35A08C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10.6 (9.6-11.8)</w:t>
            </w:r>
          </w:p>
        </w:tc>
        <w:tc>
          <w:tcPr>
            <w:tcW w:w="1201" w:type="dxa"/>
          </w:tcPr>
          <w:p w14:paraId="375CF5D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&lt;</w:t>
            </w:r>
            <w:r w:rsidRPr="00DA6B2F">
              <w:rPr>
                <w:rFonts w:ascii="Times New Roman" w:hAnsi="Times New Roman" w:cs="Times New Roman"/>
              </w:rPr>
              <w:t>0.001</w:t>
            </w:r>
          </w:p>
        </w:tc>
      </w:tr>
      <w:tr w:rsidR="00DB1DE7" w:rsidRPr="00DA6B2F" w14:paraId="043509F0" w14:textId="77777777" w:rsidTr="00F24191">
        <w:trPr>
          <w:trHeight w:val="395"/>
        </w:trPr>
        <w:tc>
          <w:tcPr>
            <w:tcW w:w="2709" w:type="dxa"/>
          </w:tcPr>
          <w:p w14:paraId="752608C6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Platelets,</w:t>
            </w:r>
            <w:r w:rsidRPr="00DA6B2F">
              <w:rPr>
                <w:rFonts w:ascii="Times New Roman" w:hAnsi="Times New Roman" w:cs="Times New Roman"/>
              </w:rPr>
              <w:t xml:space="preserve"> 10</w:t>
            </w:r>
            <w:r w:rsidRPr="00DA6B2F">
              <w:rPr>
                <w:rFonts w:ascii="Times New Roman" w:hAnsi="Times New Roman" w:cs="Times New Roman"/>
                <w:vertAlign w:val="superscript"/>
              </w:rPr>
              <w:t>9</w:t>
            </w:r>
            <w:r w:rsidRPr="00DA6B2F">
              <w:rPr>
                <w:rFonts w:ascii="Times New Roman" w:hAnsi="Times New Roman" w:cs="Times New Roman"/>
              </w:rPr>
              <w:t>/L</w:t>
            </w:r>
          </w:p>
        </w:tc>
        <w:tc>
          <w:tcPr>
            <w:tcW w:w="2534" w:type="dxa"/>
          </w:tcPr>
          <w:p w14:paraId="4F2B8E2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179.0 (120.0-256.0)</w:t>
            </w:r>
          </w:p>
        </w:tc>
        <w:tc>
          <w:tcPr>
            <w:tcW w:w="2534" w:type="dxa"/>
          </w:tcPr>
          <w:p w14:paraId="54F8B872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246.0 (171.0-345.0)</w:t>
            </w:r>
          </w:p>
        </w:tc>
        <w:tc>
          <w:tcPr>
            <w:tcW w:w="1201" w:type="dxa"/>
          </w:tcPr>
          <w:p w14:paraId="64C8BE2F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&lt;</w:t>
            </w:r>
            <w:r w:rsidRPr="00DA6B2F">
              <w:rPr>
                <w:rFonts w:ascii="Times New Roman" w:hAnsi="Times New Roman" w:cs="Times New Roman"/>
              </w:rPr>
              <w:t>0.001</w:t>
            </w:r>
          </w:p>
        </w:tc>
      </w:tr>
      <w:tr w:rsidR="00DB1DE7" w:rsidRPr="00DA6B2F" w14:paraId="4CBBF333" w14:textId="77777777" w:rsidTr="00F24191">
        <w:trPr>
          <w:trHeight w:val="395"/>
        </w:trPr>
        <w:tc>
          <w:tcPr>
            <w:tcW w:w="2709" w:type="dxa"/>
          </w:tcPr>
          <w:p w14:paraId="01CAEF25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 xml:space="preserve"> Albumin, g/dL</w:t>
            </w:r>
          </w:p>
        </w:tc>
        <w:tc>
          <w:tcPr>
            <w:tcW w:w="2534" w:type="dxa"/>
          </w:tcPr>
          <w:p w14:paraId="6144FF55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3.0 (2.6-3.4)</w:t>
            </w:r>
          </w:p>
        </w:tc>
        <w:tc>
          <w:tcPr>
            <w:tcW w:w="2534" w:type="dxa"/>
          </w:tcPr>
          <w:p w14:paraId="2F04561F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2.9 (2.5-3.2)</w:t>
            </w:r>
          </w:p>
        </w:tc>
        <w:tc>
          <w:tcPr>
            <w:tcW w:w="1201" w:type="dxa"/>
          </w:tcPr>
          <w:p w14:paraId="54689F81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0</w:t>
            </w:r>
            <w:r w:rsidRPr="00DA6B2F">
              <w:rPr>
                <w:rFonts w:ascii="Times New Roman" w:hAnsi="Times New Roman" w:cs="Times New Roman"/>
              </w:rPr>
              <w:t>.019</w:t>
            </w:r>
          </w:p>
        </w:tc>
      </w:tr>
      <w:tr w:rsidR="00DB1DE7" w:rsidRPr="00DA6B2F" w14:paraId="113022C7" w14:textId="77777777" w:rsidTr="00F24191">
        <w:trPr>
          <w:trHeight w:val="395"/>
        </w:trPr>
        <w:tc>
          <w:tcPr>
            <w:tcW w:w="2709" w:type="dxa"/>
          </w:tcPr>
          <w:p w14:paraId="616DD579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 xml:space="preserve"> Creatinine, mg/dL</w:t>
            </w:r>
          </w:p>
        </w:tc>
        <w:tc>
          <w:tcPr>
            <w:tcW w:w="2534" w:type="dxa"/>
          </w:tcPr>
          <w:p w14:paraId="4DA37D04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1.2 (0.9-2.0)</w:t>
            </w:r>
          </w:p>
        </w:tc>
        <w:tc>
          <w:tcPr>
            <w:tcW w:w="2534" w:type="dxa"/>
          </w:tcPr>
          <w:p w14:paraId="13FFD82D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0.7 (0.5-0.9)</w:t>
            </w:r>
          </w:p>
        </w:tc>
        <w:tc>
          <w:tcPr>
            <w:tcW w:w="1201" w:type="dxa"/>
          </w:tcPr>
          <w:p w14:paraId="5914E208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&lt;</w:t>
            </w:r>
            <w:r w:rsidRPr="00DA6B2F">
              <w:rPr>
                <w:rFonts w:ascii="Times New Roman" w:hAnsi="Times New Roman" w:cs="Times New Roman"/>
              </w:rPr>
              <w:t>0.001</w:t>
            </w:r>
          </w:p>
        </w:tc>
      </w:tr>
      <w:tr w:rsidR="00DB1DE7" w:rsidRPr="00DA6B2F" w14:paraId="7B0A3DEF" w14:textId="77777777" w:rsidTr="00F24191">
        <w:trPr>
          <w:trHeight w:val="395"/>
        </w:trPr>
        <w:tc>
          <w:tcPr>
            <w:tcW w:w="2709" w:type="dxa"/>
          </w:tcPr>
          <w:p w14:paraId="7EB2E5E9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 xml:space="preserve"> C-reactive protein, mg/dL</w:t>
            </w:r>
          </w:p>
        </w:tc>
        <w:tc>
          <w:tcPr>
            <w:tcW w:w="2534" w:type="dxa"/>
          </w:tcPr>
          <w:p w14:paraId="302B0FA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12.4 (6.3-19.2)</w:t>
            </w:r>
          </w:p>
        </w:tc>
        <w:tc>
          <w:tcPr>
            <w:tcW w:w="2534" w:type="dxa"/>
          </w:tcPr>
          <w:p w14:paraId="7F039A95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2.5 (1.2-4.9)</w:t>
            </w:r>
          </w:p>
        </w:tc>
        <w:tc>
          <w:tcPr>
            <w:tcW w:w="1201" w:type="dxa"/>
          </w:tcPr>
          <w:p w14:paraId="484E331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&lt;</w:t>
            </w:r>
            <w:r w:rsidRPr="00DA6B2F">
              <w:rPr>
                <w:rFonts w:ascii="Times New Roman" w:hAnsi="Times New Roman" w:cs="Times New Roman"/>
              </w:rPr>
              <w:t>0.001</w:t>
            </w:r>
          </w:p>
        </w:tc>
      </w:tr>
      <w:tr w:rsidR="00DB1DE7" w:rsidRPr="00DA6B2F" w14:paraId="22563525" w14:textId="77777777" w:rsidTr="00F24191">
        <w:trPr>
          <w:trHeight w:val="395"/>
        </w:trPr>
        <w:tc>
          <w:tcPr>
            <w:tcW w:w="2709" w:type="dxa"/>
          </w:tcPr>
          <w:p w14:paraId="52F6F874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SOFA score</w:t>
            </w:r>
          </w:p>
        </w:tc>
        <w:tc>
          <w:tcPr>
            <w:tcW w:w="2534" w:type="dxa"/>
          </w:tcPr>
          <w:p w14:paraId="67A65314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6.0 (4.0-8.0)</w:t>
            </w:r>
          </w:p>
        </w:tc>
        <w:tc>
          <w:tcPr>
            <w:tcW w:w="2534" w:type="dxa"/>
          </w:tcPr>
          <w:p w14:paraId="72CE1768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1.0 (0.0-3.0)</w:t>
            </w:r>
          </w:p>
        </w:tc>
        <w:tc>
          <w:tcPr>
            <w:tcW w:w="1201" w:type="dxa"/>
          </w:tcPr>
          <w:p w14:paraId="6764D542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&lt;</w:t>
            </w:r>
            <w:r w:rsidRPr="00DA6B2F">
              <w:rPr>
                <w:rFonts w:ascii="Times New Roman" w:hAnsi="Times New Roman" w:cs="Times New Roman"/>
              </w:rPr>
              <w:t>0.001</w:t>
            </w:r>
          </w:p>
        </w:tc>
      </w:tr>
    </w:tbl>
    <w:p w14:paraId="6041A30F" w14:textId="77777777" w:rsidR="00DB1DE7" w:rsidRPr="00DA6B2F" w:rsidRDefault="00DB1DE7" w:rsidP="00DB1DE7">
      <w:pPr>
        <w:ind w:firstLineChars="50" w:firstLine="100"/>
        <w:rPr>
          <w:rFonts w:ascii="Times New Roman" w:hAnsi="Times New Roman" w:cs="Times New Roman"/>
        </w:rPr>
      </w:pPr>
      <w:r w:rsidRPr="00DA6B2F">
        <w:rPr>
          <w:rFonts w:ascii="Times New Roman" w:hAnsi="Times New Roman" w:cs="Times New Roman"/>
        </w:rPr>
        <w:t xml:space="preserve">Values </w:t>
      </w:r>
      <w:r w:rsidRPr="00DA6B2F">
        <w:rPr>
          <w:rFonts w:ascii="Times New Roman" w:eastAsia="맑은 고딕" w:hAnsi="Times New Roman" w:cs="Times New Roman"/>
        </w:rPr>
        <w:t>are</w:t>
      </w:r>
      <w:r w:rsidRPr="00DA6B2F">
        <w:rPr>
          <w:rFonts w:ascii="Times New Roman" w:hAnsi="Times New Roman" w:cs="Times New Roman"/>
        </w:rPr>
        <w:t xml:space="preserve"> expressed as medians (interquartile range).</w:t>
      </w:r>
      <w:r w:rsidRPr="00DA6B2F">
        <w:rPr>
          <w:rFonts w:ascii="Times New Roman" w:eastAsia="맑은 고딕" w:hAnsi="Times New Roman" w:cs="Times New Roman"/>
        </w:rPr>
        <w:t xml:space="preserve"> The</w:t>
      </w:r>
      <w:r w:rsidRPr="00DA6B2F">
        <w:rPr>
          <w:rFonts w:ascii="Times New Roman" w:hAnsi="Times New Roman" w:cs="Times New Roman"/>
        </w:rPr>
        <w:t xml:space="preserve"> </w:t>
      </w:r>
      <w:r w:rsidRPr="00DA6B2F">
        <w:rPr>
          <w:rFonts w:ascii="Times New Roman" w:hAnsi="Times New Roman" w:cs="Times New Roman"/>
          <w:i/>
          <w:iCs/>
        </w:rPr>
        <w:t xml:space="preserve">p </w:t>
      </w:r>
      <w:r w:rsidRPr="00F24191">
        <w:rPr>
          <w:rFonts w:ascii="Times New Roman" w:hAnsi="Times New Roman" w:cs="Times New Roman"/>
        </w:rPr>
        <w:t>value</w:t>
      </w:r>
      <w:r w:rsidRPr="00DA6B2F">
        <w:rPr>
          <w:rFonts w:ascii="Times New Roman" w:hAnsi="Times New Roman" w:cs="Times New Roman"/>
        </w:rPr>
        <w:t xml:space="preserve"> is from the paired t test.</w:t>
      </w:r>
    </w:p>
    <w:p w14:paraId="51194F63" w14:textId="77777777" w:rsidR="00DB1DE7" w:rsidRPr="00DA6B2F" w:rsidRDefault="00DB1DE7" w:rsidP="00DB1DE7">
      <w:pPr>
        <w:rPr>
          <w:rFonts w:ascii="Times New Roman" w:hAnsi="Times New Roman" w:cs="Times New Roman"/>
        </w:rPr>
      </w:pPr>
      <w:r w:rsidRPr="00DA6B2F">
        <w:rPr>
          <w:rFonts w:ascii="Times New Roman" w:hAnsi="Times New Roman" w:cs="Times New Roman" w:hint="eastAsia"/>
        </w:rPr>
        <w:t xml:space="preserve"> </w:t>
      </w:r>
      <w:r w:rsidRPr="00DA6B2F">
        <w:rPr>
          <w:rFonts w:ascii="Times New Roman" w:hAnsi="Times New Roman" w:cs="Times New Roman"/>
        </w:rPr>
        <w:t>SOFA, Sequential Organ Failure Assessment</w:t>
      </w:r>
    </w:p>
    <w:p w14:paraId="53077A1B" w14:textId="77777777" w:rsidR="00DB1DE7" w:rsidRPr="00DA6B2F" w:rsidRDefault="00DB1DE7" w:rsidP="00DB1DE7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60E44249" w14:textId="77777777" w:rsidR="00DB1DE7" w:rsidRPr="00DA6B2F" w:rsidRDefault="00DB1DE7" w:rsidP="00DB1DE7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DA6B2F">
        <w:rPr>
          <w:rFonts w:ascii="Times New Roman" w:hAnsi="Times New Roman" w:cs="Times New Roman"/>
        </w:rPr>
        <w:br w:type="page"/>
      </w:r>
    </w:p>
    <w:p w14:paraId="2FCFDA9D" w14:textId="77777777" w:rsidR="00DB1DE7" w:rsidRPr="00DA6B2F" w:rsidRDefault="00DB1DE7" w:rsidP="00DB1DE7">
      <w:pPr>
        <w:rPr>
          <w:rFonts w:ascii="Times New Roman" w:hAnsi="Times New Roman" w:cs="Times New Roman"/>
        </w:rPr>
      </w:pPr>
      <w:r w:rsidRPr="00DA6B2F">
        <w:rPr>
          <w:rFonts w:ascii="Times New Roman" w:hAnsi="Times New Roman" w:cs="Times New Roman"/>
          <w:color w:val="000000" w:themeColor="text1"/>
        </w:rPr>
        <w:lastRenderedPageBreak/>
        <w:t xml:space="preserve">Table S2. Multivariate </w:t>
      </w:r>
      <w:r w:rsidRPr="00DA6B2F">
        <w:rPr>
          <w:rFonts w:ascii="Times New Roman" w:hAnsi="Times New Roman" w:cs="Times New Roman"/>
        </w:rPr>
        <w:t>logistic regression analysis for 1-year mortality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B1DE7" w:rsidRPr="00DA6B2F" w14:paraId="0613FBC3" w14:textId="77777777" w:rsidTr="00F24191">
        <w:trPr>
          <w:trHeight w:val="351"/>
        </w:trPr>
        <w:tc>
          <w:tcPr>
            <w:tcW w:w="2254" w:type="dxa"/>
          </w:tcPr>
          <w:p w14:paraId="540288AF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254" w:type="dxa"/>
          </w:tcPr>
          <w:p w14:paraId="00427EA4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Odds ratio</w:t>
            </w:r>
          </w:p>
        </w:tc>
        <w:tc>
          <w:tcPr>
            <w:tcW w:w="2254" w:type="dxa"/>
          </w:tcPr>
          <w:p w14:paraId="1200FD9F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95% Confidence interval</w:t>
            </w:r>
          </w:p>
        </w:tc>
        <w:tc>
          <w:tcPr>
            <w:tcW w:w="2254" w:type="dxa"/>
          </w:tcPr>
          <w:p w14:paraId="4B0E7E66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F24191">
              <w:rPr>
                <w:rFonts w:ascii="Times New Roman" w:hAnsi="Times New Roman" w:cs="Times New Roman"/>
              </w:rPr>
              <w:t>value</w:t>
            </w:r>
          </w:p>
        </w:tc>
      </w:tr>
      <w:tr w:rsidR="00DB1DE7" w:rsidRPr="00DA6B2F" w14:paraId="41B41E7E" w14:textId="77777777" w:rsidTr="00F24191">
        <w:trPr>
          <w:trHeight w:val="351"/>
        </w:trPr>
        <w:tc>
          <w:tcPr>
            <w:tcW w:w="2254" w:type="dxa"/>
          </w:tcPr>
          <w:p w14:paraId="47AE125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54" w:type="dxa"/>
          </w:tcPr>
          <w:p w14:paraId="7C01D39D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1.024</w:t>
            </w:r>
          </w:p>
        </w:tc>
        <w:tc>
          <w:tcPr>
            <w:tcW w:w="2254" w:type="dxa"/>
          </w:tcPr>
          <w:p w14:paraId="6D20299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1.000-1.051</w:t>
            </w:r>
          </w:p>
        </w:tc>
        <w:tc>
          <w:tcPr>
            <w:tcW w:w="2254" w:type="dxa"/>
          </w:tcPr>
          <w:p w14:paraId="05E873EE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0.061</w:t>
            </w:r>
          </w:p>
        </w:tc>
      </w:tr>
      <w:tr w:rsidR="00DB1DE7" w:rsidRPr="00DA6B2F" w14:paraId="3507ED50" w14:textId="77777777" w:rsidTr="00F24191">
        <w:trPr>
          <w:trHeight w:val="351"/>
        </w:trPr>
        <w:tc>
          <w:tcPr>
            <w:tcW w:w="2254" w:type="dxa"/>
          </w:tcPr>
          <w:p w14:paraId="3602A7FB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54" w:type="dxa"/>
          </w:tcPr>
          <w:p w14:paraId="1EF32AB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0.794</w:t>
            </w:r>
          </w:p>
        </w:tc>
        <w:tc>
          <w:tcPr>
            <w:tcW w:w="2254" w:type="dxa"/>
          </w:tcPr>
          <w:p w14:paraId="71BA82D9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0.449-1.384</w:t>
            </w:r>
          </w:p>
        </w:tc>
        <w:tc>
          <w:tcPr>
            <w:tcW w:w="2254" w:type="dxa"/>
          </w:tcPr>
          <w:p w14:paraId="1B3AACE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0.420</w:t>
            </w:r>
          </w:p>
        </w:tc>
      </w:tr>
      <w:tr w:rsidR="00DB1DE7" w:rsidRPr="00DA6B2F" w14:paraId="6A425D77" w14:textId="77777777" w:rsidTr="00F24191">
        <w:trPr>
          <w:trHeight w:val="375"/>
        </w:trPr>
        <w:tc>
          <w:tcPr>
            <w:tcW w:w="2254" w:type="dxa"/>
          </w:tcPr>
          <w:p w14:paraId="0C27F646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Body mass index</w:t>
            </w:r>
          </w:p>
        </w:tc>
        <w:tc>
          <w:tcPr>
            <w:tcW w:w="2254" w:type="dxa"/>
          </w:tcPr>
          <w:p w14:paraId="741F9798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2254" w:type="dxa"/>
          </w:tcPr>
          <w:p w14:paraId="7B079CF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0.873-1.012</w:t>
            </w:r>
          </w:p>
        </w:tc>
        <w:tc>
          <w:tcPr>
            <w:tcW w:w="2254" w:type="dxa"/>
          </w:tcPr>
          <w:p w14:paraId="6E1D047F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0.106</w:t>
            </w:r>
          </w:p>
        </w:tc>
      </w:tr>
      <w:tr w:rsidR="00DB1DE7" w:rsidRPr="00DA6B2F" w14:paraId="2C681F77" w14:textId="77777777" w:rsidTr="00F24191">
        <w:trPr>
          <w:trHeight w:val="351"/>
        </w:trPr>
        <w:tc>
          <w:tcPr>
            <w:tcW w:w="2254" w:type="dxa"/>
          </w:tcPr>
          <w:p w14:paraId="0F089CA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White blood cell</w:t>
            </w:r>
          </w:p>
        </w:tc>
        <w:tc>
          <w:tcPr>
            <w:tcW w:w="2254" w:type="dxa"/>
          </w:tcPr>
          <w:p w14:paraId="586DDD19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1.014</w:t>
            </w:r>
          </w:p>
        </w:tc>
        <w:tc>
          <w:tcPr>
            <w:tcW w:w="2254" w:type="dxa"/>
          </w:tcPr>
          <w:p w14:paraId="09C7F7A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0.945-1.082</w:t>
            </w:r>
          </w:p>
        </w:tc>
        <w:tc>
          <w:tcPr>
            <w:tcW w:w="2254" w:type="dxa"/>
          </w:tcPr>
          <w:p w14:paraId="577486E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0.687</w:t>
            </w:r>
          </w:p>
        </w:tc>
      </w:tr>
      <w:tr w:rsidR="00DB1DE7" w:rsidRPr="00DA6B2F" w14:paraId="1FCF6D78" w14:textId="77777777" w:rsidTr="00F24191">
        <w:trPr>
          <w:trHeight w:val="351"/>
        </w:trPr>
        <w:tc>
          <w:tcPr>
            <w:tcW w:w="2254" w:type="dxa"/>
          </w:tcPr>
          <w:p w14:paraId="318BE00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Haemoglobin</w:t>
            </w:r>
          </w:p>
        </w:tc>
        <w:tc>
          <w:tcPr>
            <w:tcW w:w="2254" w:type="dxa"/>
          </w:tcPr>
          <w:p w14:paraId="5E1DAD60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0.906</w:t>
            </w:r>
          </w:p>
        </w:tc>
        <w:tc>
          <w:tcPr>
            <w:tcW w:w="2254" w:type="dxa"/>
          </w:tcPr>
          <w:p w14:paraId="3391375C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0.730-1.113</w:t>
            </w:r>
          </w:p>
        </w:tc>
        <w:tc>
          <w:tcPr>
            <w:tcW w:w="2254" w:type="dxa"/>
          </w:tcPr>
          <w:p w14:paraId="65058515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0.356</w:t>
            </w:r>
          </w:p>
        </w:tc>
      </w:tr>
      <w:tr w:rsidR="00DB1DE7" w:rsidRPr="00DA6B2F" w14:paraId="2B8B98C3" w14:textId="77777777" w:rsidTr="00F24191">
        <w:trPr>
          <w:trHeight w:val="351"/>
        </w:trPr>
        <w:tc>
          <w:tcPr>
            <w:tcW w:w="2254" w:type="dxa"/>
          </w:tcPr>
          <w:p w14:paraId="73A74B3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2254" w:type="dxa"/>
          </w:tcPr>
          <w:p w14:paraId="73FD66C7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0.360</w:t>
            </w:r>
          </w:p>
        </w:tc>
        <w:tc>
          <w:tcPr>
            <w:tcW w:w="2254" w:type="dxa"/>
          </w:tcPr>
          <w:p w14:paraId="5B5CCC6A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0.181-0.708</w:t>
            </w:r>
          </w:p>
        </w:tc>
        <w:tc>
          <w:tcPr>
            <w:tcW w:w="2254" w:type="dxa"/>
          </w:tcPr>
          <w:p w14:paraId="121ADC8C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0.003</w:t>
            </w:r>
          </w:p>
        </w:tc>
      </w:tr>
      <w:tr w:rsidR="00DB1DE7" w:rsidRPr="00DA6B2F" w14:paraId="7F018195" w14:textId="77777777" w:rsidTr="00F24191">
        <w:trPr>
          <w:trHeight w:val="351"/>
        </w:trPr>
        <w:tc>
          <w:tcPr>
            <w:tcW w:w="2254" w:type="dxa"/>
          </w:tcPr>
          <w:p w14:paraId="257049A2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C-reactive protein</w:t>
            </w:r>
          </w:p>
        </w:tc>
        <w:tc>
          <w:tcPr>
            <w:tcW w:w="2254" w:type="dxa"/>
          </w:tcPr>
          <w:p w14:paraId="5FC588B1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1.051</w:t>
            </w:r>
          </w:p>
        </w:tc>
        <w:tc>
          <w:tcPr>
            <w:tcW w:w="2254" w:type="dxa"/>
          </w:tcPr>
          <w:p w14:paraId="3819DB06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0.978-1.125</w:t>
            </w:r>
          </w:p>
        </w:tc>
        <w:tc>
          <w:tcPr>
            <w:tcW w:w="2254" w:type="dxa"/>
          </w:tcPr>
          <w:p w14:paraId="52F43E29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0.159</w:t>
            </w:r>
          </w:p>
        </w:tc>
      </w:tr>
      <w:tr w:rsidR="00DB1DE7" w:rsidRPr="00DA6B2F" w14:paraId="108556E0" w14:textId="77777777" w:rsidTr="00F24191">
        <w:trPr>
          <w:trHeight w:val="351"/>
        </w:trPr>
        <w:tc>
          <w:tcPr>
            <w:tcW w:w="2254" w:type="dxa"/>
          </w:tcPr>
          <w:p w14:paraId="77D53766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/>
              </w:rPr>
              <w:t>SOFA</w:t>
            </w:r>
          </w:p>
        </w:tc>
        <w:tc>
          <w:tcPr>
            <w:tcW w:w="2254" w:type="dxa"/>
          </w:tcPr>
          <w:p w14:paraId="49BB3113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1</w:t>
            </w:r>
            <w:r w:rsidRPr="00DA6B2F">
              <w:rPr>
                <w:rFonts w:ascii="Times New Roman" w:hAnsi="Times New Roman" w:cs="Times New Roman"/>
              </w:rPr>
              <w:t>.209</w:t>
            </w:r>
          </w:p>
        </w:tc>
        <w:tc>
          <w:tcPr>
            <w:tcW w:w="2254" w:type="dxa"/>
          </w:tcPr>
          <w:p w14:paraId="2D568AD5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1</w:t>
            </w:r>
            <w:r w:rsidRPr="00DA6B2F">
              <w:rPr>
                <w:rFonts w:ascii="Times New Roman" w:hAnsi="Times New Roman" w:cs="Times New Roman"/>
              </w:rPr>
              <w:t>.042-1.400</w:t>
            </w:r>
          </w:p>
        </w:tc>
        <w:tc>
          <w:tcPr>
            <w:tcW w:w="2254" w:type="dxa"/>
          </w:tcPr>
          <w:p w14:paraId="6C18DA8D" w14:textId="77777777" w:rsidR="00DB1DE7" w:rsidRPr="00DA6B2F" w:rsidRDefault="00DB1DE7" w:rsidP="00F24191">
            <w:pPr>
              <w:rPr>
                <w:rFonts w:ascii="Times New Roman" w:hAnsi="Times New Roman" w:cs="Times New Roman"/>
              </w:rPr>
            </w:pPr>
            <w:r w:rsidRPr="00DA6B2F">
              <w:rPr>
                <w:rFonts w:ascii="Times New Roman" w:hAnsi="Times New Roman" w:cs="Times New Roman" w:hint="eastAsia"/>
              </w:rPr>
              <w:t>0</w:t>
            </w:r>
            <w:r w:rsidRPr="00DA6B2F">
              <w:rPr>
                <w:rFonts w:ascii="Times New Roman" w:hAnsi="Times New Roman" w:cs="Times New Roman"/>
              </w:rPr>
              <w:t>.012</w:t>
            </w:r>
          </w:p>
        </w:tc>
      </w:tr>
    </w:tbl>
    <w:p w14:paraId="66628865" w14:textId="77777777" w:rsidR="00DB1DE7" w:rsidRPr="00DA6B2F" w:rsidRDefault="00DB1DE7" w:rsidP="00DB1DE7">
      <w:pPr>
        <w:ind w:firstLineChars="50" w:firstLine="100"/>
        <w:rPr>
          <w:rFonts w:ascii="Times New Roman" w:hAnsi="Times New Roman" w:cs="Times New Roman"/>
        </w:rPr>
      </w:pPr>
      <w:r w:rsidRPr="00DA6B2F">
        <w:rPr>
          <w:rFonts w:ascii="Times New Roman" w:hAnsi="Times New Roman" w:cs="Times New Roman"/>
        </w:rPr>
        <w:t xml:space="preserve">Body mass index, </w:t>
      </w:r>
      <w:r w:rsidRPr="00DA6B2F">
        <w:rPr>
          <w:rFonts w:ascii="Times New Roman" w:eastAsia="맑은 고딕" w:hAnsi="Times New Roman" w:cs="Times New Roman"/>
        </w:rPr>
        <w:t>white</w:t>
      </w:r>
      <w:r w:rsidRPr="00DA6B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blood cells, ha</w:t>
      </w:r>
      <w:r w:rsidRPr="00DA6B2F">
        <w:rPr>
          <w:rFonts w:ascii="Times New Roman" w:hAnsi="Times New Roman" w:cs="Times New Roman"/>
        </w:rPr>
        <w:t xml:space="preserve">emoglobin, </w:t>
      </w:r>
      <w:r>
        <w:rPr>
          <w:rFonts w:ascii="Times New Roman" w:hAnsi="Times New Roman" w:cs="Times New Roman"/>
        </w:rPr>
        <w:t>a</w:t>
      </w:r>
      <w:r w:rsidRPr="00DA6B2F">
        <w:rPr>
          <w:rFonts w:ascii="Times New Roman" w:hAnsi="Times New Roman" w:cs="Times New Roman"/>
        </w:rPr>
        <w:t>lbumin, C-reactive protein and SOFA score values</w:t>
      </w:r>
      <w:r w:rsidRPr="00DA6B2F">
        <w:rPr>
          <w:rFonts w:ascii="Times New Roman" w:eastAsia="맑은 고딕" w:hAnsi="Times New Roman" w:cs="Times New Roman"/>
        </w:rPr>
        <w:t xml:space="preserve"> were measured</w:t>
      </w:r>
      <w:r w:rsidRPr="00DA6B2F">
        <w:rPr>
          <w:rFonts w:ascii="Times New Roman" w:hAnsi="Times New Roman" w:cs="Times New Roman"/>
        </w:rPr>
        <w:t xml:space="preserve"> at the time of discharge.</w:t>
      </w:r>
    </w:p>
    <w:p w14:paraId="6D176D4B" w14:textId="77777777" w:rsidR="00DB1DE7" w:rsidRPr="00DA6B2F" w:rsidRDefault="00DB1DE7" w:rsidP="00DB1DE7">
      <w:pPr>
        <w:ind w:firstLineChars="50" w:firstLine="100"/>
        <w:rPr>
          <w:rFonts w:ascii="Times New Roman" w:hAnsi="Times New Roman" w:cs="Times New Roman"/>
        </w:rPr>
      </w:pPr>
      <w:r w:rsidRPr="00DA6B2F">
        <w:rPr>
          <w:rFonts w:ascii="Times New Roman" w:hAnsi="Times New Roman" w:cs="Times New Roman"/>
        </w:rPr>
        <w:t>SOFA, Sequential Organ Failure Assessment</w:t>
      </w:r>
    </w:p>
    <w:p w14:paraId="36C8D7F3" w14:textId="77777777" w:rsidR="00DB1DE7" w:rsidRPr="00DA6B2F" w:rsidRDefault="00DB1DE7" w:rsidP="00DB1DE7"/>
    <w:p w14:paraId="5B0F4116" w14:textId="77777777" w:rsidR="00EF5BBF" w:rsidRDefault="00EF5BBF"/>
    <w:sectPr w:rsidR="00EF5BB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E7"/>
    <w:rsid w:val="00DB1DE7"/>
    <w:rsid w:val="00E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56D06"/>
  <w15:chartTrackingRefBased/>
  <w15:docId w15:val="{2D605526-8146-4780-9CEA-004914E4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DE7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Sang-min</dc:creator>
  <cp:keywords/>
  <dc:description/>
  <cp:lastModifiedBy>Lee Sang-min</cp:lastModifiedBy>
  <cp:revision>1</cp:revision>
  <dcterms:created xsi:type="dcterms:W3CDTF">2022-08-25T00:17:00Z</dcterms:created>
  <dcterms:modified xsi:type="dcterms:W3CDTF">2022-08-25T00:18:00Z</dcterms:modified>
</cp:coreProperties>
</file>