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default" w:ascii="Calibri" w:hAnsi="Calibri" w:cs="Calibri"/>
          <w:b/>
          <w:bCs/>
          <w:sz w:val="20"/>
          <w:szCs w:val="20"/>
          <w:shd w:val="clear" w:color="auto" w:fill="FFFFFF"/>
        </w:rPr>
      </w:pPr>
      <w:r>
        <w:rPr>
          <w:rFonts w:hint="default" w:ascii="Calibri" w:hAnsi="Calibri" w:cs="Calibri"/>
          <w:b/>
          <w:bCs/>
          <w:sz w:val="20"/>
          <w:szCs w:val="20"/>
          <w:shd w:val="clear" w:color="auto" w:fill="FFFFFF"/>
        </w:rPr>
        <w:t>Supplementary</w:t>
      </w:r>
      <w:r>
        <w:rPr>
          <w:rFonts w:hint="default" w:ascii="Calibri" w:hAnsi="Calibri" w:eastAsia="宋体" w:cs="Calibri"/>
          <w:b/>
          <w:bCs/>
          <w:sz w:val="20"/>
          <w:szCs w:val="20"/>
          <w:shd w:val="clear" w:color="auto" w:fill="FFFFFF"/>
          <w:lang w:val="en-US" w:eastAsia="zh-CN"/>
        </w:rPr>
        <w:t xml:space="preserve"> Material</w:t>
      </w:r>
      <w:r>
        <w:rPr>
          <w:rFonts w:hint="default" w:ascii="Calibri" w:hAnsi="Calibri" w:cs="Calibri"/>
          <w:b/>
          <w:bCs/>
          <w:sz w:val="20"/>
          <w:szCs w:val="20"/>
          <w:shd w:val="clear" w:color="auto" w:fill="FFFFFF"/>
        </w:rPr>
        <w:t xml:space="preserve"> 1: Details of </w:t>
      </w:r>
      <w:r>
        <w:rPr>
          <w:rFonts w:hint="default" w:ascii="Calibri" w:hAnsi="Calibri" w:cs="Calibri"/>
          <w:b/>
          <w:bCs/>
          <w:sz w:val="20"/>
          <w:szCs w:val="20"/>
          <w:shd w:val="clear" w:color="auto" w:fill="FFFFFF"/>
          <w:lang w:val="en-US" w:eastAsia="zh-CN"/>
        </w:rPr>
        <w:t>p</w:t>
      </w:r>
      <w:r>
        <w:rPr>
          <w:rFonts w:hint="default" w:ascii="Calibri" w:hAnsi="Calibri" w:cs="Calibri"/>
          <w:b/>
          <w:bCs/>
          <w:sz w:val="20"/>
          <w:szCs w:val="20"/>
          <w:shd w:val="clear" w:color="auto" w:fill="FFFFFF"/>
        </w:rPr>
        <w:t>articipating centers</w:t>
      </w:r>
    </w:p>
    <w:tbl>
      <w:tblPr>
        <w:tblStyle w:val="2"/>
        <w:tblW w:w="8388"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1"/>
        <w:gridCol w:w="1407"/>
        <w:gridCol w:w="1153"/>
        <w:gridCol w:w="1200"/>
        <w:gridCol w:w="153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3091" w:type="dxa"/>
            <w:tcBorders>
              <w:top w:val="single" w:color="auto" w:sz="4" w:space="0"/>
              <w:bottom w:val="single" w:color="auto" w:sz="4" w:space="0"/>
            </w:tcBorders>
            <w:noWrap w:val="0"/>
            <w:vAlign w:val="center"/>
          </w:tcPr>
          <w:p>
            <w:pPr>
              <w:spacing w:line="360" w:lineRule="auto"/>
              <w:outlineLvl w:val="0"/>
              <w:rPr>
                <w:rFonts w:hint="default" w:ascii="Calibri" w:hAnsi="Calibri" w:cs="Calibri"/>
                <w:sz w:val="15"/>
                <w:szCs w:val="15"/>
              </w:rPr>
            </w:pPr>
            <w:r>
              <w:rPr>
                <w:rFonts w:hint="default" w:ascii="Calibri" w:hAnsi="Calibri" w:cs="Calibri"/>
                <w:b/>
                <w:bCs/>
                <w:color w:val="000000"/>
                <w:sz w:val="15"/>
                <w:szCs w:val="15"/>
                <w:shd w:val="clear" w:color="auto" w:fill="FFFFFF"/>
              </w:rPr>
              <w:t>Name of the hospital</w:t>
            </w:r>
          </w:p>
        </w:tc>
        <w:tc>
          <w:tcPr>
            <w:tcW w:w="1407"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Calibri" w:hAnsi="Calibri" w:cs="Calibri"/>
                <w:b/>
                <w:bCs/>
                <w:color w:val="000000"/>
                <w:sz w:val="15"/>
                <w:szCs w:val="15"/>
                <w:shd w:val="clear" w:color="auto" w:fill="FFFFFF"/>
              </w:rPr>
            </w:pPr>
            <w:r>
              <w:rPr>
                <w:rFonts w:hint="default" w:ascii="Calibri" w:hAnsi="Calibri" w:cs="Calibri"/>
                <w:b/>
                <w:bCs/>
                <w:color w:val="000000"/>
                <w:sz w:val="15"/>
                <w:szCs w:val="15"/>
                <w:shd w:val="clear" w:color="auto" w:fill="FFFFFF"/>
              </w:rPr>
              <w:t>Province, city</w:t>
            </w:r>
          </w:p>
        </w:tc>
        <w:tc>
          <w:tcPr>
            <w:tcW w:w="1153"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Calibri" w:hAnsi="Calibri" w:cs="Calibri"/>
                <w:b/>
                <w:bCs/>
                <w:color w:val="000000"/>
                <w:sz w:val="15"/>
                <w:szCs w:val="15"/>
                <w:shd w:val="clear" w:color="auto" w:fill="FFFFFF"/>
              </w:rPr>
            </w:pPr>
            <w:r>
              <w:rPr>
                <w:rFonts w:hint="default" w:ascii="Calibri" w:hAnsi="Calibri" w:cs="Calibri"/>
                <w:b/>
                <w:bCs/>
                <w:color w:val="000000"/>
                <w:sz w:val="15"/>
                <w:szCs w:val="15"/>
                <w:shd w:val="clear" w:color="auto" w:fill="FFFFFF"/>
              </w:rPr>
              <w:t>Teaching Hospital</w:t>
            </w:r>
          </w:p>
        </w:tc>
        <w:tc>
          <w:tcPr>
            <w:tcW w:w="1200" w:type="dxa"/>
            <w:tcBorders>
              <w:top w:val="single" w:color="auto" w:sz="4" w:space="0"/>
              <w:bottom w:val="single" w:color="auto" w:sz="4" w:space="0"/>
              <w:right w:val="nil"/>
            </w:tcBorders>
            <w:noWrap w:val="0"/>
            <w:vAlign w:val="center"/>
          </w:tcPr>
          <w:p>
            <w:pPr>
              <w:keepNext/>
              <w:keepLines/>
              <w:spacing w:before="240" w:after="64" w:line="360" w:lineRule="auto"/>
              <w:jc w:val="center"/>
              <w:outlineLvl w:val="0"/>
              <w:rPr>
                <w:rFonts w:hint="default" w:ascii="Calibri" w:hAnsi="Calibri" w:cs="Calibri"/>
                <w:b/>
                <w:bCs/>
                <w:color w:val="000000"/>
                <w:sz w:val="15"/>
                <w:szCs w:val="15"/>
                <w:shd w:val="clear" w:color="auto" w:fill="FFFFFF"/>
              </w:rPr>
            </w:pPr>
            <w:r>
              <w:rPr>
                <w:rFonts w:hint="default" w:ascii="Calibri" w:hAnsi="Calibri" w:cs="Calibri"/>
                <w:b/>
                <w:bCs/>
                <w:color w:val="000000"/>
                <w:sz w:val="15"/>
                <w:szCs w:val="15"/>
                <w:shd w:val="clear" w:color="auto" w:fill="FFFFFF"/>
              </w:rPr>
              <w:t>Beds</w:t>
            </w:r>
          </w:p>
        </w:tc>
        <w:tc>
          <w:tcPr>
            <w:tcW w:w="1537" w:type="dxa"/>
            <w:tcBorders>
              <w:top w:val="single" w:color="auto" w:sz="4" w:space="0"/>
              <w:left w:val="nil"/>
              <w:bottom w:val="single" w:color="auto" w:sz="4" w:space="0"/>
            </w:tcBorders>
            <w:noWrap w:val="0"/>
            <w:vAlign w:val="center"/>
          </w:tcPr>
          <w:p>
            <w:pPr>
              <w:keepNext/>
              <w:keepLines/>
              <w:spacing w:before="240" w:after="64" w:line="360" w:lineRule="auto"/>
              <w:jc w:val="center"/>
              <w:outlineLvl w:val="0"/>
              <w:rPr>
                <w:rFonts w:hint="default" w:ascii="Calibri" w:hAnsi="Calibri" w:cs="Calibri"/>
                <w:b/>
                <w:bCs/>
                <w:color w:val="000000"/>
                <w:sz w:val="15"/>
                <w:szCs w:val="15"/>
                <w:shd w:val="clear" w:color="auto" w:fill="FFFFFF"/>
              </w:rPr>
            </w:pPr>
            <w:r>
              <w:rPr>
                <w:rFonts w:hint="default" w:ascii="Calibri" w:hAnsi="Calibri" w:cs="Calibri"/>
                <w:b/>
                <w:bCs/>
                <w:color w:val="000000"/>
                <w:sz w:val="15"/>
                <w:szCs w:val="15"/>
                <w:shd w:val="clear" w:color="auto" w:fill="FFFFFF"/>
              </w:rPr>
              <w:t>Staff</w:t>
            </w:r>
            <w:r>
              <w:rPr>
                <w:rFonts w:hint="default" w:ascii="Calibri" w:hAnsi="Calibri" w:cs="Calibri"/>
                <w:b/>
                <w:bCs/>
                <w:color w:val="000000"/>
                <w:sz w:val="15"/>
                <w:szCs w:val="15"/>
                <w:shd w:val="clear" w:color="auto" w:fill="FFFFFF"/>
                <w:lang w:val="en-US" w:eastAsia="zh-CN"/>
              </w:rPr>
              <w:t>s</w:t>
            </w:r>
            <w:r>
              <w:rPr>
                <w:rFonts w:hint="default" w:ascii="Calibri" w:hAnsi="Calibri" w:cs="Calibri"/>
                <w:b/>
                <w:bCs/>
                <w:color w:val="000000"/>
                <w:sz w:val="15"/>
                <w:szCs w:val="15"/>
                <w:shd w:val="clear" w:color="auto" w:fill="FFFFFF"/>
              </w:rPr>
              <w:t xml:space="preserve"> of Clinical Microbioloy Lab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Calibri" w:hAnsi="Calibri" w:cs="Calibri"/>
                <w:b/>
                <w:bCs/>
                <w:color w:val="000000"/>
                <w:sz w:val="15"/>
                <w:szCs w:val="15"/>
                <w:shd w:val="clear" w:color="auto" w:fill="FFFFFF"/>
              </w:rPr>
            </w:pPr>
            <w:r>
              <w:rPr>
                <w:rFonts w:hint="default" w:ascii="Calibri" w:hAnsi="Calibri" w:cs="Calibri"/>
                <w:color w:val="000000"/>
                <w:sz w:val="15"/>
                <w:szCs w:val="15"/>
              </w:rPr>
              <w:t>Beijing Jishuitan Hospital</w:t>
            </w:r>
            <w:r>
              <w:rPr>
                <w:rFonts w:hint="default" w:ascii="Calibri" w:hAnsi="Calibri" w:cs="Calibri"/>
                <w:color w:val="000000"/>
                <w:sz w:val="15"/>
                <w:szCs w:val="15"/>
                <w:lang w:val="en-US" w:eastAsia="zh-CN"/>
              </w:rPr>
              <w:t>,</w:t>
            </w:r>
            <w:r>
              <w:rPr>
                <w:rFonts w:hint="default" w:ascii="Calibri" w:hAnsi="Calibri" w:cs="Calibri"/>
                <w:color w:val="000000"/>
                <w:sz w:val="15"/>
                <w:szCs w:val="15"/>
              </w:rPr>
              <w:t xml:space="preserve"> </w:t>
            </w:r>
          </w:p>
        </w:tc>
        <w:tc>
          <w:tcPr>
            <w:tcW w:w="1407"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
                <w:bCs/>
                <w:color w:val="000000"/>
                <w:sz w:val="15"/>
                <w:szCs w:val="15"/>
                <w:shd w:val="clear" w:color="auto" w:fill="FFFFFF"/>
              </w:rPr>
            </w:pPr>
            <w:r>
              <w:rPr>
                <w:rFonts w:hint="default" w:ascii="Calibri" w:hAnsi="Calibri" w:cs="Calibri"/>
                <w:color w:val="000000"/>
                <w:sz w:val="15"/>
                <w:szCs w:val="15"/>
                <w:shd w:val="clear" w:color="auto" w:fill="FFFFFF"/>
              </w:rPr>
              <w:t>Beijing</w:t>
            </w:r>
          </w:p>
        </w:tc>
        <w:tc>
          <w:tcPr>
            <w:tcW w:w="1153"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
                <w:bCs/>
                <w:color w:val="000000"/>
                <w:sz w:val="15"/>
                <w:szCs w:val="15"/>
                <w:shd w:val="clear" w:color="auto" w:fill="FFFFFF"/>
              </w:rPr>
            </w:pPr>
            <w:r>
              <w:rPr>
                <w:rFonts w:hint="default" w:ascii="Calibri" w:hAnsi="Calibri" w:cs="Calibri"/>
                <w:bCs/>
                <w:color w:val="000000"/>
                <w:sz w:val="15"/>
                <w:szCs w:val="15"/>
                <w:shd w:val="clear" w:color="auto" w:fill="FFFFFF"/>
              </w:rPr>
              <w:t>Yes</w:t>
            </w:r>
          </w:p>
        </w:tc>
        <w:tc>
          <w:tcPr>
            <w:tcW w:w="1200" w:type="dxa"/>
            <w:tcBorders>
              <w:top w:val="single" w:color="auto" w:sz="4" w:space="0"/>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
                <w:bCs/>
                <w:color w:val="000000"/>
                <w:sz w:val="15"/>
                <w:szCs w:val="15"/>
                <w:shd w:val="clear" w:color="auto" w:fill="FFFFFF"/>
              </w:rPr>
            </w:pPr>
            <w:r>
              <w:rPr>
                <w:rFonts w:hint="default" w:ascii="Calibri" w:hAnsi="Calibri" w:cs="Calibri"/>
                <w:bCs/>
                <w:color w:val="000000"/>
                <w:sz w:val="15"/>
                <w:szCs w:val="15"/>
                <w:shd w:val="clear" w:color="auto" w:fill="FFFFFF"/>
              </w:rPr>
              <w:t>1500</w:t>
            </w:r>
          </w:p>
        </w:tc>
        <w:tc>
          <w:tcPr>
            <w:tcW w:w="1537" w:type="dxa"/>
            <w:tcBorders>
              <w:top w:val="single" w:color="auto" w:sz="4" w:space="0"/>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eastAsia="宋体" w:cs="Calibri"/>
                <w:bCs/>
                <w:color w:val="000000"/>
                <w:sz w:val="15"/>
                <w:szCs w:val="15"/>
                <w:shd w:val="clear" w:color="auto" w:fill="FFFFFF"/>
                <w:lang w:val="en-US" w:eastAsia="zh-CN"/>
              </w:rPr>
            </w:pPr>
            <w:r>
              <w:rPr>
                <w:rFonts w:hint="default" w:ascii="Calibri" w:hAnsi="Calibri" w:cs="Calibri"/>
                <w:bCs/>
                <w:color w:val="000000"/>
                <w:sz w:val="15"/>
                <w:szCs w:val="15"/>
                <w:shd w:val="clear" w:color="auto" w:fill="FFFFFF"/>
                <w:lang w:val="en-US" w:eastAsia="zh-CN"/>
              </w:rPr>
              <w:t>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Calibri" w:hAnsi="Calibri" w:cs="Calibri"/>
                <w:bCs/>
                <w:color w:val="000000"/>
                <w:sz w:val="15"/>
                <w:szCs w:val="15"/>
                <w:shd w:val="clear" w:color="auto" w:fill="FFFFFF"/>
              </w:rPr>
            </w:pPr>
            <w:r>
              <w:rPr>
                <w:rFonts w:hint="default" w:ascii="Calibri" w:hAnsi="Calibri" w:cs="Calibri"/>
                <w:color w:val="000000"/>
                <w:sz w:val="15"/>
                <w:szCs w:val="15"/>
                <w:shd w:val="clear" w:color="auto" w:fill="FFFFFF"/>
              </w:rPr>
              <w:t>Beijing Chao-Yang Hospital</w:t>
            </w:r>
            <w:r>
              <w:rPr>
                <w:rStyle w:val="5"/>
                <w:rFonts w:hint="default" w:ascii="Calibri" w:hAnsi="Calibri" w:cs="Calibri"/>
                <w:color w:val="000000"/>
                <w:sz w:val="15"/>
                <w:szCs w:val="15"/>
              </w:rPr>
              <w:t xml:space="preserve"> </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color w:val="000000"/>
                <w:sz w:val="15"/>
                <w:szCs w:val="15"/>
                <w:shd w:val="clear" w:color="auto" w:fill="FFFFFF"/>
              </w:rPr>
              <w:t>Beijing</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highlight w:val="yellow"/>
                <w:shd w:val="clear" w:color="auto" w:fill="FFFFFF"/>
              </w:rPr>
            </w:pPr>
            <w:r>
              <w:rPr>
                <w:rFonts w:hint="default" w:ascii="Calibri" w:hAnsi="Calibri" w:cs="Calibri"/>
                <w:bCs/>
                <w:color w:val="000000"/>
                <w:sz w:val="15"/>
                <w:szCs w:val="15"/>
                <w:shd w:val="clear" w:color="auto" w:fill="FFFFFF"/>
              </w:rPr>
              <w:t>1400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eastAsia="宋体" w:cs="Calibri"/>
                <w:bCs/>
                <w:color w:val="000000"/>
                <w:sz w:val="15"/>
                <w:szCs w:val="15"/>
                <w:shd w:val="clear" w:color="auto" w:fill="FFFFFF"/>
                <w:lang w:val="en-US" w:eastAsia="zh-CN"/>
              </w:rPr>
            </w:pPr>
            <w:r>
              <w:rPr>
                <w:rFonts w:hint="default" w:ascii="Calibri" w:hAnsi="Calibri" w:cs="Calibri"/>
                <w:bCs/>
                <w:color w:val="000000"/>
                <w:sz w:val="15"/>
                <w:szCs w:val="15"/>
                <w:shd w:val="clear" w:color="auto" w:fill="FFFFFF"/>
                <w:lang w:val="en-US" w:eastAsia="zh-CN"/>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shd w:val="clear" w:color="000000" w:fill="FFFFFF"/>
              <w:kinsoku/>
              <w:wordWrap/>
              <w:overflowPunct/>
              <w:topLinePunct w:val="0"/>
              <w:autoSpaceDE/>
              <w:autoSpaceDN/>
              <w:bidi w:val="0"/>
              <w:adjustRightInd/>
              <w:snapToGrid/>
              <w:spacing w:before="75" w:line="360" w:lineRule="auto"/>
              <w:jc w:val="left"/>
              <w:textAlignment w:val="auto"/>
              <w:rPr>
                <w:rFonts w:hint="default" w:ascii="Calibri" w:hAnsi="Calibri" w:cs="Calibri"/>
                <w:color w:val="000000"/>
                <w:sz w:val="15"/>
                <w:szCs w:val="15"/>
                <w:shd w:val="clear" w:color="auto" w:fill="FFFFFF"/>
              </w:rPr>
            </w:pPr>
            <w:r>
              <w:rPr>
                <w:rStyle w:val="5"/>
                <w:rFonts w:hint="default" w:ascii="Calibri" w:hAnsi="Calibri" w:cs="Calibri"/>
                <w:b w:val="0"/>
                <w:color w:val="000000"/>
                <w:sz w:val="15"/>
                <w:szCs w:val="15"/>
              </w:rPr>
              <w:t>the 2nd People’s Hospital of Yunnan Province</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Style w:val="5"/>
                <w:rFonts w:hint="default" w:ascii="Calibri" w:hAnsi="Calibri" w:cs="Calibri"/>
                <w:b w:val="0"/>
                <w:color w:val="000000"/>
                <w:sz w:val="15"/>
                <w:szCs w:val="15"/>
              </w:rPr>
            </w:pPr>
            <w:r>
              <w:rPr>
                <w:rStyle w:val="5"/>
                <w:rFonts w:hint="default" w:ascii="Calibri" w:hAnsi="Calibri" w:cs="Calibri"/>
                <w:b w:val="0"/>
                <w:color w:val="000000"/>
                <w:sz w:val="15"/>
                <w:szCs w:val="15"/>
              </w:rPr>
              <w:t>Kunming,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Style w:val="5"/>
                <w:rFonts w:hint="default" w:ascii="Calibri" w:hAnsi="Calibri" w:cs="Calibri"/>
                <w:b w:val="0"/>
                <w:color w:val="000000"/>
                <w:sz w:val="15"/>
                <w:szCs w:val="15"/>
              </w:rPr>
              <w:t>Yan</w:t>
            </w:r>
            <w:r>
              <w:rPr>
                <w:rStyle w:val="5"/>
                <w:rFonts w:hint="default" w:ascii="Calibri" w:hAnsi="Calibri" w:cs="Calibri"/>
                <w:b w:val="0"/>
                <w:bCs w:val="0"/>
                <w:color w:val="000000"/>
                <w:sz w:val="15"/>
                <w:szCs w:val="15"/>
              </w:rPr>
              <w:t>’</w:t>
            </w:r>
            <w:r>
              <w:rPr>
                <w:rStyle w:val="5"/>
                <w:rFonts w:hint="default" w:ascii="Calibri" w:hAnsi="Calibri" w:cs="Calibri"/>
                <w:b w:val="0"/>
                <w:color w:val="000000"/>
                <w:sz w:val="15"/>
                <w:szCs w:val="15"/>
              </w:rPr>
              <w:t>an</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1302</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eastAsia="宋体" w:cs="Calibri"/>
                <w:bCs/>
                <w:color w:val="000000"/>
                <w:sz w:val="15"/>
                <w:szCs w:val="15"/>
                <w:shd w:val="clear" w:color="auto" w:fill="FFFFFF"/>
                <w:lang w:val="en-US" w:eastAsia="zh-CN"/>
              </w:rPr>
            </w:pPr>
            <w:r>
              <w:rPr>
                <w:rFonts w:hint="default" w:ascii="Calibri" w:hAnsi="Calibri" w:cs="Calibri"/>
                <w:bCs/>
                <w:color w:val="000000"/>
                <w:sz w:val="15"/>
                <w:szCs w:val="15"/>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5" w:line="360" w:lineRule="auto"/>
              <w:jc w:val="left"/>
              <w:textAlignment w:val="auto"/>
              <w:rPr>
                <w:rFonts w:hint="default" w:ascii="Calibri" w:hAnsi="Calibri" w:cs="Calibri"/>
                <w:bCs/>
                <w:color w:val="000000"/>
                <w:sz w:val="15"/>
                <w:szCs w:val="15"/>
              </w:rPr>
            </w:pPr>
            <w:r>
              <w:rPr>
                <w:rStyle w:val="5"/>
                <w:rFonts w:hint="default" w:ascii="Calibri" w:hAnsi="Calibri" w:cs="Calibri"/>
                <w:b w:val="0"/>
                <w:color w:val="000000"/>
                <w:sz w:val="15"/>
                <w:szCs w:val="15"/>
              </w:rPr>
              <w:t>Qingdao Municipal Hospital</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ShanDong,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Qingdao</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1200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eastAsia="宋体" w:cs="Calibri"/>
                <w:bCs/>
                <w:color w:val="000000"/>
                <w:sz w:val="15"/>
                <w:szCs w:val="15"/>
                <w:shd w:val="clear" w:color="auto" w:fill="FFFFFF"/>
                <w:lang w:val="en-US" w:eastAsia="zh-CN"/>
              </w:rPr>
            </w:pPr>
            <w:r>
              <w:rPr>
                <w:rFonts w:hint="default" w:ascii="Calibri" w:hAnsi="Calibri" w:cs="Calibri"/>
                <w:bCs/>
                <w:color w:val="000000"/>
                <w:sz w:val="15"/>
                <w:szCs w:val="15"/>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default" w:ascii="Calibri" w:hAnsi="Calibri" w:cs="Calibri"/>
                <w:sz w:val="15"/>
                <w:szCs w:val="15"/>
              </w:rPr>
            </w:pPr>
            <w:r>
              <w:rPr>
                <w:rFonts w:hint="default" w:ascii="Calibri" w:hAnsi="Calibri" w:cs="Calibri"/>
                <w:color w:val="000000"/>
                <w:sz w:val="15"/>
                <w:szCs w:val="15"/>
                <w:lang w:val="en-US" w:eastAsia="zh-CN"/>
              </w:rPr>
              <w:t>Beijing Huimin</w:t>
            </w:r>
            <w:r>
              <w:rPr>
                <w:rFonts w:hint="default" w:ascii="Calibri" w:hAnsi="Calibri" w:cs="Calibri"/>
                <w:color w:val="000000"/>
                <w:sz w:val="15"/>
                <w:szCs w:val="15"/>
              </w:rPr>
              <w:t xml:space="preserve"> Hospital</w:t>
            </w:r>
          </w:p>
        </w:tc>
        <w:tc>
          <w:tcPr>
            <w:tcW w:w="1407"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color w:val="000000"/>
                <w:sz w:val="15"/>
                <w:szCs w:val="15"/>
                <w:shd w:val="clear" w:color="auto" w:fill="FFFFFF"/>
              </w:rPr>
            </w:pPr>
            <w:r>
              <w:rPr>
                <w:rFonts w:hint="default" w:ascii="Calibri" w:hAnsi="Calibri" w:cs="Calibri"/>
                <w:color w:val="000000"/>
                <w:sz w:val="15"/>
                <w:szCs w:val="15"/>
                <w:shd w:val="clear" w:color="auto" w:fill="FFFFFF"/>
              </w:rPr>
              <w:t>Beijing</w:t>
            </w:r>
          </w:p>
        </w:tc>
        <w:tc>
          <w:tcPr>
            <w:tcW w:w="1153"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cs="Calibri"/>
                <w:bCs/>
                <w:color w:val="000000"/>
                <w:sz w:val="15"/>
                <w:szCs w:val="15"/>
                <w:shd w:val="clear" w:color="auto" w:fill="FFFFFF"/>
              </w:rPr>
            </w:pPr>
            <w:r>
              <w:rPr>
                <w:rFonts w:hint="default" w:ascii="Calibri" w:hAnsi="Calibri" w:cs="Calibri"/>
                <w:bCs/>
                <w:color w:val="000000"/>
                <w:sz w:val="15"/>
                <w:szCs w:val="15"/>
                <w:shd w:val="clear" w:color="auto" w:fill="FFFFFF"/>
              </w:rPr>
              <w:t>Yes</w:t>
            </w:r>
          </w:p>
        </w:tc>
        <w:tc>
          <w:tcPr>
            <w:tcW w:w="1200" w:type="dxa"/>
            <w:tcBorders>
              <w:top w:val="nil"/>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eastAsia="宋体" w:cs="Calibri"/>
                <w:bCs/>
                <w:color w:val="000000"/>
                <w:sz w:val="15"/>
                <w:szCs w:val="15"/>
                <w:shd w:val="clear" w:color="auto" w:fill="FFFFFF"/>
                <w:lang w:val="en-US" w:eastAsia="zh-CN"/>
              </w:rPr>
            </w:pPr>
            <w:r>
              <w:rPr>
                <w:rFonts w:hint="default" w:ascii="Calibri" w:hAnsi="Calibri" w:cs="Calibri"/>
                <w:bCs/>
                <w:color w:val="000000"/>
                <w:sz w:val="15"/>
                <w:szCs w:val="15"/>
                <w:shd w:val="clear" w:color="auto" w:fill="FFFFFF"/>
              </w:rPr>
              <w:t>1</w:t>
            </w:r>
            <w:r>
              <w:rPr>
                <w:rFonts w:hint="default" w:ascii="Calibri" w:hAnsi="Calibri" w:cs="Calibri"/>
                <w:bCs/>
                <w:color w:val="000000"/>
                <w:sz w:val="15"/>
                <w:szCs w:val="15"/>
                <w:shd w:val="clear" w:color="auto" w:fill="FFFFFF"/>
                <w:lang w:val="en-US" w:eastAsia="zh-CN"/>
              </w:rPr>
              <w:t>000</w:t>
            </w:r>
          </w:p>
        </w:tc>
        <w:tc>
          <w:tcPr>
            <w:tcW w:w="1537" w:type="dxa"/>
            <w:tcBorders>
              <w:top w:val="nil"/>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Calibri" w:hAnsi="Calibri" w:eastAsia="宋体" w:cs="Calibri"/>
                <w:bCs/>
                <w:color w:val="000000"/>
                <w:sz w:val="15"/>
                <w:szCs w:val="15"/>
                <w:shd w:val="clear" w:color="auto" w:fill="FFFFFF"/>
                <w:lang w:val="en-US" w:eastAsia="zh-CN"/>
              </w:rPr>
            </w:pPr>
            <w:r>
              <w:rPr>
                <w:rFonts w:hint="default" w:ascii="Calibri" w:hAnsi="Calibri" w:cs="Calibri"/>
                <w:bCs/>
                <w:color w:val="000000"/>
                <w:sz w:val="15"/>
                <w:szCs w:val="15"/>
                <w:shd w:val="clear" w:color="auto" w:fill="FFFFFF"/>
                <w:lang w:val="en-US" w:eastAsia="zh-CN"/>
              </w:rPr>
              <w:t>2</w:t>
            </w:r>
          </w:p>
        </w:tc>
      </w:tr>
    </w:tbl>
    <w:p>
      <w:pPr>
        <w:rPr>
          <w:rFonts w:hint="default" w:ascii="Calibri" w:hAnsi="Calibri" w:cs="Calibri"/>
          <w:sz w:val="15"/>
          <w:szCs w:val="15"/>
        </w:rPr>
      </w:pPr>
    </w:p>
    <w:p>
      <w:pPr>
        <w:rPr>
          <w:rFonts w:hint="default" w:ascii="Calibri" w:hAnsi="Calibri" w:cs="Calibri"/>
          <w:sz w:val="20"/>
          <w:szCs w:val="20"/>
          <w:lang w:val="en-US" w:eastAsia="zh-CN"/>
        </w:rPr>
      </w:pPr>
      <w:r>
        <w:rPr>
          <w:rFonts w:hint="default" w:ascii="Calibri" w:hAnsi="Calibri" w:cs="Calibri"/>
          <w:b/>
          <w:bCs/>
          <w:sz w:val="20"/>
          <w:szCs w:val="20"/>
          <w:shd w:val="clear" w:color="auto" w:fill="FFFFFF"/>
        </w:rPr>
        <w:t>Supplementary</w:t>
      </w:r>
      <w:r>
        <w:rPr>
          <w:rFonts w:hint="default" w:ascii="Calibri" w:hAnsi="Calibri" w:eastAsia="宋体" w:cs="Calibri"/>
          <w:b/>
          <w:bCs/>
          <w:sz w:val="20"/>
          <w:szCs w:val="20"/>
          <w:shd w:val="clear" w:color="auto" w:fill="FFFFFF"/>
          <w:lang w:val="en-US" w:eastAsia="zh-CN"/>
        </w:rPr>
        <w:t xml:space="preserve"> Material</w:t>
      </w:r>
      <w:r>
        <w:rPr>
          <w:rFonts w:hint="default" w:ascii="Calibri" w:hAnsi="Calibri" w:cs="Calibri"/>
          <w:b/>
          <w:bCs/>
          <w:sz w:val="20"/>
          <w:szCs w:val="20"/>
          <w:lang w:val="en-US" w:eastAsia="zh-CN"/>
        </w:rPr>
        <w:t xml:space="preserve"> 2 </w:t>
      </w:r>
      <w:r>
        <w:rPr>
          <w:rFonts w:hint="default" w:ascii="Calibri" w:hAnsi="Calibri" w:cs="Calibri"/>
          <w:b/>
          <w:bCs/>
          <w:color w:val="000000"/>
          <w:sz w:val="20"/>
          <w:szCs w:val="20"/>
          <w:shd w:val="clear" w:color="auto" w:fill="FFFFFF"/>
        </w:rPr>
        <w:t>Definition of underlying diseases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 xml:space="preserve">Smoking </w:t>
      </w:r>
      <w:r>
        <w:rPr>
          <w:rFonts w:hint="default" w:ascii="Calibri" w:hAnsi="Calibri" w:eastAsia="TimesNewRomanPSMT" w:cs="Calibri"/>
          <w:color w:val="000000"/>
          <w:kern w:val="0"/>
          <w:sz w:val="20"/>
          <w:szCs w:val="20"/>
          <w:lang w:val="en-US" w:eastAsia="zh-CN" w:bidi="ar"/>
        </w:rPr>
        <w:t xml:space="preserve">was defined as </w:t>
      </w:r>
      <w:r>
        <w:rPr>
          <w:rFonts w:hint="default" w:ascii="Calibri" w:hAnsi="Calibri" w:cs="Calibri"/>
          <w:sz w:val="20"/>
          <w:szCs w:val="20"/>
          <w:lang w:val="en-US" w:eastAsia="zh-CN"/>
        </w:rPr>
        <w:t>cigarette smokers of 10 cigarettes/d during at least the previous year；</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Hypertension was defined as systolic blood pressure≥140mmHg and /or diastolic blood pressure ≥ 90 mmHg in resting status;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 xml:space="preserve">Chronic </w:t>
      </w:r>
      <w:r>
        <w:rPr>
          <w:rFonts w:hint="eastAsia" w:ascii="Calibri" w:hAnsi="Calibri" w:cs="Calibri"/>
          <w:sz w:val="20"/>
          <w:szCs w:val="20"/>
          <w:lang w:val="en-US" w:eastAsia="zh-CN"/>
        </w:rPr>
        <w:t xml:space="preserve">obstructive </w:t>
      </w:r>
      <w:r>
        <w:rPr>
          <w:rFonts w:hint="default" w:ascii="Calibri" w:hAnsi="Calibri" w:cs="Calibri"/>
          <w:sz w:val="20"/>
          <w:szCs w:val="20"/>
          <w:lang w:val="en-US" w:eastAsia="zh-CN"/>
        </w:rPr>
        <w:t>pulmonary disease was defined as: persistent airflow limitation, FEV</w:t>
      </w:r>
      <w:r>
        <w:rPr>
          <w:rFonts w:hint="default" w:ascii="Calibri" w:hAnsi="Calibri" w:cs="Calibri"/>
          <w:sz w:val="20"/>
          <w:szCs w:val="20"/>
          <w:vertAlign w:val="subscript"/>
          <w:lang w:val="en-US" w:eastAsia="zh-CN"/>
        </w:rPr>
        <w:t>1</w:t>
      </w:r>
      <w:r>
        <w:rPr>
          <w:rFonts w:hint="default" w:ascii="Calibri" w:hAnsi="Calibri" w:cs="Calibri"/>
          <w:sz w:val="20"/>
          <w:szCs w:val="20"/>
          <w:lang w:val="en-US" w:eastAsia="zh-CN"/>
        </w:rPr>
        <w:t xml:space="preserve"> / FVC &lt; 70% post bronchodilator;</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Asthma was defined by the history of respiratory symptoms such as wheeze, cough that varied over time and intensity, together with variable respiratory airway limitation;</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Coronary heart disease included angina pectoris, myocardial infarction, ischemic cardiomyopathy;</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eastAsia" w:ascii="Calibri" w:hAnsi="Calibri" w:cs="Calibri"/>
          <w:sz w:val="20"/>
          <w:szCs w:val="20"/>
          <w:lang w:val="en-US" w:eastAsia="zh-CN"/>
        </w:rPr>
        <w:t>Heart failure wa</w:t>
      </w:r>
      <w:bookmarkStart w:id="0" w:name="_GoBack"/>
      <w:bookmarkEnd w:id="0"/>
      <w:r>
        <w:rPr>
          <w:rFonts w:hint="eastAsia" w:ascii="Calibri" w:hAnsi="Calibri" w:cs="Calibri"/>
          <w:sz w:val="20"/>
          <w:szCs w:val="20"/>
          <w:lang w:val="en-US" w:eastAsia="zh-CN"/>
        </w:rPr>
        <w:t>s defined as a clinical syndrome consisting of dyspnea, malaise, swelling and/or decreased exercise capacity due to the loss of compensation for cardiac pumping function due to structural and/or functional abnormalities of the heart</w:t>
      </w:r>
      <w:r>
        <w:rPr>
          <w:rFonts w:hint="default" w:ascii="Calibri" w:hAnsi="Calibri" w:cs="Calibri"/>
          <w:sz w:val="20"/>
          <w:szCs w:val="20"/>
          <w:lang w:val="en-US" w:eastAsia="zh-CN"/>
        </w:rPr>
        <w:t>;</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Cerebrovascular diseases included transient ischemic attack, cerebral hemorrhage, subarachnoid hemorrhage, cerebral infarction;</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Diabetes mellitus: included diabetes mellitus type 1 and diabetes mellitus type 2, not included impaired glucose tolerance and impaired fasting glycaemia;</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cs="Calibri"/>
          <w:color w:val="000000"/>
          <w:sz w:val="20"/>
          <w:szCs w:val="20"/>
        </w:rPr>
      </w:pPr>
      <w:r>
        <w:rPr>
          <w:rFonts w:hint="default" w:ascii="Calibri" w:hAnsi="Calibri" w:cs="Calibri"/>
          <w:color w:val="000000"/>
          <w:sz w:val="20"/>
          <w:szCs w:val="20"/>
        </w:rPr>
        <w:t>Chronic kidney disease included diabetic nephropathy, hypertensive renal damage, chronic glomerulonephritis, chronic pyelonephritis, lupus nephritis, IgA nephropathy, nephrotic syndrome, hereditary kidney disease;</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cs="Calibri"/>
          <w:bCs/>
          <w:color w:val="000000"/>
          <w:sz w:val="20"/>
          <w:szCs w:val="20"/>
          <w:shd w:val="clear" w:color="auto" w:fill="FFFFFF"/>
        </w:rPr>
      </w:pPr>
      <w:r>
        <w:rPr>
          <w:rFonts w:hint="default" w:ascii="Calibri" w:hAnsi="Calibri" w:eastAsia="宋体" w:cs="Calibri"/>
          <w:color w:val="000000"/>
          <w:sz w:val="20"/>
          <w:szCs w:val="20"/>
          <w:lang w:val="en-US" w:eastAsia="zh-CN"/>
        </w:rPr>
        <w:t>Obesity was defined as body mass index (BMI) ≥ 30 kg/m</w:t>
      </w:r>
      <w:r>
        <w:rPr>
          <w:rFonts w:hint="default" w:ascii="Calibri" w:hAnsi="Calibri" w:eastAsia="宋体" w:cs="Calibri"/>
          <w:color w:val="000000"/>
          <w:sz w:val="20"/>
          <w:szCs w:val="20"/>
          <w:vertAlign w:val="superscript"/>
          <w:lang w:val="en-US" w:eastAsia="zh-CN"/>
        </w:rPr>
        <w:t>2</w:t>
      </w:r>
      <w:r>
        <w:rPr>
          <w:rFonts w:hint="default" w:ascii="Calibri" w:hAnsi="Calibri" w:eastAsia="宋体" w:cs="Calibri"/>
          <w:color w:val="000000"/>
          <w:sz w:val="20"/>
          <w:szCs w:val="20"/>
          <w:lang w:val="en-US" w:eastAsia="zh-CN"/>
        </w:rPr>
        <w:t>;</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cs="Calibri"/>
          <w:bCs/>
          <w:color w:val="000000"/>
          <w:sz w:val="20"/>
          <w:szCs w:val="20"/>
          <w:shd w:val="clear" w:color="auto" w:fill="FFFFFF"/>
        </w:rPr>
      </w:pPr>
      <w:r>
        <w:rPr>
          <w:rFonts w:hint="default" w:ascii="Calibri" w:hAnsi="Calibri" w:cs="Calibri"/>
          <w:color w:val="000000"/>
          <w:sz w:val="20"/>
          <w:szCs w:val="20"/>
        </w:rPr>
        <w:t>Immunosuppressive therapy: was defined as systm</w:t>
      </w:r>
      <w:r>
        <w:rPr>
          <w:rFonts w:hint="default" w:ascii="Calibri" w:hAnsi="Calibri" w:cs="Calibri"/>
          <w:color w:val="000000"/>
          <w:sz w:val="20"/>
          <w:szCs w:val="20"/>
          <w:lang w:val="en-US" w:eastAsia="zh-CN"/>
        </w:rPr>
        <w:t>e</w:t>
      </w:r>
      <w:r>
        <w:rPr>
          <w:rFonts w:hint="default" w:ascii="Calibri" w:hAnsi="Calibri" w:cs="Calibri"/>
          <w:color w:val="000000"/>
          <w:sz w:val="20"/>
          <w:szCs w:val="20"/>
        </w:rPr>
        <w:t xml:space="preserve">tic glucocorticosteroid (such as prednisone </w:t>
      </w:r>
      <w:r>
        <w:rPr>
          <w:rFonts w:hint="default" w:ascii="Calibri" w:hAnsi="Calibri" w:cs="Calibri"/>
          <w:bCs/>
          <w:color w:val="000000"/>
          <w:sz w:val="20"/>
          <w:szCs w:val="20"/>
          <w:shd w:val="clear" w:color="auto" w:fill="FFFFFF"/>
        </w:rPr>
        <w:t>≥</w:t>
      </w:r>
      <w:r>
        <w:rPr>
          <w:rFonts w:hint="default" w:ascii="Calibri" w:hAnsi="Calibri" w:cs="Calibri"/>
          <w:bCs/>
          <w:color w:val="000000"/>
          <w:sz w:val="20"/>
          <w:szCs w:val="20"/>
          <w:shd w:val="clear" w:color="auto" w:fill="FFFFFF"/>
          <w:lang w:val="en-US" w:eastAsia="zh-CN"/>
        </w:rPr>
        <w:t xml:space="preserve"> </w:t>
      </w:r>
      <w:r>
        <w:rPr>
          <w:rFonts w:hint="default" w:ascii="Calibri" w:hAnsi="Calibri" w:cs="Calibri"/>
          <w:bCs/>
          <w:color w:val="000000"/>
          <w:sz w:val="20"/>
          <w:szCs w:val="20"/>
          <w:shd w:val="clear" w:color="auto" w:fill="FFFFFF"/>
        </w:rPr>
        <w:t>10mg/d for more than 3 weeks in the last month); cyclosporine or azathioprine use within 3 months, and methotrexate use ≥</w:t>
      </w:r>
      <w:r>
        <w:rPr>
          <w:rFonts w:hint="default" w:ascii="Calibri" w:hAnsi="Calibri" w:cs="Calibri"/>
          <w:bCs/>
          <w:color w:val="000000"/>
          <w:sz w:val="20"/>
          <w:szCs w:val="20"/>
          <w:shd w:val="clear" w:color="auto" w:fill="FFFFFF"/>
          <w:lang w:val="en-US" w:eastAsia="zh-CN"/>
        </w:rPr>
        <w:t xml:space="preserve"> </w:t>
      </w:r>
      <w:r>
        <w:rPr>
          <w:rFonts w:hint="default" w:ascii="Calibri" w:hAnsi="Calibri" w:cs="Calibri"/>
          <w:bCs/>
          <w:color w:val="000000"/>
          <w:sz w:val="20"/>
          <w:szCs w:val="20"/>
          <w:shd w:val="clear" w:color="auto" w:fill="FFFFFF"/>
        </w:rPr>
        <w:t>12.5</w:t>
      </w:r>
      <w:r>
        <w:rPr>
          <w:rFonts w:hint="default" w:ascii="Calibri" w:hAnsi="Calibri" w:eastAsia="宋体" w:cs="Calibri"/>
          <w:bCs/>
          <w:color w:val="000000"/>
          <w:sz w:val="20"/>
          <w:szCs w:val="20"/>
          <w:shd w:val="clear" w:color="auto" w:fill="FFFFFF"/>
          <w:lang w:val="en-US" w:eastAsia="zh-CN"/>
        </w:rPr>
        <w:t xml:space="preserve"> </w:t>
      </w:r>
      <w:r>
        <w:rPr>
          <w:rFonts w:hint="default" w:ascii="Calibri" w:hAnsi="Calibri" w:cs="Calibri"/>
          <w:bCs/>
          <w:color w:val="000000"/>
          <w:sz w:val="20"/>
          <w:szCs w:val="20"/>
          <w:shd w:val="clear" w:color="auto" w:fill="FFFFFF"/>
        </w:rPr>
        <w:t>mg/week within 3 months; biological modifiers such as etanercept and infiximab within 3 weeks.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color w:val="000000"/>
          <w:sz w:val="20"/>
          <w:szCs w:val="20"/>
        </w:rPr>
        <w:t>Immunocompromised status included HIV(+</w:t>
      </w:r>
      <w:r>
        <w:rPr>
          <w:rFonts w:hint="default" w:ascii="Calibri" w:hAnsi="Calibri" w:cs="Calibri"/>
          <w:color w:val="000000"/>
          <w:sz w:val="20"/>
          <w:szCs w:val="20"/>
          <w:lang w:val="en-US" w:eastAsia="zh-CN"/>
        </w:rPr>
        <w:t>)</w:t>
      </w:r>
      <w:r>
        <w:rPr>
          <w:rFonts w:hint="default" w:ascii="Calibri" w:hAnsi="Calibri" w:eastAsia="宋体" w:cs="Calibri"/>
          <w:color w:val="000000"/>
          <w:sz w:val="20"/>
          <w:szCs w:val="20"/>
          <w:lang w:val="en-US" w:eastAsia="zh-CN"/>
        </w:rPr>
        <w:t xml:space="preserve">, </w:t>
      </w:r>
      <w:r>
        <w:rPr>
          <w:rFonts w:hint="default" w:ascii="Calibri" w:hAnsi="Calibri" w:cs="Calibri"/>
          <w:color w:val="000000"/>
          <w:sz w:val="20"/>
          <w:szCs w:val="20"/>
        </w:rPr>
        <w:t>chemotherapy/radiotherapy within 6 months, immunosuppressive therapy, organ/bone marrow transplantation, splenectomy, hematological neoplasms</w:t>
      </w:r>
      <w:r>
        <w:rPr>
          <w:rFonts w:hint="default" w:ascii="Calibri" w:hAnsi="Calibri" w:cs="Calibri"/>
          <w:color w:val="000000"/>
          <w:sz w:val="20"/>
          <w:szCs w:val="20"/>
          <w:lang w:val="en-US" w:eastAsia="zh-CN"/>
        </w:rPr>
        <w:t>.</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Mental confusion was defined as a mental test score of 8 or less or disorientation in person, place or time.</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Calibri" w:hAnsi="Calibri" w:cs="Calibri"/>
          <w:sz w:val="20"/>
          <w:szCs w:val="20"/>
          <w:lang w:val="en-US" w:eastAsia="zh-CN"/>
        </w:rPr>
      </w:pPr>
      <w:r>
        <w:rPr>
          <w:rFonts w:hint="default" w:ascii="Calibri" w:hAnsi="Calibri" w:cs="Calibri"/>
          <w:sz w:val="20"/>
          <w:szCs w:val="20"/>
          <w:lang w:val="en-US" w:eastAsia="zh-CN"/>
        </w:rPr>
        <w:t xml:space="preserve">New or worsening </w:t>
      </w:r>
      <w:r>
        <w:rPr>
          <w:rFonts w:hint="eastAsia" w:ascii="Calibri" w:hAnsi="Calibri" w:cs="Calibri"/>
          <w:sz w:val="20"/>
          <w:szCs w:val="20"/>
          <w:lang w:val="en-US" w:eastAsia="zh-CN"/>
        </w:rPr>
        <w:t>heart failure</w:t>
      </w:r>
      <w:r>
        <w:rPr>
          <w:rFonts w:hint="default" w:ascii="Calibri" w:hAnsi="Calibri" w:cs="Calibri"/>
          <w:sz w:val="20"/>
          <w:szCs w:val="20"/>
          <w:lang w:val="en-US" w:eastAsia="zh-CN"/>
        </w:rPr>
        <w:t xml:space="preserve"> was considered in patients with worsening signs, symptoms, and supportive findings on ECG and/or chest radiograph consistent with this diagnosis (ie, new or worsening paroxysmal nocturnal dyspnea; neck vein distention on clinical examination; pulmonary rales; radiographic cardiomegaly; radiographic evidence of pulmonary edema; left ventricular ejection fraction &lt;40%; S3 gallop; hepatojugular reflux; bilateral ankle edema; initiation or increase in dosage of loop diuretics, angiotensin-converting enzyme inhibitor/angiotensin receptor blocker therapy, vasodilators, or evidence-based beta blocker therapy for heart failure; weight loss &gt;4.5  kg in 5 days in response to treatment</w:t>
      </w:r>
      <w:r>
        <w:rPr>
          <w:rFonts w:hint="eastAsia" w:ascii="Calibri" w:hAnsi="Calibri" w:cs="Calibri"/>
          <w:sz w:val="20"/>
          <w:szCs w:val="20"/>
          <w:lang w:val="en-US" w:eastAsia="zh-CN"/>
        </w:rPr>
        <w:t>.</w:t>
      </w:r>
    </w:p>
    <w:p>
      <w:pPr>
        <w:rPr>
          <w:rFonts w:hint="default" w:ascii="Calibri" w:hAnsi="Calibri" w:cs="Calibri"/>
          <w:sz w:val="15"/>
          <w:szCs w:val="15"/>
        </w:rPr>
      </w:pPr>
    </w:p>
    <w:p>
      <w:pPr>
        <w:rPr>
          <w:rFonts w:hint="default" w:ascii="Calibri" w:hAnsi="Calibri" w:cs="Calibri"/>
          <w:sz w:val="15"/>
          <w:szCs w:val="15"/>
        </w:rPr>
      </w:pPr>
    </w:p>
    <w:p>
      <w:pPr>
        <w:spacing w:line="360" w:lineRule="auto"/>
        <w:rPr>
          <w:rFonts w:hint="default" w:ascii="Calibri" w:hAnsi="Calibri" w:cs="Calibri"/>
          <w:b/>
          <w:bCs/>
          <w:sz w:val="20"/>
          <w:szCs w:val="20"/>
          <w:lang w:val="en-US" w:eastAsia="zh-CN"/>
        </w:rPr>
      </w:pPr>
      <w:r>
        <w:rPr>
          <w:rFonts w:hint="default" w:ascii="Calibri" w:hAnsi="Calibri" w:cs="Calibri"/>
          <w:b/>
          <w:bCs/>
          <w:sz w:val="20"/>
          <w:szCs w:val="20"/>
          <w:shd w:val="clear" w:color="auto" w:fill="FFFFFF"/>
        </w:rPr>
        <w:t>Supplementary</w:t>
      </w:r>
      <w:r>
        <w:rPr>
          <w:rFonts w:hint="default" w:ascii="Calibri" w:hAnsi="Calibri" w:eastAsia="宋体" w:cs="Calibri"/>
          <w:b/>
          <w:bCs/>
          <w:sz w:val="20"/>
          <w:szCs w:val="20"/>
          <w:shd w:val="clear" w:color="auto" w:fill="FFFFFF"/>
          <w:lang w:val="en-US" w:eastAsia="zh-CN"/>
        </w:rPr>
        <w:t xml:space="preserve"> Material</w:t>
      </w:r>
      <w:r>
        <w:rPr>
          <w:rFonts w:hint="default" w:ascii="Calibri" w:hAnsi="Calibri" w:cs="Calibri"/>
          <w:b/>
          <w:bCs/>
          <w:sz w:val="20"/>
          <w:szCs w:val="20"/>
          <w:lang w:val="en-US" w:eastAsia="zh-CN"/>
        </w:rPr>
        <w:t xml:space="preserve"> 3 </w:t>
      </w:r>
      <w:r>
        <w:rPr>
          <w:rFonts w:hint="default" w:ascii="Calibri" w:hAnsi="Calibri" w:eastAsia="华文琥珀" w:cs="Calibri"/>
          <w:b/>
          <w:bCs/>
          <w:color w:val="000000"/>
          <w:sz w:val="20"/>
          <w:szCs w:val="20"/>
        </w:rPr>
        <w:t xml:space="preserve">Definition of </w:t>
      </w:r>
      <w:r>
        <w:rPr>
          <w:rFonts w:hint="default" w:ascii="Calibri" w:hAnsi="Calibri" w:cs="Calibri"/>
          <w:b/>
          <w:bCs/>
          <w:color w:val="000000"/>
          <w:sz w:val="20"/>
          <w:szCs w:val="20"/>
        </w:rPr>
        <w:t xml:space="preserve">microbiological criteria of </w:t>
      </w:r>
      <w:r>
        <w:rPr>
          <w:rFonts w:hint="default" w:ascii="Calibri" w:hAnsi="Calibri" w:cs="Calibri"/>
          <w:b/>
          <w:bCs/>
          <w:sz w:val="20"/>
          <w:szCs w:val="20"/>
          <w:vertAlign w:val="baseline"/>
          <w:lang w:val="en-US" w:eastAsia="zh-CN"/>
        </w:rPr>
        <w:t>coinfected with other pathogens</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Positive urinary antigen for </w:t>
      </w:r>
      <w:r>
        <w:rPr>
          <w:rFonts w:hint="default" w:ascii="Calibri" w:hAnsi="Calibri" w:eastAsia="华文琥珀" w:cs="Calibri"/>
          <w:bCs/>
          <w:i/>
          <w:color w:val="000000"/>
          <w:sz w:val="20"/>
          <w:szCs w:val="20"/>
        </w:rPr>
        <w:t>Legionella pneumophila</w:t>
      </w:r>
      <w:r>
        <w:rPr>
          <w:rFonts w:hint="default" w:ascii="Calibri" w:hAnsi="Calibri" w:eastAsia="华文琥珀" w:cs="Calibri"/>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Positive urinary antigen for </w:t>
      </w:r>
      <w:r>
        <w:rPr>
          <w:rFonts w:hint="default" w:ascii="Calibri" w:hAnsi="Calibri" w:eastAsia="华文琥珀" w:cs="Calibri"/>
          <w:bCs/>
          <w:i/>
          <w:color w:val="000000"/>
          <w:sz w:val="20"/>
          <w:szCs w:val="20"/>
        </w:rPr>
        <w:t>Streptococcus pneumoniae</w:t>
      </w:r>
      <w:r>
        <w:rPr>
          <w:rFonts w:hint="default" w:ascii="Calibri" w:hAnsi="Calibri" w:eastAsia="华文琥珀" w:cs="Calibri"/>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Positive bacterial culture from blood or plural fluid except for coagulase negative </w:t>
      </w:r>
      <w:r>
        <w:rPr>
          <w:rFonts w:hint="default" w:ascii="Calibri" w:hAnsi="Calibri" w:eastAsia="华文琥珀" w:cs="Calibri"/>
          <w:bCs/>
          <w:i/>
          <w:color w:val="000000"/>
          <w:sz w:val="20"/>
          <w:szCs w:val="20"/>
        </w:rPr>
        <w:t>Staphylococcus spp</w:t>
      </w:r>
      <w:r>
        <w:rPr>
          <w:rFonts w:hint="default" w:ascii="Calibri" w:hAnsi="Calibri" w:eastAsia="华文琥珀" w:cs="Calibri"/>
          <w:bCs/>
          <w:color w:val="000000"/>
          <w:sz w:val="20"/>
          <w:szCs w:val="20"/>
        </w:rPr>
        <w:t>.</w:t>
      </w:r>
      <w:r>
        <w:rPr>
          <w:rFonts w:hint="default" w:ascii="Calibri" w:hAnsi="Calibri" w:eastAsia="华文琥珀" w:cs="Calibri"/>
          <w:bCs/>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Paired sera with a fourfold or more increase in the titers of antibodies to </w:t>
      </w:r>
      <w:r>
        <w:rPr>
          <w:rFonts w:hint="default" w:ascii="Calibri" w:hAnsi="Calibri" w:eastAsia="华文琥珀" w:cs="Calibri"/>
          <w:bCs/>
          <w:i/>
          <w:color w:val="000000"/>
          <w:sz w:val="20"/>
          <w:szCs w:val="20"/>
        </w:rPr>
        <w:t>Mycoplasma pneumoniae</w:t>
      </w:r>
      <w:r>
        <w:rPr>
          <w:rFonts w:hint="default" w:ascii="Calibri" w:hAnsi="Calibri" w:eastAsia="华文琥珀" w:cs="Calibri"/>
          <w:bCs/>
          <w:color w:val="000000"/>
          <w:sz w:val="20"/>
          <w:szCs w:val="20"/>
        </w:rPr>
        <w:t xml:space="preserve"> (MP), </w:t>
      </w:r>
      <w:r>
        <w:rPr>
          <w:rFonts w:hint="default" w:ascii="Calibri" w:hAnsi="Calibri" w:eastAsia="华文琥珀" w:cs="Calibri"/>
          <w:bCs/>
          <w:i/>
          <w:color w:val="000000"/>
          <w:sz w:val="20"/>
          <w:szCs w:val="20"/>
        </w:rPr>
        <w:t>Chlamydia pneumonia</w:t>
      </w:r>
      <w:r>
        <w:rPr>
          <w:rFonts w:hint="default" w:ascii="Calibri" w:hAnsi="Calibri" w:eastAsia="华文琥珀" w:cs="Calibri"/>
          <w:bCs/>
          <w:color w:val="000000"/>
          <w:sz w:val="20"/>
          <w:szCs w:val="20"/>
        </w:rPr>
        <w:t xml:space="preserve">, </w:t>
      </w:r>
      <w:r>
        <w:rPr>
          <w:rFonts w:hint="default" w:ascii="Calibri" w:hAnsi="Calibri" w:eastAsia="华文琥珀" w:cs="Calibri"/>
          <w:bCs/>
          <w:i/>
          <w:color w:val="000000"/>
          <w:sz w:val="20"/>
          <w:szCs w:val="20"/>
        </w:rPr>
        <w:t xml:space="preserve">L pneumophila or </w:t>
      </w:r>
      <w:r>
        <w:rPr>
          <w:rFonts w:hint="default" w:ascii="Calibri" w:hAnsi="Calibri" w:eastAsia="华文琥珀" w:cs="Calibri"/>
          <w:bCs/>
          <w:color w:val="000000"/>
          <w:sz w:val="20"/>
          <w:szCs w:val="20"/>
        </w:rPr>
        <w:t>respiratory viruses (</w:t>
      </w:r>
      <w:r>
        <w:rPr>
          <w:rFonts w:hint="default" w:ascii="Calibri" w:hAnsi="Calibri" w:eastAsia="华文琥珀" w:cs="Calibri"/>
          <w:bCs/>
          <w:i/>
          <w:color w:val="000000"/>
          <w:sz w:val="20"/>
          <w:szCs w:val="20"/>
        </w:rPr>
        <w:t xml:space="preserve"> </w:t>
      </w:r>
      <w:r>
        <w:rPr>
          <w:rFonts w:hint="default" w:ascii="Calibri" w:hAnsi="Calibri" w:eastAsia="华文琥珀" w:cs="Calibri"/>
          <w:bCs/>
          <w:color w:val="000000"/>
          <w:sz w:val="20"/>
          <w:szCs w:val="20"/>
        </w:rPr>
        <w:t>Parainfluenza, Adenovirus,</w:t>
      </w:r>
      <w:r>
        <w:rPr>
          <w:rFonts w:hint="default" w:ascii="Calibri" w:hAnsi="Calibri" w:eastAsia="华文琥珀" w:cs="Calibri"/>
          <w:bCs/>
          <w:i/>
          <w:color w:val="000000"/>
          <w:sz w:val="20"/>
          <w:szCs w:val="20"/>
        </w:rPr>
        <w:t xml:space="preserve"> </w:t>
      </w:r>
      <w:r>
        <w:rPr>
          <w:rFonts w:hint="default" w:ascii="Calibri" w:hAnsi="Calibri" w:eastAsia="华文琥珀" w:cs="Calibri"/>
          <w:color w:val="000000"/>
          <w:sz w:val="20"/>
          <w:szCs w:val="20"/>
        </w:rPr>
        <w:t>Respiratory syncytial virus)</w:t>
      </w:r>
      <w:r>
        <w:rPr>
          <w:rFonts w:hint="default" w:ascii="Calibri" w:hAnsi="Calibri" w:eastAsia="华文琥珀" w:cs="Calibri"/>
          <w:bCs/>
          <w:i/>
          <w:color w:val="000000"/>
          <w:sz w:val="20"/>
          <w:szCs w:val="20"/>
        </w:rPr>
        <w:t xml:space="preserve">. </w:t>
      </w:r>
      <w:r>
        <w:rPr>
          <w:rFonts w:hint="default" w:ascii="Calibri" w:hAnsi="Calibri" w:eastAsia="华文琥珀" w:cs="Calibri"/>
          <w:bCs/>
          <w:color w:val="000000"/>
          <w:sz w:val="20"/>
          <w:szCs w:val="20"/>
        </w:rPr>
        <w:t xml:space="preserve">Or Serum IgM antibody (MIF) </w:t>
      </w:r>
      <w:r>
        <w:rPr>
          <w:rFonts w:hint="default" w:ascii="Calibri" w:hAnsi="Calibri" w:eastAsia="华文琥珀" w:cs="Calibri"/>
          <w:bCs/>
          <w:color w:val="000000"/>
          <w:sz w:val="20"/>
          <w:szCs w:val="20"/>
        </w:rPr>
        <w:sym w:font="Symbol" w:char="F0B3"/>
      </w:r>
      <w:r>
        <w:rPr>
          <w:rFonts w:hint="default" w:ascii="Calibri" w:hAnsi="Calibri" w:eastAsia="华文琥珀" w:cs="Calibri"/>
          <w:bCs/>
          <w:color w:val="000000"/>
          <w:sz w:val="20"/>
          <w:szCs w:val="20"/>
        </w:rPr>
        <w:t xml:space="preserve"> 1:16 for </w:t>
      </w:r>
      <w:r>
        <w:rPr>
          <w:rFonts w:hint="default" w:ascii="Calibri" w:hAnsi="Calibri" w:eastAsia="华文琥珀" w:cs="Calibri"/>
          <w:bCs/>
          <w:i/>
          <w:color w:val="000000"/>
          <w:sz w:val="20"/>
          <w:szCs w:val="20"/>
        </w:rPr>
        <w:t>Chlamydia pneumonia</w:t>
      </w:r>
      <w:r>
        <w:rPr>
          <w:rFonts w:hint="default" w:ascii="Calibri" w:hAnsi="Calibri" w:eastAsia="华文琥珀" w:cs="Calibri"/>
          <w:bCs/>
          <w:i w:val="0"/>
          <w:iCs/>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Detection of respiratory virus in sputum/bronchoalveolar lavage (BALF)/throat swabs by Realtime-PCR according to manufacturer’s instructions, including respiratory syncytial virus (RSV) types A and B, parainfluenza virus (PIV) types 1, 2, 3 and 4, rhinovirus (HRV), enterovirus (EV), coronavirus (hCoV) types 229E, NL63, OC43 and HKU1, parapneumovirus (hMPV), and adenovirus (AdV), bocavirus;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Bacteria isolated form purulent sputum (defined as an adequate quality sputum sample with &gt; 25 leukocytes and &lt; 10 epithelial cells per × 100 magnification field) with compatible findings of Gram staining;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rPr>
        <w:t xml:space="preserve">Detection of </w:t>
      </w:r>
      <w:r>
        <w:rPr>
          <w:rFonts w:hint="default" w:ascii="Calibri" w:hAnsi="Calibri" w:eastAsia="华文琥珀" w:cs="Calibri"/>
          <w:bCs/>
          <w:i/>
          <w:color w:val="000000"/>
          <w:sz w:val="20"/>
          <w:szCs w:val="20"/>
        </w:rPr>
        <w:t>Mycoplasma pneumoniae</w:t>
      </w:r>
      <w:r>
        <w:rPr>
          <w:rFonts w:hint="default" w:ascii="Calibri" w:hAnsi="Calibri" w:eastAsia="华文琥珀" w:cs="Calibri"/>
          <w:bCs/>
          <w:color w:val="000000"/>
          <w:sz w:val="20"/>
          <w:szCs w:val="20"/>
        </w:rPr>
        <w:t xml:space="preserve"> (MP), </w:t>
      </w:r>
      <w:r>
        <w:rPr>
          <w:rFonts w:hint="default" w:ascii="Calibri" w:hAnsi="Calibri" w:eastAsia="华文琥珀" w:cs="Calibri"/>
          <w:bCs/>
          <w:i/>
          <w:color w:val="000000"/>
          <w:sz w:val="20"/>
          <w:szCs w:val="20"/>
        </w:rPr>
        <w:t>Chlamydia pneumonia</w:t>
      </w:r>
      <w:r>
        <w:rPr>
          <w:rFonts w:hint="default" w:ascii="Calibri" w:hAnsi="Calibri" w:eastAsia="华文琥珀" w:cs="Calibri"/>
          <w:bCs/>
          <w:color w:val="000000"/>
          <w:sz w:val="20"/>
          <w:szCs w:val="20"/>
        </w:rPr>
        <w:t xml:space="preserve"> or </w:t>
      </w:r>
      <w:r>
        <w:rPr>
          <w:rFonts w:hint="default" w:ascii="Calibri" w:hAnsi="Calibri" w:eastAsia="华文琥珀" w:cs="Calibri"/>
          <w:bCs/>
          <w:i/>
          <w:color w:val="000000"/>
          <w:sz w:val="20"/>
          <w:szCs w:val="20"/>
        </w:rPr>
        <w:t>L pneumophila</w:t>
      </w:r>
      <w:r>
        <w:rPr>
          <w:rFonts w:hint="default" w:ascii="Calibri" w:hAnsi="Calibri" w:eastAsia="华文琥珀" w:cs="Calibri"/>
          <w:bCs/>
          <w:color w:val="000000"/>
          <w:sz w:val="20"/>
          <w:szCs w:val="20"/>
        </w:rPr>
        <w:t xml:space="preserve"> in sputum/BALF/throat swabs by Realtime-PCR</w:t>
      </w:r>
      <w:r>
        <w:rPr>
          <w:rFonts w:hint="default" w:ascii="Calibri" w:hAnsi="Calibri" w:eastAsia="华文琥珀" w:cs="Calibri"/>
          <w:bCs/>
          <w:color w:val="000000"/>
          <w:sz w:val="20"/>
          <w:szCs w:val="20"/>
          <w:lang w:val="en-US" w:eastAsia="zh-CN"/>
        </w:rPr>
        <w:t>;</w:t>
      </w:r>
      <w:r>
        <w:rPr>
          <w:rFonts w:hint="default" w:ascii="Calibri" w:hAnsi="Calibri" w:eastAsia="华文琥珀" w:cs="Calibri"/>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bCs/>
          <w:color w:val="000000"/>
          <w:sz w:val="20"/>
          <w:szCs w:val="20"/>
          <w:lang w:val="en-US" w:eastAsia="zh-CN"/>
        </w:rPr>
        <w:t>s</w:t>
      </w:r>
      <w:r>
        <w:rPr>
          <w:rFonts w:hint="default" w:ascii="Calibri" w:hAnsi="Calibri" w:eastAsia="华文琥珀" w:cs="Calibri"/>
          <w:bCs/>
          <w:color w:val="000000"/>
          <w:sz w:val="20"/>
          <w:szCs w:val="20"/>
        </w:rPr>
        <w:t xml:space="preserve">erum IgM antibody positive for </w:t>
      </w:r>
      <w:r>
        <w:rPr>
          <w:rFonts w:hint="default" w:ascii="Calibri" w:hAnsi="Calibri" w:eastAsia="华文琥珀" w:cs="Calibri"/>
          <w:bCs/>
          <w:i/>
          <w:color w:val="000000"/>
          <w:sz w:val="20"/>
          <w:szCs w:val="20"/>
        </w:rPr>
        <w:t>Mycoplasma pneumoniae</w:t>
      </w:r>
      <w:r>
        <w:rPr>
          <w:rFonts w:hint="default" w:ascii="Calibri" w:hAnsi="Calibri" w:eastAsia="华文琥珀" w:cs="Calibri"/>
          <w:bCs/>
          <w:color w:val="000000"/>
          <w:sz w:val="20"/>
          <w:szCs w:val="20"/>
        </w:rPr>
        <w:t xml:space="preserve"> (MP), or Serum IgG antibody (MIF) </w:t>
      </w:r>
      <w:r>
        <w:rPr>
          <w:rFonts w:hint="default" w:ascii="Calibri" w:hAnsi="Calibri" w:eastAsia="华文琥珀" w:cs="Calibri"/>
          <w:bCs/>
          <w:color w:val="000000"/>
          <w:sz w:val="20"/>
          <w:szCs w:val="20"/>
        </w:rPr>
        <w:sym w:font="Symbol" w:char="F0B3"/>
      </w:r>
      <w:r>
        <w:rPr>
          <w:rFonts w:hint="default" w:ascii="Calibri" w:hAnsi="Calibri" w:eastAsia="华文琥珀" w:cs="Calibri"/>
          <w:bCs/>
          <w:color w:val="000000"/>
          <w:sz w:val="20"/>
          <w:szCs w:val="20"/>
        </w:rPr>
        <w:t xml:space="preserve"> 1:512 for </w:t>
      </w:r>
      <w:r>
        <w:rPr>
          <w:rFonts w:hint="default" w:ascii="Calibri" w:hAnsi="Calibri" w:eastAsia="华文琥珀" w:cs="Calibri"/>
          <w:bCs/>
          <w:i/>
          <w:color w:val="000000"/>
          <w:sz w:val="20"/>
          <w:szCs w:val="20"/>
        </w:rPr>
        <w:t>Chlamydia pneumonia</w:t>
      </w:r>
      <w:r>
        <w:rPr>
          <w:rFonts w:hint="default" w:ascii="Calibri" w:hAnsi="Calibri" w:eastAsia="华文琥珀" w:cs="Calibri"/>
          <w:bCs/>
          <w:i/>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color w:val="000000"/>
          <w:sz w:val="20"/>
          <w:szCs w:val="20"/>
        </w:rPr>
        <w:t>Invasive pulmonary aspergillosis were diagnosed in accordance with the revised definitions of invasive fungal diseases from the European Organization for Research and Treatment of Cancer and the Mycoses Study Group Education and Research Consortium</w:t>
      </w:r>
      <w:r>
        <w:rPr>
          <w:rFonts w:hint="default" w:ascii="Calibri" w:hAnsi="Calibri" w:eastAsia="华文琥珀" w:cs="Calibri"/>
          <w:color w:val="000000"/>
          <w:sz w:val="20"/>
          <w:szCs w:val="20"/>
          <w:lang w:val="en-US" w:eastAsia="zh-CN"/>
        </w:rPr>
        <w:t xml:space="preserve"> [1].</w:t>
      </w:r>
      <w:r>
        <w:rPr>
          <w:rFonts w:hint="default" w:ascii="Calibri" w:hAnsi="Calibri" w:eastAsia="华文琥珀" w:cs="Calibri"/>
          <w:color w:val="000000"/>
          <w:sz w:val="20"/>
          <w:szCs w:val="20"/>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hint="default" w:ascii="Calibri" w:hAnsi="Calibri" w:eastAsia="华文琥珀" w:cs="Calibri"/>
          <w:color w:val="000000"/>
          <w:sz w:val="20"/>
          <w:szCs w:val="20"/>
          <w:lang w:val="en-US" w:eastAsia="zh-CN"/>
        </w:rPr>
      </w:pPr>
      <w:r>
        <w:rPr>
          <w:rFonts w:hint="default" w:ascii="Calibri" w:hAnsi="Calibri" w:eastAsia="华文琥珀" w:cs="Calibri"/>
          <w:color w:val="000000"/>
          <w:sz w:val="20"/>
          <w:szCs w:val="20"/>
          <w:lang w:val="en-US" w:eastAsia="zh-CN"/>
        </w:rPr>
        <w:t>References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hint="default" w:ascii="Calibri" w:hAnsi="Calibri" w:eastAsia="华文琥珀" w:cs="Calibri"/>
          <w:color w:val="000000"/>
          <w:sz w:val="20"/>
          <w:szCs w:val="20"/>
        </w:rPr>
      </w:pPr>
      <w:r>
        <w:rPr>
          <w:rFonts w:hint="default" w:ascii="Calibri" w:hAnsi="Calibri" w:eastAsia="华文琥珀" w:cs="Calibri"/>
          <w:color w:val="000000"/>
          <w:sz w:val="20"/>
          <w:szCs w:val="20"/>
          <w:lang w:val="en-US" w:eastAsia="zh-CN"/>
        </w:rPr>
        <w:t xml:space="preserve">1.Donnelly JP, Chen SC, Kauffman CA, et al. Revision and Update of the Consensus Definitions of Invasive Fungal Disease From the European Organization for Research and Treatment of Cancer and the Mycoses Study Group Education and Research Consortium. Clin Infect Dis. 2019, pii: ciz1008. </w:t>
      </w:r>
    </w:p>
    <w:p>
      <w:pPr>
        <w:rPr>
          <w:rFonts w:hint="default" w:ascii="Calibri" w:hAnsi="Calibri" w:cs="Calibri"/>
          <w:sz w:val="20"/>
          <w:szCs w:val="20"/>
        </w:rPr>
      </w:pPr>
    </w:p>
    <w:p>
      <w:pPr>
        <w:rPr>
          <w:rFonts w:hint="default" w:ascii="Calibri" w:hAnsi="Calibri" w:cs="Calibri"/>
          <w:sz w:val="20"/>
          <w:szCs w:val="20"/>
        </w:rPr>
      </w:pP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Calibri" w:hAnsi="Calibri" w:cs="Calibri"/>
          <w:sz w:val="20"/>
          <w:szCs w:val="20"/>
          <w:lang w:val="en-US" w:eastAsia="zh-CN"/>
        </w:rPr>
      </w:pPr>
    </w:p>
    <w:p>
      <w:pPr>
        <w:rPr>
          <w:rFonts w:hint="default" w:ascii="Calibri" w:hAnsi="Calibri" w:cs="Calibri"/>
          <w:b/>
          <w:bCs/>
          <w:sz w:val="20"/>
          <w:szCs w:val="20"/>
          <w:lang w:val="en-US" w:eastAsia="zh-CN"/>
        </w:rPr>
      </w:pPr>
      <w:r>
        <w:rPr>
          <w:rFonts w:hint="default" w:ascii="Calibri" w:hAnsi="Calibri" w:cs="Calibri"/>
          <w:b/>
          <w:bCs/>
          <w:sz w:val="20"/>
          <w:szCs w:val="20"/>
          <w:shd w:val="clear" w:color="auto" w:fill="FFFFFF"/>
        </w:rPr>
        <w:t>Supplementary</w:t>
      </w:r>
      <w:r>
        <w:rPr>
          <w:rFonts w:hint="default" w:ascii="Calibri" w:hAnsi="Calibri" w:eastAsia="宋体" w:cs="Calibri"/>
          <w:b/>
          <w:bCs/>
          <w:sz w:val="20"/>
          <w:szCs w:val="20"/>
          <w:shd w:val="clear" w:color="auto" w:fill="FFFFFF"/>
          <w:lang w:val="en-US" w:eastAsia="zh-CN"/>
        </w:rPr>
        <w:t xml:space="preserve"> Material</w:t>
      </w:r>
      <w:r>
        <w:rPr>
          <w:rFonts w:hint="default" w:ascii="Calibri" w:hAnsi="Calibri" w:cs="Calibri"/>
          <w:b/>
          <w:bCs/>
          <w:color w:val="000000"/>
          <w:sz w:val="20"/>
          <w:szCs w:val="20"/>
          <w:lang w:val="en-US" w:eastAsia="zh-CN"/>
        </w:rPr>
        <w:t xml:space="preserve"> 4</w:t>
      </w:r>
      <w:r>
        <w:rPr>
          <w:rFonts w:hint="default" w:ascii="Calibri" w:hAnsi="Calibri" w:cs="Calibri"/>
          <w:b/>
          <w:bCs/>
          <w:sz w:val="20"/>
          <w:szCs w:val="20"/>
          <w:lang w:val="en-US" w:eastAsia="zh-CN"/>
        </w:rPr>
        <w:t xml:space="preserve"> coinfections with other community-acquired pathogens </w:t>
      </w:r>
    </w:p>
    <w:tbl>
      <w:tblPr>
        <w:tblStyle w:val="3"/>
        <w:tblW w:w="5888"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35"/>
        <w:gridCol w:w="26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bottom w:val="single" w:color="auto" w:sz="4" w:space="0"/>
            </w:tcBorders>
            <w:noWrap w:val="0"/>
            <w:vAlign w:val="center"/>
          </w:tcPr>
          <w:p>
            <w:pPr>
              <w:jc w:val="both"/>
              <w:rPr>
                <w:rFonts w:hint="default" w:ascii="Calibri" w:hAnsi="Calibri" w:eastAsia="宋体" w:cs="Calibri"/>
                <w:b/>
                <w:bCs/>
                <w:color w:val="auto"/>
                <w:sz w:val="15"/>
                <w:szCs w:val="15"/>
                <w:vertAlign w:val="baseline"/>
                <w:lang w:val="en-US" w:eastAsia="zh-CN"/>
              </w:rPr>
            </w:pPr>
            <w:r>
              <w:rPr>
                <w:rFonts w:hint="default" w:ascii="Calibri" w:hAnsi="Calibri" w:cs="Calibri"/>
                <w:b/>
                <w:bCs/>
                <w:color w:val="auto"/>
                <w:sz w:val="15"/>
                <w:szCs w:val="15"/>
                <w:vertAlign w:val="baseline"/>
                <w:lang w:val="en-US" w:eastAsia="zh-CN"/>
              </w:rPr>
              <w:t>Variable</w:t>
            </w:r>
          </w:p>
        </w:tc>
        <w:tc>
          <w:tcPr>
            <w:tcW w:w="2653" w:type="dxa"/>
            <w:tcBorders>
              <w:bottom w:val="single" w:color="auto" w:sz="4" w:space="0"/>
            </w:tcBorders>
            <w:noWrap w:val="0"/>
            <w:vAlign w:val="center"/>
          </w:tcPr>
          <w:p>
            <w:pPr>
              <w:jc w:val="center"/>
              <w:rPr>
                <w:rFonts w:hint="default" w:ascii="Calibri" w:hAnsi="Calibri" w:cs="Calibri"/>
                <w:b/>
                <w:bCs/>
                <w:color w:val="auto"/>
                <w:sz w:val="15"/>
                <w:szCs w:val="15"/>
                <w:vertAlign w:val="baseline"/>
                <w:lang w:val="en-US" w:eastAsia="zh-CN"/>
              </w:rPr>
            </w:pPr>
            <w:r>
              <w:rPr>
                <w:rFonts w:hint="default" w:ascii="Calibri" w:hAnsi="Calibri" w:cs="Calibri"/>
                <w:b/>
                <w:bCs/>
                <w:color w:val="auto"/>
                <w:sz w:val="15"/>
                <w:szCs w:val="15"/>
                <w:vertAlign w:val="baseline"/>
                <w:lang w:val="en-US" w:eastAsia="zh-CN"/>
              </w:rPr>
              <w:t>Total</w:t>
            </w:r>
          </w:p>
          <w:p>
            <w:pPr>
              <w:jc w:val="center"/>
              <w:rPr>
                <w:rFonts w:hint="default" w:ascii="Calibri" w:hAnsi="Calibri" w:cs="Calibri"/>
                <w:b/>
                <w:bCs/>
                <w:color w:val="auto"/>
                <w:sz w:val="15"/>
                <w:szCs w:val="15"/>
                <w:vertAlign w:val="baseline"/>
                <w:lang w:val="en-US" w:eastAsia="zh-CN"/>
              </w:rPr>
            </w:pPr>
            <w:r>
              <w:rPr>
                <w:rFonts w:hint="default" w:ascii="Calibri" w:hAnsi="Calibri" w:cs="Calibri"/>
                <w:b/>
                <w:bCs/>
                <w:color w:val="auto"/>
                <w:sz w:val="15"/>
                <w:szCs w:val="15"/>
                <w:vertAlign w:val="baseline"/>
                <w:lang w:val="en-US" w:eastAsia="zh-CN"/>
              </w:rPr>
              <w:t>(</w:t>
            </w:r>
            <w:r>
              <w:rPr>
                <w:rFonts w:hint="default" w:ascii="Calibri" w:hAnsi="Calibri" w:cs="Calibri"/>
                <w:b/>
                <w:bCs/>
                <w:i/>
                <w:iCs/>
                <w:color w:val="auto"/>
                <w:sz w:val="15"/>
                <w:szCs w:val="15"/>
                <w:vertAlign w:val="baseline"/>
                <w:lang w:val="en-US" w:eastAsia="zh-CN"/>
              </w:rPr>
              <w:t>n</w:t>
            </w:r>
            <w:r>
              <w:rPr>
                <w:rFonts w:hint="default" w:ascii="Calibri" w:hAnsi="Calibri" w:cs="Calibri"/>
                <w:b/>
                <w:bCs/>
                <w:color w:val="auto"/>
                <w:sz w:val="15"/>
                <w:szCs w:val="15"/>
                <w:vertAlign w:val="baseline"/>
                <w:lang w:val="en-US" w:eastAsia="zh-CN"/>
              </w:rPr>
              <w:t xml:space="preserve"> = 1191)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op w:val="single" w:color="auto" w:sz="4" w:space="0"/>
              <w:tl2br w:val="nil"/>
              <w:tr2bl w:val="nil"/>
            </w:tcBorders>
            <w:noWrap w:val="0"/>
            <w:vAlign w:val="top"/>
          </w:tcPr>
          <w:p>
            <w:pPr>
              <w:jc w:val="both"/>
              <w:rPr>
                <w:rFonts w:hint="default" w:ascii="Calibri" w:hAnsi="Calibri" w:eastAsia="宋体" w:cs="Calibri"/>
                <w:color w:val="auto"/>
                <w:sz w:val="15"/>
                <w:szCs w:val="15"/>
                <w:vertAlign w:val="baseline"/>
                <w:lang w:val="en-US" w:eastAsia="zh-CN"/>
              </w:rPr>
            </w:pPr>
            <w:r>
              <w:rPr>
                <w:rFonts w:hint="default" w:ascii="Calibri" w:hAnsi="Calibri" w:cs="Calibri"/>
                <w:color w:val="auto"/>
                <w:sz w:val="15"/>
                <w:szCs w:val="15"/>
                <w:vertAlign w:val="baseline"/>
                <w:lang w:val="en-US" w:eastAsia="zh-CN"/>
              </w:rPr>
              <w:t>Coinfection (</w:t>
            </w:r>
            <w:r>
              <w:rPr>
                <w:rFonts w:hint="default" w:ascii="Calibri" w:hAnsi="Calibri" w:cs="Calibri"/>
                <w:i/>
                <w:iCs/>
                <w:color w:val="auto"/>
                <w:sz w:val="15"/>
                <w:szCs w:val="15"/>
                <w:vertAlign w:val="baseline"/>
                <w:lang w:val="en-US" w:eastAsia="zh-CN"/>
              </w:rPr>
              <w:t>n</w:t>
            </w:r>
            <w:r>
              <w:rPr>
                <w:rFonts w:hint="default" w:ascii="Calibri" w:hAnsi="Calibri" w:cs="Calibri"/>
                <w:color w:val="auto"/>
                <w:sz w:val="15"/>
                <w:szCs w:val="15"/>
                <w:vertAlign w:val="baseline"/>
                <w:lang w:val="en-US" w:eastAsia="zh-CN"/>
              </w:rPr>
              <w:t>, %)</w:t>
            </w:r>
          </w:p>
        </w:tc>
        <w:tc>
          <w:tcPr>
            <w:tcW w:w="2653" w:type="dxa"/>
            <w:tcBorders>
              <w:top w:val="single" w:color="auto" w:sz="4" w:space="0"/>
              <w:tl2br w:val="nil"/>
              <w:tr2bl w:val="nil"/>
            </w:tcBorders>
            <w:noWrap w:val="0"/>
            <w:vAlign w:val="top"/>
          </w:tcPr>
          <w:p>
            <w:pPr>
              <w:jc w:val="center"/>
              <w:rPr>
                <w:rFonts w:hint="default" w:ascii="Calibri" w:hAnsi="Calibri" w:cs="Calibri"/>
                <w:color w:val="auto"/>
                <w:sz w:val="15"/>
                <w:szCs w:val="15"/>
                <w:vertAlign w:val="baseline"/>
                <w:lang w:val="en-US" w:eastAsia="zh-CN"/>
              </w:rPr>
            </w:pPr>
            <w:r>
              <w:rPr>
                <w:rFonts w:hint="default" w:ascii="Calibri" w:hAnsi="Calibri" w:cs="Calibri"/>
                <w:color w:val="auto"/>
                <w:sz w:val="15"/>
                <w:szCs w:val="15"/>
                <w:vertAlign w:val="baseline"/>
                <w:lang w:val="en-US" w:eastAsia="zh-CN"/>
              </w:rPr>
              <w:t>405 (34.0)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jc w:val="both"/>
              <w:rPr>
                <w:rFonts w:hint="default" w:ascii="Calibri" w:hAnsi="Calibri" w:eastAsia="宋体" w:cs="Calibri"/>
                <w:color w:val="auto"/>
                <w:sz w:val="15"/>
                <w:szCs w:val="15"/>
                <w:vertAlign w:val="baseline"/>
                <w:lang w:val="en-US" w:eastAsia="zh-CN"/>
              </w:rPr>
            </w:pPr>
            <w:r>
              <w:rPr>
                <w:rFonts w:hint="default" w:ascii="Calibri" w:hAnsi="Calibri" w:cs="Calibri"/>
                <w:color w:val="auto"/>
                <w:sz w:val="15"/>
                <w:szCs w:val="15"/>
                <w:vertAlign w:val="baseline"/>
                <w:lang w:val="en-US" w:eastAsia="zh-CN"/>
              </w:rPr>
              <w:t>Pathogens (</w:t>
            </w:r>
            <w:r>
              <w:rPr>
                <w:rFonts w:hint="default" w:ascii="Calibri" w:hAnsi="Calibri" w:cs="Calibri"/>
                <w:i/>
                <w:iCs/>
                <w:color w:val="auto"/>
                <w:sz w:val="15"/>
                <w:szCs w:val="15"/>
                <w:vertAlign w:val="baseline"/>
                <w:lang w:val="en-US" w:eastAsia="zh-CN"/>
              </w:rPr>
              <w:t>n</w:t>
            </w:r>
            <w:r>
              <w:rPr>
                <w:rFonts w:hint="default" w:ascii="Calibri" w:hAnsi="Calibri" w:cs="Calibri"/>
                <w:color w:val="auto"/>
                <w:sz w:val="15"/>
                <w:szCs w:val="15"/>
                <w:vertAlign w:val="baseline"/>
                <w:lang w:val="en-US" w:eastAsia="zh-CN"/>
              </w:rPr>
              <w:t>, %)</w:t>
            </w:r>
          </w:p>
        </w:tc>
        <w:tc>
          <w:tcPr>
            <w:tcW w:w="2653" w:type="dxa"/>
            <w:tcBorders>
              <w:tl2br w:val="nil"/>
              <w:tr2bl w:val="nil"/>
            </w:tcBorders>
            <w:noWrap w:val="0"/>
            <w:vAlign w:val="top"/>
          </w:tcPr>
          <w:p>
            <w:pPr>
              <w:jc w:val="both"/>
              <w:rPr>
                <w:rFonts w:hint="default" w:ascii="Calibri" w:hAnsi="Calibri" w:cs="Calibri"/>
                <w:color w:val="auto"/>
                <w:sz w:val="15"/>
                <w:szCs w:val="15"/>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Klebsiella pneumoniae</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133 (32.8)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sz w:val="15"/>
                <w:szCs w:val="15"/>
                <w:vertAlign w:val="baseline"/>
                <w:lang w:val="en-US" w:eastAsia="zh-CN"/>
              </w:rPr>
            </w:pPr>
            <w:r>
              <w:rPr>
                <w:rFonts w:hint="default" w:ascii="Calibri" w:hAnsi="Calibri" w:cs="Calibri"/>
                <w:i/>
                <w:iCs/>
                <w:color w:val="auto"/>
                <w:sz w:val="15"/>
                <w:szCs w:val="15"/>
                <w:vertAlign w:val="baseline"/>
                <w:lang w:val="en-US" w:eastAsia="zh-CN"/>
              </w:rPr>
              <w:t>Streptococcus pneumoniae</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cs="Calibri"/>
                <w:i/>
                <w:iCs/>
                <w:color w:val="auto"/>
                <w:sz w:val="15"/>
                <w:szCs w:val="15"/>
                <w:vertAlign w:val="baseline"/>
                <w:lang w:val="en-US" w:eastAsia="zh-CN"/>
              </w:rPr>
            </w:pPr>
            <w:r>
              <w:rPr>
                <w:rFonts w:hint="default" w:ascii="Calibri" w:hAnsi="Calibri" w:cs="Calibri"/>
                <w:i w:val="0"/>
                <w:iCs w:val="0"/>
                <w:color w:val="auto"/>
                <w:sz w:val="15"/>
                <w:szCs w:val="15"/>
                <w:vertAlign w:val="baseline"/>
                <w:lang w:val="en-US" w:eastAsia="zh-CN"/>
              </w:rPr>
              <w:t>121 (29.9)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sz w:val="15"/>
                <w:szCs w:val="15"/>
                <w:vertAlign w:val="baseline"/>
                <w:lang w:val="en-US" w:eastAsia="zh-CN"/>
              </w:rPr>
            </w:pPr>
            <w:r>
              <w:rPr>
                <w:rFonts w:hint="default" w:ascii="Calibri" w:hAnsi="Calibri" w:cs="Calibri"/>
                <w:i/>
                <w:iCs/>
                <w:color w:val="auto"/>
                <w:sz w:val="15"/>
                <w:szCs w:val="15"/>
                <w:vertAlign w:val="baseline"/>
                <w:lang w:val="en-US" w:eastAsia="zh-CN"/>
              </w:rPr>
              <w:t>Staphylococcus aureus</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cs="Calibri"/>
                <w:i w:val="0"/>
                <w:iCs w:val="0"/>
                <w:color w:val="auto"/>
                <w:sz w:val="15"/>
                <w:szCs w:val="15"/>
                <w:vertAlign w:val="baseline"/>
                <w:lang w:val="en-US" w:eastAsia="zh-CN"/>
              </w:rPr>
            </w:pPr>
            <w:r>
              <w:rPr>
                <w:rFonts w:hint="default" w:ascii="Calibri" w:hAnsi="Calibri" w:cs="Calibri"/>
                <w:i w:val="0"/>
                <w:iCs w:val="0"/>
                <w:color w:val="auto"/>
                <w:sz w:val="15"/>
                <w:szCs w:val="15"/>
                <w:vertAlign w:val="baseline"/>
                <w:lang w:val="en-US" w:eastAsia="zh-CN"/>
              </w:rPr>
              <w:t>84 (20.7)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Haemophilus influenzae</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31 (7.7)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cs="Calibri"/>
                <w:i/>
                <w:iCs/>
                <w:color w:val="auto"/>
                <w:sz w:val="15"/>
                <w:szCs w:val="15"/>
                <w:vertAlign w:val="baseline"/>
                <w:lang w:val="en-US" w:eastAsia="zh-CN"/>
              </w:rPr>
            </w:pPr>
            <w:r>
              <w:rPr>
                <w:rFonts w:hint="default" w:ascii="Calibri" w:hAnsi="Calibri" w:cs="Calibri"/>
                <w:i/>
                <w:iCs/>
                <w:color w:val="auto"/>
                <w:sz w:val="15"/>
                <w:szCs w:val="15"/>
                <w:vertAlign w:val="baseline"/>
                <w:lang w:val="en-US" w:eastAsia="zh-CN"/>
              </w:rPr>
              <w:t>Other streptococcus spp.</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cs="Calibri"/>
                <w:i w:val="0"/>
                <w:iCs w:val="0"/>
                <w:color w:val="auto"/>
                <w:sz w:val="15"/>
                <w:szCs w:val="15"/>
                <w:vertAlign w:val="baseline"/>
                <w:lang w:val="en-US" w:eastAsia="zh-CN"/>
              </w:rPr>
            </w:pPr>
            <w:r>
              <w:rPr>
                <w:rFonts w:hint="default" w:ascii="Calibri" w:hAnsi="Calibri" w:cs="Calibri"/>
                <w:i w:val="0"/>
                <w:iCs w:val="0"/>
                <w:color w:val="auto"/>
                <w:sz w:val="15"/>
                <w:szCs w:val="15"/>
                <w:vertAlign w:val="baseline"/>
                <w:lang w:val="en-US" w:eastAsia="zh-CN"/>
              </w:rPr>
              <w:t>18 (4.4)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Klebsiella acidogens</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9 (2.2)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 xml:space="preserve">Escherichia coli </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6 (1.5)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sz w:val="15"/>
                <w:szCs w:val="15"/>
                <w:vertAlign w:val="baseline"/>
                <w:lang w:val="en-US" w:eastAsia="zh-CN"/>
              </w:rPr>
            </w:pPr>
            <w:r>
              <w:rPr>
                <w:rFonts w:hint="default" w:ascii="Calibri" w:hAnsi="Calibri" w:cs="Calibri"/>
                <w:i/>
                <w:iCs/>
                <w:color w:val="auto"/>
                <w:sz w:val="15"/>
                <w:szCs w:val="15"/>
                <w:vertAlign w:val="baseline"/>
                <w:lang w:val="en-US" w:eastAsia="zh-CN"/>
              </w:rPr>
              <w:t>Pseudomonas aeruginosa</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cs="Calibri"/>
                <w:i w:val="0"/>
                <w:iCs w:val="0"/>
                <w:color w:val="auto"/>
                <w:sz w:val="15"/>
                <w:szCs w:val="15"/>
                <w:vertAlign w:val="baseline"/>
                <w:lang w:val="en-US" w:eastAsia="zh-CN"/>
              </w:rPr>
            </w:pPr>
            <w:r>
              <w:rPr>
                <w:rFonts w:hint="default" w:ascii="Calibri" w:hAnsi="Calibri" w:cs="Calibri"/>
                <w:i w:val="0"/>
                <w:iCs w:val="0"/>
                <w:color w:val="auto"/>
                <w:sz w:val="15"/>
                <w:szCs w:val="15"/>
                <w:vertAlign w:val="baseline"/>
                <w:lang w:val="en-US" w:eastAsia="zh-CN"/>
              </w:rPr>
              <w:t>5 (1.2)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Proteus spp.</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4 (1.0)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Citrobacter spp.</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3 (0.7)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Flavobacterium</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2 (0.5)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Aspergillus spp.</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2 (0.5)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kern w:val="2"/>
                <w:sz w:val="15"/>
                <w:szCs w:val="15"/>
                <w:vertAlign w:val="baseline"/>
                <w:lang w:val="en-US" w:eastAsia="zh-CN" w:bidi="ar-SA"/>
              </w:rPr>
            </w:pPr>
            <w:r>
              <w:rPr>
                <w:rFonts w:hint="default" w:ascii="Calibri" w:hAnsi="Calibri" w:cs="Calibri"/>
                <w:i/>
                <w:iCs/>
                <w:color w:val="auto"/>
                <w:sz w:val="15"/>
                <w:szCs w:val="15"/>
                <w:vertAlign w:val="baseline"/>
                <w:lang w:val="en-US" w:eastAsia="zh-CN"/>
              </w:rPr>
              <w:t>Acinetobacter</w:t>
            </w:r>
          </w:p>
        </w:tc>
        <w:tc>
          <w:tcPr>
            <w:tcW w:w="2653"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eastAsia="宋体" w:cs="Calibri"/>
                <w:i w:val="0"/>
                <w:iCs w:val="0"/>
                <w:color w:val="auto"/>
                <w:kern w:val="2"/>
                <w:sz w:val="15"/>
                <w:szCs w:val="15"/>
                <w:vertAlign w:val="baseline"/>
                <w:lang w:val="en-US" w:eastAsia="zh-CN" w:bidi="ar-SA"/>
              </w:rPr>
            </w:pPr>
            <w:r>
              <w:rPr>
                <w:rFonts w:hint="default" w:ascii="Calibri" w:hAnsi="Calibri" w:cs="Calibri"/>
                <w:i w:val="0"/>
                <w:iCs w:val="0"/>
                <w:color w:val="auto"/>
                <w:sz w:val="15"/>
                <w:szCs w:val="15"/>
                <w:vertAlign w:val="baseline"/>
                <w:lang w:val="en-US" w:eastAsia="zh-CN"/>
              </w:rPr>
              <w:t>2 (0.3)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35"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200" w:leftChars="100"/>
              <w:jc w:val="both"/>
              <w:textAlignment w:val="auto"/>
              <w:rPr>
                <w:rFonts w:hint="default" w:ascii="Calibri" w:hAnsi="Calibri" w:eastAsia="宋体" w:cs="Calibri"/>
                <w:i/>
                <w:iCs/>
                <w:color w:val="auto"/>
                <w:sz w:val="15"/>
                <w:szCs w:val="15"/>
                <w:vertAlign w:val="baseline"/>
                <w:lang w:val="en-US" w:eastAsia="zh-CN"/>
              </w:rPr>
            </w:pPr>
            <w:r>
              <w:rPr>
                <w:rFonts w:hint="default" w:ascii="Calibri" w:hAnsi="Calibri" w:cs="Calibri"/>
                <w:i/>
                <w:iCs/>
                <w:color w:val="auto"/>
                <w:sz w:val="15"/>
                <w:szCs w:val="15"/>
                <w:vertAlign w:val="baseline"/>
                <w:lang w:val="en-US" w:eastAsia="zh-CN"/>
              </w:rPr>
              <w:t>Stenotrophomonas maltophilia</w:t>
            </w:r>
          </w:p>
        </w:tc>
        <w:tc>
          <w:tcPr>
            <w:tcW w:w="26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ind w:left="200" w:leftChars="100"/>
              <w:jc w:val="center"/>
              <w:textAlignment w:val="auto"/>
              <w:rPr>
                <w:rFonts w:hint="default" w:ascii="Calibri" w:hAnsi="Calibri" w:cs="Calibri"/>
                <w:i w:val="0"/>
                <w:iCs w:val="0"/>
                <w:color w:val="auto"/>
                <w:sz w:val="15"/>
                <w:szCs w:val="15"/>
                <w:vertAlign w:val="baseline"/>
                <w:lang w:val="en-US" w:eastAsia="zh-CN"/>
              </w:rPr>
            </w:pPr>
            <w:r>
              <w:rPr>
                <w:rFonts w:hint="default" w:ascii="Calibri" w:hAnsi="Calibri" w:cs="Calibri"/>
                <w:i w:val="0"/>
                <w:iCs w:val="0"/>
                <w:color w:val="auto"/>
                <w:sz w:val="15"/>
                <w:szCs w:val="15"/>
                <w:vertAlign w:val="baseline"/>
                <w:lang w:val="en-US" w:eastAsia="zh-CN"/>
              </w:rPr>
              <w:t>1 (0.2)</w:t>
            </w:r>
          </w:p>
        </w:tc>
      </w:tr>
    </w:tbl>
    <w:p>
      <w:pPr>
        <w:rPr>
          <w:rFonts w:hint="default" w:ascii="Calibri" w:hAnsi="Calibri" w:cs="Calibri"/>
          <w:lang w:val="en-US" w:eastAsia="zh-CN"/>
        </w:rPr>
      </w:pPr>
      <w:r>
        <w:rPr>
          <w:rFonts w:hint="default" w:ascii="Calibri" w:hAnsi="Calibri" w:cs="Calibri"/>
          <w:sz w:val="15"/>
          <w:szCs w:val="15"/>
          <w:lang w:val="en-US" w:eastAsia="zh-CN"/>
        </w:rPr>
        <w:t>16 patients were coinfected with 2 or more pathogens</w:t>
      </w:r>
    </w:p>
    <w:p>
      <w:pPr>
        <w:rPr>
          <w:rFonts w:hint="default" w:ascii="Calibri" w:hAnsi="Calibri" w:cs="Calibri"/>
        </w:rPr>
      </w:pPr>
    </w:p>
    <w:p>
      <w:pPr>
        <w:rPr>
          <w:rFonts w:hint="default" w:ascii="Calibri" w:hAnsi="Calibri" w:cs="Calibri"/>
        </w:rPr>
      </w:pPr>
    </w:p>
    <w:p>
      <w:pPr>
        <w:rPr>
          <w:rFonts w:hint="default" w:ascii="Calibri" w:hAnsi="Calibri" w:cs="Calibri"/>
          <w:sz w:val="20"/>
          <w:szCs w:val="20"/>
        </w:rPr>
      </w:pPr>
      <w:r>
        <w:rPr>
          <w:rFonts w:hint="default" w:ascii="Calibri" w:hAnsi="Calibri" w:cs="Calibri"/>
          <w:b/>
          <w:bCs/>
          <w:sz w:val="20"/>
          <w:szCs w:val="20"/>
          <w:shd w:val="clear" w:color="auto" w:fill="FFFFFF"/>
        </w:rPr>
        <w:t>Supplementary</w:t>
      </w:r>
      <w:r>
        <w:rPr>
          <w:rFonts w:hint="default" w:ascii="Calibri" w:hAnsi="Calibri" w:eastAsia="宋体" w:cs="Calibri"/>
          <w:b/>
          <w:bCs/>
          <w:sz w:val="20"/>
          <w:szCs w:val="20"/>
          <w:shd w:val="clear" w:color="auto" w:fill="FFFFFF"/>
          <w:lang w:val="en-US" w:eastAsia="zh-CN"/>
        </w:rPr>
        <w:t xml:space="preserve"> Material</w:t>
      </w:r>
      <w:r>
        <w:rPr>
          <w:rFonts w:hint="default" w:ascii="Calibri" w:hAnsi="Calibri" w:cs="Calibri"/>
          <w:b/>
          <w:bCs/>
          <w:color w:val="000000"/>
          <w:sz w:val="20"/>
          <w:szCs w:val="20"/>
          <w:lang w:val="en-US" w:eastAsia="zh-CN"/>
        </w:rPr>
        <w:t xml:space="preserve"> 5 </w:t>
      </w:r>
      <w:r>
        <w:rPr>
          <w:rFonts w:hint="default" w:ascii="Calibri" w:hAnsi="Calibri" w:cs="Calibri"/>
          <w:b/>
          <w:bCs/>
          <w:sz w:val="20"/>
          <w:szCs w:val="20"/>
          <w:lang w:val="en-US" w:eastAsia="zh-CN"/>
        </w:rPr>
        <w:t>The association of CVEs with invasive ventilation in Flu-p patients</w:t>
      </w:r>
    </w:p>
    <w:tbl>
      <w:tblPr>
        <w:tblStyle w:val="3"/>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63"/>
        <w:gridCol w:w="911"/>
        <w:gridCol w:w="1124"/>
        <w:gridCol w:w="1776"/>
        <w:gridCol w:w="747"/>
        <w:gridCol w:w="1524"/>
        <w:gridCol w:w="7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jc w:val="center"/>
        </w:trPr>
        <w:tc>
          <w:tcPr>
            <w:tcW w:w="1163" w:type="dxa"/>
            <w:vMerge w:val="restart"/>
            <w:vAlign w:val="center"/>
          </w:tcPr>
          <w:p>
            <w:pPr>
              <w:jc w:val="both"/>
              <w:rPr>
                <w:rFonts w:hint="default" w:ascii="Calibri" w:hAnsi="Calibri" w:cs="Calibri" w:eastAsiaTheme="minorEastAsia"/>
                <w:b/>
                <w:bCs/>
                <w:sz w:val="13"/>
                <w:szCs w:val="13"/>
                <w:vertAlign w:val="baseline"/>
                <w:lang w:val="en-US" w:eastAsia="zh-CN"/>
              </w:rPr>
            </w:pPr>
            <w:r>
              <w:rPr>
                <w:rFonts w:hint="default" w:ascii="Calibri" w:hAnsi="Calibri" w:cs="Calibri"/>
                <w:b/>
                <w:bCs/>
                <w:sz w:val="13"/>
                <w:szCs w:val="13"/>
                <w:vertAlign w:val="baseline"/>
                <w:lang w:val="en-US" w:eastAsia="zh-CN"/>
              </w:rPr>
              <w:t>Type of CVE</w:t>
            </w:r>
          </w:p>
        </w:tc>
        <w:tc>
          <w:tcPr>
            <w:tcW w:w="911" w:type="dxa"/>
            <w:vMerge w:val="restart"/>
            <w:vAlign w:val="center"/>
          </w:tcPr>
          <w:p>
            <w:pPr>
              <w:jc w:val="center"/>
              <w:rPr>
                <w:rFonts w:hint="default" w:ascii="Calibri" w:hAnsi="Calibri" w:cs="Calibri" w:eastAsiaTheme="minorEastAsia"/>
                <w:b/>
                <w:bCs/>
                <w:kern w:val="2"/>
                <w:sz w:val="13"/>
                <w:szCs w:val="13"/>
                <w:vertAlign w:val="baseline"/>
                <w:lang w:val="en-US" w:eastAsia="zh-CN" w:bidi="ar-SA"/>
              </w:rPr>
            </w:pPr>
            <w:r>
              <w:rPr>
                <w:rFonts w:hint="default" w:ascii="Calibri" w:hAnsi="Calibri" w:cs="Calibri"/>
                <w:b/>
                <w:bCs/>
                <w:kern w:val="2"/>
                <w:sz w:val="13"/>
                <w:szCs w:val="13"/>
                <w:vertAlign w:val="baseline"/>
                <w:lang w:val="en-US" w:eastAsia="zh-CN" w:bidi="ar-SA"/>
              </w:rPr>
              <w:t>Population</w:t>
            </w:r>
          </w:p>
        </w:tc>
        <w:tc>
          <w:tcPr>
            <w:tcW w:w="1124" w:type="dxa"/>
            <w:vMerge w:val="restart"/>
            <w:vAlign w:val="top"/>
          </w:tcPr>
          <w:p>
            <w:pPr>
              <w:jc w:val="center"/>
              <w:rPr>
                <w:rFonts w:hint="default" w:ascii="Calibri" w:hAnsi="Calibri" w:cs="Calibri"/>
                <w:b/>
                <w:bCs/>
                <w:sz w:val="13"/>
                <w:szCs w:val="13"/>
                <w:vertAlign w:val="baseline"/>
                <w:lang w:val="en-US" w:eastAsia="zh-CN"/>
              </w:rPr>
            </w:pPr>
            <w:r>
              <w:rPr>
                <w:rFonts w:hint="default" w:ascii="Calibri" w:hAnsi="Calibri" w:cs="Calibri"/>
                <w:b/>
                <w:bCs/>
                <w:sz w:val="13"/>
                <w:szCs w:val="13"/>
                <w:vertAlign w:val="baseline"/>
                <w:lang w:val="en-US" w:eastAsia="zh-CN"/>
              </w:rPr>
              <w:t>Cases</w:t>
            </w:r>
          </w:p>
          <w:p>
            <w:pPr>
              <w:jc w:val="center"/>
              <w:rPr>
                <w:rFonts w:hint="default" w:ascii="Calibri" w:hAnsi="Calibri" w:cs="Calibri"/>
                <w:b/>
                <w:bCs/>
                <w:sz w:val="13"/>
                <w:szCs w:val="13"/>
                <w:vertAlign w:val="baseline"/>
                <w:lang w:val="en-US" w:eastAsia="zh-CN"/>
              </w:rPr>
            </w:pPr>
            <w:r>
              <w:rPr>
                <w:rFonts w:hint="default" w:ascii="Calibri" w:hAnsi="Calibri" w:cs="Calibri"/>
                <w:b/>
                <w:bCs/>
                <w:sz w:val="13"/>
                <w:szCs w:val="13"/>
                <w:vertAlign w:val="baseline"/>
                <w:lang w:val="en-US" w:eastAsia="zh-CN"/>
              </w:rPr>
              <w:t>(</w:t>
            </w:r>
            <w:r>
              <w:rPr>
                <w:rFonts w:hint="default" w:ascii="Calibri" w:hAnsi="Calibri" w:cs="Calibri"/>
                <w:b/>
                <w:bCs/>
                <w:i/>
                <w:iCs/>
                <w:sz w:val="13"/>
                <w:szCs w:val="13"/>
                <w:vertAlign w:val="baseline"/>
                <w:lang w:val="en-US" w:eastAsia="zh-CN"/>
              </w:rPr>
              <w:t>n</w:t>
            </w:r>
            <w:r>
              <w:rPr>
                <w:rFonts w:hint="default" w:ascii="Calibri" w:hAnsi="Calibri" w:cs="Calibri"/>
                <w:b/>
                <w:bCs/>
                <w:sz w:val="13"/>
                <w:szCs w:val="13"/>
                <w:vertAlign w:val="baseline"/>
                <w:lang w:val="en-US" w:eastAsia="zh-CN"/>
              </w:rPr>
              <w:t>, %)</w:t>
            </w:r>
          </w:p>
        </w:tc>
        <w:tc>
          <w:tcPr>
            <w:tcW w:w="2523" w:type="dxa"/>
            <w:gridSpan w:val="2"/>
            <w:tcBorders>
              <w:bottom w:val="single" w:color="auto" w:sz="4" w:space="0"/>
            </w:tcBorders>
            <w:vAlign w:val="top"/>
          </w:tcPr>
          <w:p>
            <w:pPr>
              <w:jc w:val="center"/>
              <w:rPr>
                <w:rFonts w:hint="default" w:ascii="Calibri" w:hAnsi="Calibri" w:cs="Calibri"/>
                <w:b/>
                <w:bCs/>
                <w:sz w:val="13"/>
                <w:szCs w:val="13"/>
                <w:vertAlign w:val="baseline"/>
                <w:lang w:val="en-US" w:eastAsia="zh-CN"/>
              </w:rPr>
            </w:pPr>
            <w:r>
              <w:rPr>
                <w:rFonts w:hint="default" w:ascii="Calibri" w:hAnsi="Calibri" w:cs="Calibri"/>
                <w:b/>
                <w:bCs/>
                <w:sz w:val="13"/>
                <w:szCs w:val="13"/>
                <w:vertAlign w:val="baseline"/>
                <w:lang w:val="en-US" w:eastAsia="zh-CN"/>
              </w:rPr>
              <w:t>Univariate logistic analysis</w:t>
            </w:r>
          </w:p>
        </w:tc>
        <w:tc>
          <w:tcPr>
            <w:tcW w:w="2277" w:type="dxa"/>
            <w:gridSpan w:val="2"/>
            <w:tcBorders>
              <w:bottom w:val="single" w:color="auto" w:sz="4" w:space="0"/>
            </w:tcBorders>
            <w:vAlign w:val="top"/>
          </w:tcPr>
          <w:p>
            <w:pPr>
              <w:jc w:val="center"/>
              <w:rPr>
                <w:rFonts w:hint="default" w:ascii="Calibri" w:hAnsi="Calibri" w:cs="Calibri" w:eastAsiaTheme="minorEastAsia"/>
                <w:b/>
                <w:bCs/>
                <w:kern w:val="2"/>
                <w:sz w:val="13"/>
                <w:szCs w:val="13"/>
                <w:vertAlign w:val="baseline"/>
                <w:lang w:val="en-US" w:eastAsia="zh-CN" w:bidi="ar-SA"/>
              </w:rPr>
            </w:pPr>
            <w:r>
              <w:rPr>
                <w:rFonts w:hint="default" w:ascii="Calibri" w:hAnsi="Calibri" w:cs="Calibri"/>
                <w:b/>
                <w:bCs/>
                <w:sz w:val="13"/>
                <w:szCs w:val="13"/>
                <w:vertAlign w:val="baseline"/>
                <w:lang w:val="en-US" w:eastAsia="zh-CN"/>
              </w:rPr>
              <w:t>Multivariate logistic analysis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 w:hRule="atLeast"/>
          <w:jc w:val="center"/>
        </w:trPr>
        <w:tc>
          <w:tcPr>
            <w:tcW w:w="1163" w:type="dxa"/>
            <w:vMerge w:val="continue"/>
            <w:tcBorders>
              <w:bottom w:val="single" w:color="auto" w:sz="4" w:space="0"/>
            </w:tcBorders>
          </w:tcPr>
          <w:p>
            <w:pPr>
              <w:jc w:val="both"/>
              <w:rPr>
                <w:rFonts w:hint="default" w:ascii="Calibri" w:hAnsi="Calibri" w:cs="Calibri"/>
                <w:b/>
                <w:bCs/>
                <w:sz w:val="13"/>
                <w:szCs w:val="13"/>
                <w:vertAlign w:val="baseline"/>
              </w:rPr>
            </w:pPr>
          </w:p>
        </w:tc>
        <w:tc>
          <w:tcPr>
            <w:tcW w:w="911" w:type="dxa"/>
            <w:vMerge w:val="continue"/>
            <w:tcBorders>
              <w:bottom w:val="single" w:color="auto" w:sz="4" w:space="0"/>
            </w:tcBorders>
            <w:vAlign w:val="top"/>
          </w:tcPr>
          <w:p>
            <w:pPr>
              <w:jc w:val="center"/>
              <w:rPr>
                <w:rFonts w:hint="default" w:ascii="Calibri" w:hAnsi="Calibri" w:cs="Calibri"/>
                <w:b/>
                <w:bCs/>
                <w:sz w:val="13"/>
                <w:szCs w:val="13"/>
                <w:vertAlign w:val="baseline"/>
                <w:lang w:val="en-US" w:eastAsia="zh-CN"/>
              </w:rPr>
            </w:pPr>
          </w:p>
        </w:tc>
        <w:tc>
          <w:tcPr>
            <w:tcW w:w="1124" w:type="dxa"/>
            <w:vMerge w:val="continue"/>
            <w:tcBorders>
              <w:bottom w:val="single" w:color="auto" w:sz="4" w:space="0"/>
            </w:tcBorders>
            <w:vAlign w:val="top"/>
          </w:tcPr>
          <w:p>
            <w:pPr>
              <w:jc w:val="center"/>
              <w:rPr>
                <w:rFonts w:hint="default" w:ascii="Calibri" w:hAnsi="Calibri" w:cs="Calibri"/>
                <w:b/>
                <w:bCs/>
                <w:sz w:val="13"/>
                <w:szCs w:val="13"/>
                <w:vertAlign w:val="baseline"/>
                <w:lang w:val="en-US" w:eastAsia="zh-CN"/>
              </w:rPr>
            </w:pPr>
          </w:p>
        </w:tc>
        <w:tc>
          <w:tcPr>
            <w:tcW w:w="1776" w:type="dxa"/>
            <w:tcBorders>
              <w:top w:val="single" w:color="auto" w:sz="4" w:space="0"/>
              <w:bottom w:val="single" w:color="auto" w:sz="4" w:space="0"/>
            </w:tcBorders>
            <w:vAlign w:val="top"/>
          </w:tcPr>
          <w:p>
            <w:pPr>
              <w:jc w:val="center"/>
              <w:rPr>
                <w:rFonts w:hint="default" w:ascii="Calibri" w:hAnsi="Calibri" w:cs="Calibri"/>
                <w:b/>
                <w:bCs/>
                <w:i/>
                <w:iCs/>
                <w:sz w:val="13"/>
                <w:szCs w:val="13"/>
                <w:vertAlign w:val="baseline"/>
                <w:lang w:val="en-US" w:eastAsia="zh-CN"/>
              </w:rPr>
            </w:pPr>
            <w:r>
              <w:rPr>
                <w:rFonts w:hint="default" w:ascii="Calibri" w:hAnsi="Calibri" w:cs="Calibri"/>
                <w:b/>
                <w:bCs/>
                <w:i/>
                <w:iCs/>
                <w:sz w:val="13"/>
                <w:szCs w:val="13"/>
                <w:vertAlign w:val="baseline"/>
                <w:lang w:val="en-US" w:eastAsia="zh-CN"/>
              </w:rPr>
              <w:t>OR (95% CI)</w:t>
            </w:r>
          </w:p>
        </w:tc>
        <w:tc>
          <w:tcPr>
            <w:tcW w:w="747" w:type="dxa"/>
            <w:tcBorders>
              <w:top w:val="single" w:color="auto" w:sz="4" w:space="0"/>
              <w:bottom w:val="single" w:color="auto" w:sz="4" w:space="0"/>
            </w:tcBorders>
            <w:vAlign w:val="top"/>
          </w:tcPr>
          <w:p>
            <w:pPr>
              <w:jc w:val="center"/>
              <w:rPr>
                <w:rFonts w:hint="default" w:ascii="Calibri" w:hAnsi="Calibri" w:cs="Calibri"/>
                <w:b/>
                <w:bCs/>
                <w:i/>
                <w:iCs/>
                <w:sz w:val="13"/>
                <w:szCs w:val="13"/>
                <w:vertAlign w:val="baseline"/>
                <w:lang w:val="en-US" w:eastAsia="zh-CN"/>
              </w:rPr>
            </w:pPr>
            <w:r>
              <w:rPr>
                <w:rFonts w:hint="default" w:ascii="Calibri" w:hAnsi="Calibri" w:cs="Calibri"/>
                <w:b/>
                <w:bCs/>
                <w:i/>
                <w:iCs/>
                <w:sz w:val="13"/>
                <w:szCs w:val="13"/>
                <w:vertAlign w:val="baseline"/>
                <w:lang w:val="en-US" w:eastAsia="zh-CN"/>
              </w:rPr>
              <w:t>P</w:t>
            </w:r>
          </w:p>
        </w:tc>
        <w:tc>
          <w:tcPr>
            <w:tcW w:w="1524" w:type="dxa"/>
            <w:tcBorders>
              <w:top w:val="single" w:color="auto" w:sz="4" w:space="0"/>
              <w:bottom w:val="single" w:color="auto" w:sz="4" w:space="0"/>
            </w:tcBorders>
            <w:vAlign w:val="top"/>
          </w:tcPr>
          <w:p>
            <w:pPr>
              <w:jc w:val="center"/>
              <w:rPr>
                <w:rFonts w:hint="default" w:ascii="Calibri" w:hAnsi="Calibri" w:cs="Calibri" w:eastAsiaTheme="minorEastAsia"/>
                <w:b/>
                <w:bCs/>
                <w:i/>
                <w:iCs/>
                <w:kern w:val="2"/>
                <w:sz w:val="13"/>
                <w:szCs w:val="13"/>
                <w:vertAlign w:val="baseline"/>
                <w:lang w:val="en-US" w:eastAsia="zh-CN" w:bidi="ar-SA"/>
              </w:rPr>
            </w:pPr>
            <w:r>
              <w:rPr>
                <w:rFonts w:hint="default" w:ascii="Calibri" w:hAnsi="Calibri" w:cs="Calibri"/>
                <w:b/>
                <w:bCs/>
                <w:i/>
                <w:iCs/>
                <w:sz w:val="13"/>
                <w:szCs w:val="13"/>
                <w:vertAlign w:val="baseline"/>
                <w:lang w:val="en-US" w:eastAsia="zh-CN"/>
              </w:rPr>
              <w:t>OR (95% CI)</w:t>
            </w:r>
          </w:p>
        </w:tc>
        <w:tc>
          <w:tcPr>
            <w:tcW w:w="753" w:type="dxa"/>
            <w:tcBorders>
              <w:top w:val="single" w:color="auto" w:sz="4" w:space="0"/>
              <w:bottom w:val="single" w:color="auto" w:sz="4" w:space="0"/>
            </w:tcBorders>
            <w:vAlign w:val="top"/>
          </w:tcPr>
          <w:p>
            <w:pPr>
              <w:jc w:val="center"/>
              <w:rPr>
                <w:rFonts w:hint="default" w:ascii="Calibri" w:hAnsi="Calibri" w:cs="Calibri" w:eastAsiaTheme="minorEastAsia"/>
                <w:b/>
                <w:bCs/>
                <w:i/>
                <w:iCs/>
                <w:kern w:val="2"/>
                <w:sz w:val="13"/>
                <w:szCs w:val="13"/>
                <w:vertAlign w:val="baseline"/>
                <w:lang w:val="en-US" w:eastAsia="zh-CN" w:bidi="ar-SA"/>
              </w:rPr>
            </w:pPr>
            <w:r>
              <w:rPr>
                <w:rFonts w:hint="default" w:ascii="Calibri" w:hAnsi="Calibri" w:cs="Calibri"/>
                <w:b/>
                <w:bCs/>
                <w:i/>
                <w:iCs/>
                <w:sz w:val="13"/>
                <w:szCs w:val="13"/>
                <w:vertAlign w:val="baseline"/>
                <w:lang w:val="en-US" w:eastAsia="zh-CN"/>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jc w:val="center"/>
        </w:trPr>
        <w:tc>
          <w:tcPr>
            <w:tcW w:w="1163" w:type="dxa"/>
            <w:vMerge w:val="restar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Total CVEs</w:t>
            </w:r>
          </w:p>
        </w:tc>
        <w:tc>
          <w:tcPr>
            <w:tcW w:w="911" w:type="dxa"/>
            <w:tcBorders>
              <w:top w:val="single" w:color="auto" w:sz="4" w:space="0"/>
              <w:tl2br w:val="nil"/>
              <w:tr2bl w:val="nil"/>
            </w:tcBorders>
            <w:vAlign w:val="top"/>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Without</w:t>
            </w:r>
          </w:p>
        </w:tc>
        <w:tc>
          <w:tcPr>
            <w:tcW w:w="1124" w:type="dxa"/>
            <w:tcBorders>
              <w:top w:val="single" w:color="auto" w:sz="4" w:space="0"/>
              <w:tl2br w:val="nil"/>
              <w:tr2bl w:val="nil"/>
            </w:tcBorders>
            <w:vAlign w:val="top"/>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136/984 (13.8)</w:t>
            </w:r>
          </w:p>
        </w:tc>
        <w:tc>
          <w:tcPr>
            <w:tcW w:w="1776"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r>
              <w:rPr>
                <w:rFonts w:hint="default" w:ascii="Calibri" w:hAnsi="Calibri" w:cs="Calibri"/>
                <w:i/>
                <w:iCs/>
                <w:sz w:val="13"/>
                <w:szCs w:val="13"/>
                <w:vertAlign w:val="baseline"/>
                <w:lang w:val="en-US" w:eastAsia="zh-CN"/>
              </w:rPr>
              <w:t>Ref</w:t>
            </w:r>
          </w:p>
        </w:tc>
        <w:tc>
          <w:tcPr>
            <w:tcW w:w="747"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p>
        </w:tc>
        <w:tc>
          <w:tcPr>
            <w:tcW w:w="1524"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r>
              <w:rPr>
                <w:rFonts w:hint="default" w:ascii="Calibri" w:hAnsi="Calibri" w:cs="Calibri"/>
                <w:i/>
                <w:iCs/>
                <w:sz w:val="13"/>
                <w:szCs w:val="13"/>
                <w:vertAlign w:val="baseline"/>
                <w:lang w:val="en-US" w:eastAsia="zh-CN"/>
              </w:rPr>
              <w:t>Ref</w:t>
            </w:r>
          </w:p>
        </w:tc>
        <w:tc>
          <w:tcPr>
            <w:tcW w:w="753"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jc w:val="center"/>
        </w:trPr>
        <w:tc>
          <w:tcPr>
            <w:tcW w:w="116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11"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With</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75/207 (36.2)</w:t>
            </w:r>
          </w:p>
        </w:tc>
        <w:tc>
          <w:tcPr>
            <w:tcW w:w="1776" w:type="dxa"/>
            <w:tcBorders>
              <w:tl2br w:val="nil"/>
              <w:tr2bl w:val="nil"/>
            </w:tcBorders>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5.686 (4.142-7.805)</w:t>
            </w:r>
          </w:p>
        </w:tc>
        <w:tc>
          <w:tcPr>
            <w:tcW w:w="747" w:type="dxa"/>
            <w:tcBorders>
              <w:tl2br w:val="nil"/>
              <w:tr2bl w:val="nil"/>
            </w:tcBorders>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both"/>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7.355 (4.851-11.152)</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 w:hRule="atLeast"/>
          <w:jc w:val="center"/>
        </w:trPr>
        <w:tc>
          <w:tcPr>
            <w:tcW w:w="116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Arrtythmia</w:t>
            </w: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136/984 (13.8)</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75/207 (36.2)</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3.543 (2.531-4.959)</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3.980 (2.619-6.047)</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Heart failure</w:t>
            </w: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137/1006 (13.6)</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74/185 (40.0)</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4.229 (2.995-5.971)</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3.699 (2.442-5.604)</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Myocardial infarction</w:t>
            </w: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170/1136 (15.0)</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41/55 (74.5)</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14.641 (8.879-31.190)</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12.005 (5.763-25.010)</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Stroke</w:t>
            </w: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194/1141 (17.0)</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17/50 (34.0)</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2,.515 (1.373-4.606)</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0.003</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5.238 (1.221-22.473)</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0.026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6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Pulmonary embolism</w:t>
            </w: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207/1179 (17.6)</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1163" w:type="dxa"/>
            <w:vMerge w:val="continue"/>
            <w:tcBorders>
              <w:tl2br w:val="nil"/>
              <w:tr2bl w:val="nil"/>
            </w:tcBorders>
          </w:tcPr>
          <w:p>
            <w:pPr>
              <w:jc w:val="both"/>
              <w:rPr>
                <w:rFonts w:hint="default" w:ascii="Calibri" w:hAnsi="Calibri" w:cs="Calibri" w:eastAsiaTheme="minorEastAsia"/>
                <w:sz w:val="13"/>
                <w:szCs w:val="13"/>
                <w:vertAlign w:val="baseline"/>
                <w:lang w:val="en-US" w:eastAsia="zh-CN"/>
              </w:rPr>
            </w:pPr>
          </w:p>
        </w:tc>
        <w:tc>
          <w:tcPr>
            <w:tcW w:w="911"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4/12 (33.3)</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2.348 (0.700-7.870)</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0.167</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5.245 (1.213-22.677)</w:t>
            </w:r>
          </w:p>
        </w:tc>
        <w:tc>
          <w:tcPr>
            <w:tcW w:w="753" w:type="dxa"/>
            <w:tcBorders>
              <w:tl2br w:val="nil"/>
              <w:tr2bl w:val="nil"/>
            </w:tcBorders>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0.027</w:t>
            </w:r>
          </w:p>
        </w:tc>
      </w:tr>
    </w:tbl>
    <w:p>
      <w:pPr>
        <w:ind w:firstLine="150" w:firstLineChars="100"/>
        <w:rPr>
          <w:rFonts w:hint="default" w:ascii="Calibri" w:hAnsi="Calibri" w:cs="Calibri"/>
          <w:sz w:val="15"/>
          <w:szCs w:val="15"/>
          <w:lang w:val="en-US" w:eastAsia="zh-CN"/>
        </w:rPr>
      </w:pPr>
      <w:r>
        <w:rPr>
          <w:rFonts w:hint="default" w:ascii="Calibri" w:hAnsi="Calibri" w:cs="Calibri"/>
          <w:sz w:val="15"/>
          <w:szCs w:val="15"/>
          <w:lang w:val="en-US" w:eastAsia="zh-CN"/>
        </w:rPr>
        <w:t>OR: odd ratio; CI: confidence interval</w:t>
      </w:r>
    </w:p>
    <w:p>
      <w:pPr>
        <w:rPr>
          <w:rFonts w:hint="default" w:ascii="Calibri" w:hAnsi="Calibri" w:cs="Calibri"/>
        </w:rPr>
      </w:pPr>
    </w:p>
    <w:p>
      <w:pPr>
        <w:rPr>
          <w:rFonts w:hint="default" w:ascii="Calibri" w:hAnsi="Calibri" w:cs="Calibri"/>
        </w:rPr>
      </w:pPr>
    </w:p>
    <w:p>
      <w:pPr>
        <w:rPr>
          <w:rFonts w:hint="default" w:ascii="Calibri" w:hAnsi="Calibri" w:cs="Calibri"/>
          <w:b/>
          <w:bCs/>
          <w:sz w:val="20"/>
          <w:szCs w:val="20"/>
          <w:lang w:val="en-US" w:eastAsia="zh-CN"/>
        </w:rPr>
      </w:pPr>
      <w:r>
        <w:rPr>
          <w:rFonts w:hint="default" w:ascii="Calibri" w:hAnsi="Calibri" w:cs="Calibri"/>
          <w:b/>
          <w:bCs/>
          <w:sz w:val="20"/>
          <w:szCs w:val="20"/>
          <w:shd w:val="clear" w:color="auto" w:fill="FFFFFF"/>
        </w:rPr>
        <w:t>Supplementary</w:t>
      </w:r>
      <w:r>
        <w:rPr>
          <w:rFonts w:hint="default" w:ascii="Calibri" w:hAnsi="Calibri" w:eastAsia="宋体" w:cs="Calibri"/>
          <w:b/>
          <w:bCs/>
          <w:sz w:val="20"/>
          <w:szCs w:val="20"/>
          <w:shd w:val="clear" w:color="auto" w:fill="FFFFFF"/>
          <w:lang w:val="en-US" w:eastAsia="zh-CN"/>
        </w:rPr>
        <w:t xml:space="preserve"> Material</w:t>
      </w:r>
      <w:r>
        <w:rPr>
          <w:rFonts w:hint="default" w:ascii="Calibri" w:hAnsi="Calibri" w:cs="Calibri"/>
          <w:b/>
          <w:bCs/>
          <w:color w:val="000000"/>
          <w:sz w:val="20"/>
          <w:szCs w:val="20"/>
          <w:lang w:val="en-US" w:eastAsia="zh-CN"/>
        </w:rPr>
        <w:t xml:space="preserve"> 6 </w:t>
      </w:r>
      <w:r>
        <w:rPr>
          <w:rFonts w:hint="default" w:ascii="Calibri" w:hAnsi="Calibri" w:cs="Calibri"/>
          <w:b/>
          <w:bCs/>
          <w:sz w:val="20"/>
          <w:szCs w:val="20"/>
          <w:lang w:val="en-US" w:eastAsia="zh-CN"/>
        </w:rPr>
        <w:t>The association of CVEs with ICU admission in Flu-p patients</w:t>
      </w:r>
    </w:p>
    <w:tbl>
      <w:tblPr>
        <w:tblStyle w:val="3"/>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03"/>
        <w:gridCol w:w="982"/>
        <w:gridCol w:w="1113"/>
        <w:gridCol w:w="1776"/>
        <w:gridCol w:w="747"/>
        <w:gridCol w:w="1524"/>
        <w:gridCol w:w="75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jc w:val="center"/>
        </w:trPr>
        <w:tc>
          <w:tcPr>
            <w:tcW w:w="1103" w:type="dxa"/>
            <w:vMerge w:val="restart"/>
            <w:vAlign w:val="center"/>
          </w:tcPr>
          <w:p>
            <w:pPr>
              <w:jc w:val="both"/>
              <w:rPr>
                <w:rFonts w:hint="default" w:ascii="Calibri" w:hAnsi="Calibri" w:cs="Calibri" w:eastAsiaTheme="minorEastAsia"/>
                <w:b/>
                <w:bCs/>
                <w:sz w:val="13"/>
                <w:szCs w:val="13"/>
                <w:vertAlign w:val="baseline"/>
                <w:lang w:val="en-US" w:eastAsia="zh-CN"/>
              </w:rPr>
            </w:pPr>
            <w:r>
              <w:rPr>
                <w:rFonts w:hint="default" w:ascii="Calibri" w:hAnsi="Calibri" w:cs="Calibri"/>
                <w:b/>
                <w:bCs/>
                <w:sz w:val="13"/>
                <w:szCs w:val="13"/>
                <w:vertAlign w:val="baseline"/>
                <w:lang w:val="en-US" w:eastAsia="zh-CN"/>
              </w:rPr>
              <w:t>Type of CVE</w:t>
            </w:r>
          </w:p>
        </w:tc>
        <w:tc>
          <w:tcPr>
            <w:tcW w:w="982" w:type="dxa"/>
            <w:vMerge w:val="restart"/>
            <w:vAlign w:val="center"/>
          </w:tcPr>
          <w:p>
            <w:pPr>
              <w:jc w:val="center"/>
              <w:rPr>
                <w:rFonts w:hint="default" w:ascii="Calibri" w:hAnsi="Calibri" w:cs="Calibri" w:eastAsiaTheme="minorEastAsia"/>
                <w:b/>
                <w:bCs/>
                <w:kern w:val="2"/>
                <w:sz w:val="13"/>
                <w:szCs w:val="13"/>
                <w:vertAlign w:val="baseline"/>
                <w:lang w:val="en-US" w:eastAsia="zh-CN" w:bidi="ar-SA"/>
              </w:rPr>
            </w:pPr>
            <w:r>
              <w:rPr>
                <w:rFonts w:hint="default" w:ascii="Calibri" w:hAnsi="Calibri" w:cs="Calibri"/>
                <w:b/>
                <w:bCs/>
                <w:kern w:val="2"/>
                <w:sz w:val="13"/>
                <w:szCs w:val="13"/>
                <w:vertAlign w:val="baseline"/>
                <w:lang w:val="en-US" w:eastAsia="zh-CN" w:bidi="ar-SA"/>
              </w:rPr>
              <w:t>Population</w:t>
            </w:r>
          </w:p>
        </w:tc>
        <w:tc>
          <w:tcPr>
            <w:tcW w:w="1113" w:type="dxa"/>
            <w:vMerge w:val="restart"/>
            <w:vAlign w:val="top"/>
          </w:tcPr>
          <w:p>
            <w:pPr>
              <w:jc w:val="center"/>
              <w:rPr>
                <w:rFonts w:hint="default" w:ascii="Calibri" w:hAnsi="Calibri" w:cs="Calibri"/>
                <w:b/>
                <w:bCs/>
                <w:sz w:val="13"/>
                <w:szCs w:val="13"/>
                <w:vertAlign w:val="baseline"/>
                <w:lang w:val="en-US" w:eastAsia="zh-CN"/>
              </w:rPr>
            </w:pPr>
            <w:r>
              <w:rPr>
                <w:rFonts w:hint="default" w:ascii="Calibri" w:hAnsi="Calibri" w:cs="Calibri"/>
                <w:b/>
                <w:bCs/>
                <w:sz w:val="13"/>
                <w:szCs w:val="13"/>
                <w:vertAlign w:val="baseline"/>
                <w:lang w:val="en-US" w:eastAsia="zh-CN"/>
              </w:rPr>
              <w:t>Cases</w:t>
            </w:r>
          </w:p>
          <w:p>
            <w:pPr>
              <w:jc w:val="center"/>
              <w:rPr>
                <w:rFonts w:hint="default" w:ascii="Calibri" w:hAnsi="Calibri" w:cs="Calibri"/>
                <w:b/>
                <w:bCs/>
                <w:sz w:val="13"/>
                <w:szCs w:val="13"/>
                <w:vertAlign w:val="baseline"/>
                <w:lang w:val="en-US" w:eastAsia="zh-CN"/>
              </w:rPr>
            </w:pPr>
            <w:r>
              <w:rPr>
                <w:rFonts w:hint="default" w:ascii="Calibri" w:hAnsi="Calibri" w:cs="Calibri"/>
                <w:b/>
                <w:bCs/>
                <w:sz w:val="13"/>
                <w:szCs w:val="13"/>
                <w:vertAlign w:val="baseline"/>
                <w:lang w:val="en-US" w:eastAsia="zh-CN"/>
              </w:rPr>
              <w:t>(</w:t>
            </w:r>
            <w:r>
              <w:rPr>
                <w:rFonts w:hint="default" w:ascii="Calibri" w:hAnsi="Calibri" w:cs="Calibri"/>
                <w:b/>
                <w:bCs/>
                <w:i/>
                <w:iCs/>
                <w:sz w:val="13"/>
                <w:szCs w:val="13"/>
                <w:vertAlign w:val="baseline"/>
                <w:lang w:val="en-US" w:eastAsia="zh-CN"/>
              </w:rPr>
              <w:t>n</w:t>
            </w:r>
            <w:r>
              <w:rPr>
                <w:rFonts w:hint="default" w:ascii="Calibri" w:hAnsi="Calibri" w:cs="Calibri"/>
                <w:b/>
                <w:bCs/>
                <w:sz w:val="13"/>
                <w:szCs w:val="13"/>
                <w:vertAlign w:val="baseline"/>
                <w:lang w:val="en-US" w:eastAsia="zh-CN"/>
              </w:rPr>
              <w:t>, %)</w:t>
            </w:r>
          </w:p>
        </w:tc>
        <w:tc>
          <w:tcPr>
            <w:tcW w:w="2523" w:type="dxa"/>
            <w:gridSpan w:val="2"/>
            <w:tcBorders>
              <w:bottom w:val="single" w:color="auto" w:sz="4" w:space="0"/>
            </w:tcBorders>
            <w:vAlign w:val="top"/>
          </w:tcPr>
          <w:p>
            <w:pPr>
              <w:jc w:val="center"/>
              <w:rPr>
                <w:rFonts w:hint="default" w:ascii="Calibri" w:hAnsi="Calibri" w:cs="Calibri"/>
                <w:b/>
                <w:bCs/>
                <w:sz w:val="13"/>
                <w:szCs w:val="13"/>
                <w:vertAlign w:val="baseline"/>
                <w:lang w:val="en-US" w:eastAsia="zh-CN"/>
              </w:rPr>
            </w:pPr>
            <w:r>
              <w:rPr>
                <w:rFonts w:hint="default" w:ascii="Calibri" w:hAnsi="Calibri" w:cs="Calibri"/>
                <w:b/>
                <w:bCs/>
                <w:sz w:val="13"/>
                <w:szCs w:val="13"/>
                <w:vertAlign w:val="baseline"/>
                <w:lang w:val="en-US" w:eastAsia="zh-CN"/>
              </w:rPr>
              <w:t>Univariate logistic analysis</w:t>
            </w:r>
          </w:p>
        </w:tc>
        <w:tc>
          <w:tcPr>
            <w:tcW w:w="2277" w:type="dxa"/>
            <w:gridSpan w:val="2"/>
            <w:tcBorders>
              <w:bottom w:val="single" w:color="auto" w:sz="4" w:space="0"/>
            </w:tcBorders>
            <w:vAlign w:val="top"/>
          </w:tcPr>
          <w:p>
            <w:pPr>
              <w:jc w:val="center"/>
              <w:rPr>
                <w:rFonts w:hint="default" w:ascii="Calibri" w:hAnsi="Calibri" w:cs="Calibri" w:eastAsiaTheme="minorEastAsia"/>
                <w:b/>
                <w:bCs/>
                <w:kern w:val="2"/>
                <w:sz w:val="13"/>
                <w:szCs w:val="13"/>
                <w:vertAlign w:val="baseline"/>
                <w:lang w:val="en-US" w:eastAsia="zh-CN" w:bidi="ar-SA"/>
              </w:rPr>
            </w:pPr>
            <w:r>
              <w:rPr>
                <w:rFonts w:hint="default" w:ascii="Calibri" w:hAnsi="Calibri" w:cs="Calibri"/>
                <w:b/>
                <w:bCs/>
                <w:sz w:val="13"/>
                <w:szCs w:val="13"/>
                <w:vertAlign w:val="baseline"/>
                <w:lang w:val="en-US" w:eastAsia="zh-CN"/>
              </w:rPr>
              <w:t>Multivariate logistic analysis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 w:hRule="atLeast"/>
          <w:jc w:val="center"/>
        </w:trPr>
        <w:tc>
          <w:tcPr>
            <w:tcW w:w="1103" w:type="dxa"/>
            <w:vMerge w:val="continue"/>
            <w:tcBorders>
              <w:bottom w:val="single" w:color="auto" w:sz="4" w:space="0"/>
            </w:tcBorders>
          </w:tcPr>
          <w:p>
            <w:pPr>
              <w:jc w:val="both"/>
              <w:rPr>
                <w:rFonts w:hint="default" w:ascii="Calibri" w:hAnsi="Calibri" w:cs="Calibri"/>
                <w:b/>
                <w:bCs/>
                <w:sz w:val="13"/>
                <w:szCs w:val="13"/>
                <w:vertAlign w:val="baseline"/>
              </w:rPr>
            </w:pPr>
          </w:p>
        </w:tc>
        <w:tc>
          <w:tcPr>
            <w:tcW w:w="982" w:type="dxa"/>
            <w:vMerge w:val="continue"/>
            <w:tcBorders>
              <w:bottom w:val="single" w:color="auto" w:sz="4" w:space="0"/>
            </w:tcBorders>
            <w:vAlign w:val="top"/>
          </w:tcPr>
          <w:p>
            <w:pPr>
              <w:jc w:val="center"/>
              <w:rPr>
                <w:rFonts w:hint="default" w:ascii="Calibri" w:hAnsi="Calibri" w:cs="Calibri"/>
                <w:b/>
                <w:bCs/>
                <w:sz w:val="13"/>
                <w:szCs w:val="13"/>
                <w:vertAlign w:val="baseline"/>
                <w:lang w:val="en-US" w:eastAsia="zh-CN"/>
              </w:rPr>
            </w:pPr>
          </w:p>
        </w:tc>
        <w:tc>
          <w:tcPr>
            <w:tcW w:w="1113" w:type="dxa"/>
            <w:vMerge w:val="continue"/>
            <w:tcBorders>
              <w:bottom w:val="single" w:color="auto" w:sz="4" w:space="0"/>
            </w:tcBorders>
            <w:vAlign w:val="top"/>
          </w:tcPr>
          <w:p>
            <w:pPr>
              <w:jc w:val="center"/>
              <w:rPr>
                <w:rFonts w:hint="default" w:ascii="Calibri" w:hAnsi="Calibri" w:cs="Calibri"/>
                <w:b/>
                <w:bCs/>
                <w:sz w:val="13"/>
                <w:szCs w:val="13"/>
                <w:vertAlign w:val="baseline"/>
                <w:lang w:val="en-US" w:eastAsia="zh-CN"/>
              </w:rPr>
            </w:pPr>
          </w:p>
        </w:tc>
        <w:tc>
          <w:tcPr>
            <w:tcW w:w="1776" w:type="dxa"/>
            <w:tcBorders>
              <w:top w:val="single" w:color="auto" w:sz="4" w:space="0"/>
              <w:bottom w:val="single" w:color="auto" w:sz="4" w:space="0"/>
            </w:tcBorders>
            <w:vAlign w:val="top"/>
          </w:tcPr>
          <w:p>
            <w:pPr>
              <w:jc w:val="center"/>
              <w:rPr>
                <w:rFonts w:hint="default" w:ascii="Calibri" w:hAnsi="Calibri" w:cs="Calibri"/>
                <w:b/>
                <w:bCs/>
                <w:i/>
                <w:iCs/>
                <w:sz w:val="13"/>
                <w:szCs w:val="13"/>
                <w:vertAlign w:val="baseline"/>
                <w:lang w:val="en-US" w:eastAsia="zh-CN"/>
              </w:rPr>
            </w:pPr>
            <w:r>
              <w:rPr>
                <w:rFonts w:hint="default" w:ascii="Calibri" w:hAnsi="Calibri" w:cs="Calibri"/>
                <w:b/>
                <w:bCs/>
                <w:i/>
                <w:iCs/>
                <w:sz w:val="13"/>
                <w:szCs w:val="13"/>
                <w:vertAlign w:val="baseline"/>
                <w:lang w:val="en-US" w:eastAsia="zh-CN"/>
              </w:rPr>
              <w:t>OR (95% CI)</w:t>
            </w:r>
          </w:p>
        </w:tc>
        <w:tc>
          <w:tcPr>
            <w:tcW w:w="747" w:type="dxa"/>
            <w:tcBorders>
              <w:top w:val="single" w:color="auto" w:sz="4" w:space="0"/>
              <w:bottom w:val="single" w:color="auto" w:sz="4" w:space="0"/>
            </w:tcBorders>
            <w:vAlign w:val="top"/>
          </w:tcPr>
          <w:p>
            <w:pPr>
              <w:jc w:val="center"/>
              <w:rPr>
                <w:rFonts w:hint="default" w:ascii="Calibri" w:hAnsi="Calibri" w:cs="Calibri"/>
                <w:b/>
                <w:bCs/>
                <w:i/>
                <w:iCs/>
                <w:sz w:val="13"/>
                <w:szCs w:val="13"/>
                <w:vertAlign w:val="baseline"/>
                <w:lang w:val="en-US" w:eastAsia="zh-CN"/>
              </w:rPr>
            </w:pPr>
            <w:r>
              <w:rPr>
                <w:rFonts w:hint="default" w:ascii="Calibri" w:hAnsi="Calibri" w:cs="Calibri"/>
                <w:b/>
                <w:bCs/>
                <w:i/>
                <w:iCs/>
                <w:sz w:val="13"/>
                <w:szCs w:val="13"/>
                <w:vertAlign w:val="baseline"/>
                <w:lang w:val="en-US" w:eastAsia="zh-CN"/>
              </w:rPr>
              <w:t>P</w:t>
            </w:r>
          </w:p>
        </w:tc>
        <w:tc>
          <w:tcPr>
            <w:tcW w:w="1524" w:type="dxa"/>
            <w:tcBorders>
              <w:top w:val="single" w:color="auto" w:sz="4" w:space="0"/>
              <w:bottom w:val="single" w:color="auto" w:sz="4" w:space="0"/>
            </w:tcBorders>
            <w:vAlign w:val="top"/>
          </w:tcPr>
          <w:p>
            <w:pPr>
              <w:jc w:val="center"/>
              <w:rPr>
                <w:rFonts w:hint="default" w:ascii="Calibri" w:hAnsi="Calibri" w:cs="Calibri" w:eastAsiaTheme="minorEastAsia"/>
                <w:b/>
                <w:bCs/>
                <w:i/>
                <w:iCs/>
                <w:kern w:val="2"/>
                <w:sz w:val="13"/>
                <w:szCs w:val="13"/>
                <w:vertAlign w:val="baseline"/>
                <w:lang w:val="en-US" w:eastAsia="zh-CN" w:bidi="ar-SA"/>
              </w:rPr>
            </w:pPr>
            <w:r>
              <w:rPr>
                <w:rFonts w:hint="default" w:ascii="Calibri" w:hAnsi="Calibri" w:cs="Calibri"/>
                <w:b/>
                <w:bCs/>
                <w:i/>
                <w:iCs/>
                <w:sz w:val="13"/>
                <w:szCs w:val="13"/>
                <w:vertAlign w:val="baseline"/>
                <w:lang w:val="en-US" w:eastAsia="zh-CN"/>
              </w:rPr>
              <w:t>OR (95% CI)</w:t>
            </w:r>
          </w:p>
        </w:tc>
        <w:tc>
          <w:tcPr>
            <w:tcW w:w="753" w:type="dxa"/>
            <w:tcBorders>
              <w:top w:val="single" w:color="auto" w:sz="4" w:space="0"/>
              <w:bottom w:val="single" w:color="auto" w:sz="4" w:space="0"/>
            </w:tcBorders>
            <w:vAlign w:val="top"/>
          </w:tcPr>
          <w:p>
            <w:pPr>
              <w:jc w:val="center"/>
              <w:rPr>
                <w:rFonts w:hint="default" w:ascii="Calibri" w:hAnsi="Calibri" w:cs="Calibri" w:eastAsiaTheme="minorEastAsia"/>
                <w:b/>
                <w:bCs/>
                <w:i/>
                <w:iCs/>
                <w:kern w:val="2"/>
                <w:sz w:val="13"/>
                <w:szCs w:val="13"/>
                <w:vertAlign w:val="baseline"/>
                <w:lang w:val="en-US" w:eastAsia="zh-CN" w:bidi="ar-SA"/>
              </w:rPr>
            </w:pPr>
            <w:r>
              <w:rPr>
                <w:rFonts w:hint="default" w:ascii="Calibri" w:hAnsi="Calibri" w:cs="Calibri"/>
                <w:b/>
                <w:bCs/>
                <w:i/>
                <w:iCs/>
                <w:sz w:val="13"/>
                <w:szCs w:val="13"/>
                <w:vertAlign w:val="baseline"/>
                <w:lang w:val="en-US" w:eastAsia="zh-CN"/>
              </w:rPr>
              <w:t>P</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jc w:val="center"/>
        </w:trPr>
        <w:tc>
          <w:tcPr>
            <w:tcW w:w="1103" w:type="dxa"/>
            <w:vMerge w:val="restar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Total CVEs</w:t>
            </w:r>
          </w:p>
        </w:tc>
        <w:tc>
          <w:tcPr>
            <w:tcW w:w="982" w:type="dxa"/>
            <w:tcBorders>
              <w:top w:val="single" w:color="auto" w:sz="4" w:space="0"/>
              <w:tl2br w:val="nil"/>
              <w:tr2bl w:val="nil"/>
            </w:tcBorders>
            <w:vAlign w:val="top"/>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Without</w:t>
            </w:r>
          </w:p>
        </w:tc>
        <w:tc>
          <w:tcPr>
            <w:tcW w:w="1113" w:type="dxa"/>
            <w:tcBorders>
              <w:top w:val="single" w:color="auto" w:sz="4" w:space="0"/>
              <w:tl2br w:val="nil"/>
              <w:tr2bl w:val="nil"/>
            </w:tcBorders>
            <w:vAlign w:val="top"/>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145/898 (16.1)</w:t>
            </w:r>
          </w:p>
        </w:tc>
        <w:tc>
          <w:tcPr>
            <w:tcW w:w="1776"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r>
              <w:rPr>
                <w:rFonts w:hint="default" w:ascii="Calibri" w:hAnsi="Calibri" w:cs="Calibri"/>
                <w:i/>
                <w:iCs/>
                <w:sz w:val="13"/>
                <w:szCs w:val="13"/>
                <w:vertAlign w:val="baseline"/>
                <w:lang w:val="en-US" w:eastAsia="zh-CN"/>
              </w:rPr>
              <w:t>Ref</w:t>
            </w:r>
          </w:p>
        </w:tc>
        <w:tc>
          <w:tcPr>
            <w:tcW w:w="747"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p>
        </w:tc>
        <w:tc>
          <w:tcPr>
            <w:tcW w:w="1524"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r>
              <w:rPr>
                <w:rFonts w:hint="default" w:ascii="Calibri" w:hAnsi="Calibri" w:cs="Calibri"/>
                <w:i/>
                <w:iCs/>
                <w:sz w:val="13"/>
                <w:szCs w:val="13"/>
                <w:vertAlign w:val="baseline"/>
                <w:lang w:val="en-US" w:eastAsia="zh-CN"/>
              </w:rPr>
              <w:t>Ref</w:t>
            </w:r>
          </w:p>
        </w:tc>
        <w:tc>
          <w:tcPr>
            <w:tcW w:w="753" w:type="dxa"/>
            <w:tcBorders>
              <w:top w:val="single" w:color="auto" w:sz="4" w:space="0"/>
              <w:tl2br w:val="nil"/>
              <w:tr2bl w:val="nil"/>
            </w:tcBorders>
            <w:vAlign w:val="top"/>
          </w:tcPr>
          <w:p>
            <w:pPr>
              <w:jc w:val="center"/>
              <w:rPr>
                <w:rFonts w:hint="default" w:ascii="Calibri" w:hAnsi="Calibri" w:cs="Calibri"/>
                <w:i/>
                <w:iCs/>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jc w:val="center"/>
        </w:trPr>
        <w:tc>
          <w:tcPr>
            <w:tcW w:w="110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82"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With</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122/293 (41.6)</w:t>
            </w:r>
          </w:p>
        </w:tc>
        <w:tc>
          <w:tcPr>
            <w:tcW w:w="1776" w:type="dxa"/>
            <w:tcBorders>
              <w:tl2br w:val="nil"/>
              <w:tr2bl w:val="nil"/>
            </w:tcBorders>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3.705 (2.765-4.964)</w:t>
            </w:r>
          </w:p>
        </w:tc>
        <w:tc>
          <w:tcPr>
            <w:tcW w:w="747" w:type="dxa"/>
            <w:tcBorders>
              <w:tl2br w:val="nil"/>
              <w:tr2bl w:val="nil"/>
            </w:tcBorders>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both"/>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3.223 (1.167-4.793)</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 w:hRule="atLeast"/>
          <w:jc w:val="center"/>
        </w:trPr>
        <w:tc>
          <w:tcPr>
            <w:tcW w:w="110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Arrtythmia</w:t>
            </w: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190/984 (19.3)</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77/207 (37.2)</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2.475 (1.792-3.420)</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2.413 (1.592-3.657)</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Heart failure</w:t>
            </w: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184/1006 (18.3)</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83/185 (44.9)</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3.635 (2.611-5.061)</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3.076 (2.014-4.697)</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Myocardial infarction</w:t>
            </w: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229/1136 (20.2)</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38/55 (69.1)</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8.853 (4.908-15.971)</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&lt; 0.001</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3.523 (1.687-7.360)</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Stroke</w:t>
            </w: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252/1141 (22.1)</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15/50 (30.0)</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.512 (0.813-2.813)</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0.192</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3.020 (1.245-7.324)</w:t>
            </w:r>
          </w:p>
        </w:tc>
        <w:tc>
          <w:tcPr>
            <w:tcW w:w="75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0.003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 w:hRule="atLeast"/>
          <w:jc w:val="center"/>
        </w:trPr>
        <w:tc>
          <w:tcPr>
            <w:tcW w:w="110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left="100" w:leftChars="50" w:right="0" w:rightChars="0"/>
              <w:jc w:val="both"/>
              <w:textAlignment w:val="auto"/>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Pulmonary embolism</w:t>
            </w: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Without</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262/1179 (22.2)</w:t>
            </w:r>
          </w:p>
        </w:tc>
        <w:tc>
          <w:tcPr>
            <w:tcW w:w="1776"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47"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p>
        </w:tc>
        <w:tc>
          <w:tcPr>
            <w:tcW w:w="1524" w:type="dxa"/>
            <w:tcBorders>
              <w:tl2br w:val="nil"/>
              <w:tr2bl w:val="nil"/>
            </w:tcBorders>
            <w:vAlign w:val="top"/>
          </w:tcPr>
          <w:p>
            <w:pPr>
              <w:jc w:val="center"/>
              <w:rPr>
                <w:rFonts w:hint="default" w:ascii="Calibri" w:hAnsi="Calibri" w:cs="Calibri" w:eastAsiaTheme="minorEastAsia"/>
                <w:i/>
                <w:iCs/>
                <w:kern w:val="2"/>
                <w:sz w:val="13"/>
                <w:szCs w:val="13"/>
                <w:vertAlign w:val="baseline"/>
                <w:lang w:val="en-US" w:eastAsia="zh-CN" w:bidi="ar-SA"/>
              </w:rPr>
            </w:pPr>
            <w:r>
              <w:rPr>
                <w:rFonts w:hint="default" w:ascii="Calibri" w:hAnsi="Calibri" w:cs="Calibri"/>
                <w:i/>
                <w:iCs/>
                <w:sz w:val="13"/>
                <w:szCs w:val="13"/>
                <w:vertAlign w:val="baseline"/>
                <w:lang w:val="en-US" w:eastAsia="zh-CN"/>
              </w:rPr>
              <w:t>Ref</w:t>
            </w:r>
          </w:p>
        </w:tc>
        <w:tc>
          <w:tcPr>
            <w:tcW w:w="753" w:type="dxa"/>
            <w:tcBorders>
              <w:tl2br w:val="nil"/>
              <w:tr2bl w:val="nil"/>
            </w:tcBorders>
          </w:tcPr>
          <w:p>
            <w:pPr>
              <w:jc w:val="center"/>
              <w:rPr>
                <w:rFonts w:hint="default" w:ascii="Calibri" w:hAnsi="Calibri" w:cs="Calibri"/>
                <w:sz w:val="13"/>
                <w:szCs w:val="13"/>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jc w:val="center"/>
        </w:trPr>
        <w:tc>
          <w:tcPr>
            <w:tcW w:w="1103" w:type="dxa"/>
            <w:vMerge w:val="continue"/>
            <w:tcBorders>
              <w:tl2br w:val="nil"/>
              <w:tr2bl w:val="nil"/>
            </w:tcBorders>
          </w:tcPr>
          <w:p>
            <w:pPr>
              <w:jc w:val="both"/>
              <w:rPr>
                <w:rFonts w:hint="default" w:ascii="Calibri" w:hAnsi="Calibri" w:cs="Calibri" w:eastAsiaTheme="minorEastAsia"/>
                <w:sz w:val="13"/>
                <w:szCs w:val="13"/>
                <w:vertAlign w:val="baseline"/>
                <w:lang w:val="en-US" w:eastAsia="zh-CN"/>
              </w:rPr>
            </w:pPr>
          </w:p>
        </w:tc>
        <w:tc>
          <w:tcPr>
            <w:tcW w:w="982" w:type="dxa"/>
            <w:tcBorders>
              <w:tl2br w:val="nil"/>
              <w:tr2bl w:val="nil"/>
            </w:tcBorders>
            <w:vAlign w:val="top"/>
          </w:tcPr>
          <w:p>
            <w:pPr>
              <w:jc w:val="center"/>
              <w:rPr>
                <w:rFonts w:hint="default" w:ascii="Calibri" w:hAnsi="Calibri" w:cs="Calibri" w:eastAsiaTheme="minorEastAsia"/>
                <w:kern w:val="2"/>
                <w:sz w:val="13"/>
                <w:szCs w:val="13"/>
                <w:vertAlign w:val="baseline"/>
                <w:lang w:val="en-US" w:eastAsia="zh-CN" w:bidi="ar-SA"/>
              </w:rPr>
            </w:pPr>
            <w:r>
              <w:rPr>
                <w:rFonts w:hint="default" w:ascii="Calibri" w:hAnsi="Calibri" w:cs="Calibri"/>
                <w:sz w:val="13"/>
                <w:szCs w:val="13"/>
                <w:vertAlign w:val="baseline"/>
                <w:lang w:val="en-US" w:eastAsia="zh-CN"/>
              </w:rPr>
              <w:t>With</w:t>
            </w:r>
          </w:p>
        </w:tc>
        <w:tc>
          <w:tcPr>
            <w:tcW w:w="1113"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5/12 (41.7)</w:t>
            </w:r>
          </w:p>
        </w:tc>
        <w:tc>
          <w:tcPr>
            <w:tcW w:w="1776"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2.500 (0.787-7.942)</w:t>
            </w:r>
          </w:p>
        </w:tc>
        <w:tc>
          <w:tcPr>
            <w:tcW w:w="747"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0.120</w:t>
            </w:r>
          </w:p>
        </w:tc>
        <w:tc>
          <w:tcPr>
            <w:tcW w:w="1524" w:type="dxa"/>
            <w:tcBorders>
              <w:tl2br w:val="nil"/>
              <w:tr2bl w:val="nil"/>
            </w:tcBorders>
          </w:tcPr>
          <w:p>
            <w:pPr>
              <w:jc w:val="center"/>
              <w:rPr>
                <w:rFonts w:hint="default" w:ascii="Calibri" w:hAnsi="Calibri" w:cs="Calibri" w:eastAsiaTheme="minorEastAsia"/>
                <w:sz w:val="13"/>
                <w:szCs w:val="13"/>
                <w:vertAlign w:val="baseline"/>
                <w:lang w:val="en-US" w:eastAsia="zh-CN"/>
              </w:rPr>
            </w:pPr>
            <w:r>
              <w:rPr>
                <w:rFonts w:hint="default" w:ascii="Calibri" w:hAnsi="Calibri" w:cs="Calibri"/>
                <w:sz w:val="13"/>
                <w:szCs w:val="13"/>
                <w:vertAlign w:val="baseline"/>
                <w:lang w:val="en-US" w:eastAsia="zh-CN"/>
              </w:rPr>
              <w:t>7.919 (1.800-34.835)</w:t>
            </w:r>
          </w:p>
        </w:tc>
        <w:tc>
          <w:tcPr>
            <w:tcW w:w="753" w:type="dxa"/>
            <w:tcBorders>
              <w:tl2br w:val="nil"/>
              <w:tr2bl w:val="nil"/>
            </w:tcBorders>
          </w:tcPr>
          <w:p>
            <w:pPr>
              <w:jc w:val="center"/>
              <w:rPr>
                <w:rFonts w:hint="default" w:ascii="Calibri" w:hAnsi="Calibri" w:cs="Calibri"/>
                <w:sz w:val="13"/>
                <w:szCs w:val="13"/>
                <w:vertAlign w:val="baseline"/>
                <w:lang w:val="en-US" w:eastAsia="zh-CN"/>
              </w:rPr>
            </w:pPr>
            <w:r>
              <w:rPr>
                <w:rFonts w:hint="default" w:ascii="Calibri" w:hAnsi="Calibri" w:cs="Calibri"/>
                <w:sz w:val="13"/>
                <w:szCs w:val="13"/>
                <w:vertAlign w:val="baseline"/>
                <w:lang w:val="en-US" w:eastAsia="zh-CN"/>
              </w:rPr>
              <w:t>0.006</w:t>
            </w:r>
          </w:p>
        </w:tc>
      </w:tr>
    </w:tbl>
    <w:p>
      <w:pPr>
        <w:rPr>
          <w:rFonts w:hint="default" w:ascii="Calibri" w:hAnsi="Calibri" w:cs="Calibri"/>
          <w:b/>
          <w:bCs/>
          <w:sz w:val="20"/>
          <w:szCs w:val="20"/>
          <w:lang w:val="en-US" w:eastAsia="zh-CN"/>
        </w:rPr>
      </w:pPr>
    </w:p>
    <w:p>
      <w:pPr>
        <w:rPr>
          <w:rFonts w:hint="default" w:ascii="Calibri" w:hAnsi="Calibri" w:cs="Calibri"/>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Segoe Print"/>
    <w:panose1 w:val="00000000000000000000"/>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华文琥珀">
    <w:panose1 w:val="02010800040101010101"/>
    <w:charset w:val="86"/>
    <w:family w:val="auto"/>
    <w:pitch w:val="default"/>
    <w:sig w:usb0="00000001" w:usb1="080F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9B142C"/>
    <w:multiLevelType w:val="singleLevel"/>
    <w:tmpl w:val="959B142C"/>
    <w:lvl w:ilvl="0" w:tentative="0">
      <w:start w:val="1"/>
      <w:numFmt w:val="decimal"/>
      <w:lvlText w:val="(%1)"/>
      <w:lvlJc w:val="left"/>
      <w:pPr>
        <w:ind w:left="425" w:hanging="425"/>
      </w:pPr>
      <w:rPr>
        <w:rFonts w:hint="default"/>
      </w:rPr>
    </w:lvl>
  </w:abstractNum>
  <w:abstractNum w:abstractNumId="1">
    <w:nsid w:val="53A216BD"/>
    <w:multiLevelType w:val="singleLevel"/>
    <w:tmpl w:val="53A216BD"/>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8264B8"/>
    <w:rsid w:val="06D12E1B"/>
    <w:rsid w:val="1766423E"/>
    <w:rsid w:val="2B32416C"/>
    <w:rsid w:val="2BAB7CE2"/>
    <w:rsid w:val="2CE65436"/>
    <w:rsid w:val="34F41B33"/>
    <w:rsid w:val="4B43654C"/>
    <w:rsid w:val="546E70DE"/>
    <w:rsid w:val="54CA27FC"/>
    <w:rsid w:val="5BBA4B4F"/>
    <w:rsid w:val="6D612E67"/>
    <w:rsid w:val="70826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99"/>
    <w:pPr>
      <w:widowControl w:val="0"/>
      <w:autoSpaceDE w:val="0"/>
      <w:autoSpaceDN w:val="0"/>
      <w:adjustRightInd w:val="0"/>
      <w:spacing w:beforeLines="0" w:afterLines="0"/>
    </w:pPr>
    <w:rPr>
      <w:rFonts w:hint="default" w:ascii="MingLiU" w:hAnsi="MingLiU" w:eastAsia="MingLiU" w:cs="Times New Roman"/>
      <w:color w:val="000000"/>
      <w:sz w:val="20"/>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qFormat/>
    <w:uiPriority w:val="0"/>
    <w:rPr>
      <w:rFonts w:cs="Times New Roman"/>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2020-12-16T08:33:00Z</dcterms:created>
  <dc:creator>安</dc:creator>
  <cp:lastModifiedBy>安</cp:lastModifiedBy>
  <dcterms:modified xsi:type="dcterms:W3CDTF">2021-01-03T07:49:05Z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