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CBB77" w14:textId="77777777" w:rsidR="00FE37B5" w:rsidRPr="00104651" w:rsidRDefault="00FE37B5" w:rsidP="00FE37B5">
      <w:pPr>
        <w:pStyle w:val="Heading2"/>
        <w:spacing w:line="480" w:lineRule="auto"/>
        <w:rPr>
          <w:rFonts w:eastAsiaTheme="minorHAnsi" w:cs="Times New Roman"/>
          <w:szCs w:val="24"/>
        </w:rPr>
      </w:pPr>
      <w:r w:rsidRPr="00104651">
        <w:rPr>
          <w:rFonts w:cs="Times New Roman"/>
          <w:szCs w:val="24"/>
        </w:rPr>
        <w:t>Supplementary Figures</w:t>
      </w:r>
    </w:p>
    <w:p w14:paraId="28B06CB2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drawing>
          <wp:inline distT="0" distB="0" distL="0" distR="0" wp14:anchorId="6024A2DB" wp14:editId="7888A204">
            <wp:extent cx="5830570" cy="3025766"/>
            <wp:effectExtent l="0" t="0" r="0" b="381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" t="1707"/>
                    <a:stretch/>
                  </pic:blipFill>
                  <pic:spPr bwMode="auto">
                    <a:xfrm>
                      <a:off x="0" y="0"/>
                      <a:ext cx="5830877" cy="30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69F71" w14:textId="77777777" w:rsidR="00FE37B5" w:rsidRPr="00104651" w:rsidRDefault="00FE37B5" w:rsidP="00FE37B5">
      <w:pPr>
        <w:spacing w:line="480" w:lineRule="auto"/>
        <w:rPr>
          <w:b/>
          <w:bCs/>
        </w:rPr>
        <w:sectPr w:rsidR="00FE37B5" w:rsidRPr="00104651" w:rsidSect="00FE37B5">
          <w:headerReference w:type="default" r:id="rId5"/>
          <w:footerReference w:type="default" r:id="rId6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0" w:name="_Toc103873691"/>
      <w:r w:rsidRPr="00104651">
        <w:rPr>
          <w:b/>
          <w:bCs/>
        </w:rPr>
        <w:t xml:space="preserve">Supplementary Figure </w:t>
      </w:r>
      <w:r w:rsidRPr="00104651">
        <w:rPr>
          <w:b/>
          <w:bCs/>
        </w:rPr>
        <w:fldChar w:fldCharType="begin"/>
      </w:r>
      <w:r w:rsidRPr="00104651">
        <w:rPr>
          <w:b/>
          <w:bCs/>
        </w:rPr>
        <w:instrText xml:space="preserve"> SEQ Supplementary_Figure \* ARABIC \s 1 </w:instrText>
      </w:r>
      <w:r w:rsidRPr="00104651">
        <w:rPr>
          <w:b/>
          <w:bCs/>
        </w:rPr>
        <w:fldChar w:fldCharType="separate"/>
      </w:r>
      <w:r w:rsidRPr="00104651">
        <w:rPr>
          <w:b/>
          <w:bCs/>
          <w:noProof/>
        </w:rPr>
        <w:t>1</w:t>
      </w:r>
      <w:r w:rsidRPr="00104651">
        <w:rPr>
          <w:b/>
          <w:bCs/>
        </w:rPr>
        <w:fldChar w:fldCharType="end"/>
      </w:r>
      <w:r w:rsidRPr="00104651">
        <w:rPr>
          <w:b/>
          <w:bCs/>
        </w:rPr>
        <w:t xml:space="preserve">. </w:t>
      </w:r>
      <w:r w:rsidRPr="00104651">
        <w:rPr>
          <w:b/>
          <w:bCs/>
          <w:i/>
          <w:iCs/>
        </w:rPr>
        <w:t xml:space="preserve">In-situ </w:t>
      </w:r>
      <w:r w:rsidRPr="00104651">
        <w:rPr>
          <w:b/>
          <w:bCs/>
        </w:rPr>
        <w:t>staining and quantification of T-IELs.</w:t>
      </w:r>
      <w:bookmarkEnd w:id="0"/>
      <w:r w:rsidRPr="00104651">
        <w:rPr>
          <w:b/>
          <w:bCs/>
        </w:rPr>
        <w:t xml:space="preserve"> </w:t>
      </w:r>
    </w:p>
    <w:p w14:paraId="175F5D10" w14:textId="77777777" w:rsidR="00FE37B5" w:rsidRPr="004F106F" w:rsidRDefault="00FE37B5" w:rsidP="00FE37B5">
      <w:pPr>
        <w:spacing w:line="480" w:lineRule="auto"/>
      </w:pPr>
      <w:r w:rsidRPr="00104651">
        <w:t>Representative images of epithelial annotation (left, column 1) and stain quantification (right, columns 2-4) in jejunal/ileal villi and cecal crypts of tissues stained for CD3</w:t>
      </w:r>
      <w:r w:rsidRPr="003953EB">
        <w:rPr>
          <w:rFonts w:ascii="Symbol" w:hAnsi="Symbol"/>
        </w:rPr>
        <w:t>e</w:t>
      </w:r>
      <w:r w:rsidRPr="00104651">
        <w:t xml:space="preserve"> protein. Abbreviations: T-IEL = intraepithelial T lymphocyte</w:t>
      </w:r>
      <w:r w:rsidRPr="00104651">
        <w:rPr>
          <w:b/>
          <w:bCs/>
        </w:rPr>
        <w:br w:type="page"/>
      </w:r>
    </w:p>
    <w:p w14:paraId="4081EC54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2CBC7A53" wp14:editId="55AD9A31">
            <wp:extent cx="5963715" cy="7866043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b="5355"/>
                    <a:stretch/>
                  </pic:blipFill>
                  <pic:spPr bwMode="auto">
                    <a:xfrm>
                      <a:off x="0" y="0"/>
                      <a:ext cx="5979232" cy="78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43139" w14:textId="77777777" w:rsidR="00FE37B5" w:rsidRPr="00104651" w:rsidRDefault="00FE37B5" w:rsidP="00FE37B5">
      <w:pPr>
        <w:pStyle w:val="Caption"/>
        <w:spacing w:before="0"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1" w:name="_Toc103873692"/>
      <w:r w:rsidRPr="00104651">
        <w:rPr>
          <w:rFonts w:cs="Times New Roman"/>
          <w:b/>
          <w:bCs/>
          <w:szCs w:val="24"/>
        </w:rPr>
        <w:lastRenderedPageBreak/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2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Flow cytometry event filtering strategy.</w:t>
      </w:r>
      <w:bookmarkEnd w:id="1"/>
      <w:r w:rsidRPr="00104651">
        <w:rPr>
          <w:rFonts w:cs="Times New Roman"/>
          <w:b/>
          <w:bCs/>
          <w:szCs w:val="24"/>
        </w:rPr>
        <w:t xml:space="preserve"> </w:t>
      </w:r>
    </w:p>
    <w:p w14:paraId="5FF14853" w14:textId="77777777" w:rsidR="00FE37B5" w:rsidRPr="004F106F" w:rsidRDefault="00FE37B5" w:rsidP="00FE37B5">
      <w:pPr>
        <w:pStyle w:val="Caption"/>
        <w:spacing w:before="0" w:after="0" w:line="480" w:lineRule="auto"/>
        <w:rPr>
          <w:rFonts w:cs="Times New Roman"/>
          <w:szCs w:val="24"/>
        </w:rPr>
      </w:pPr>
      <w:r w:rsidRPr="00104651">
        <w:rPr>
          <w:rFonts w:cs="Times New Roman"/>
          <w:szCs w:val="24"/>
        </w:rPr>
        <w:t>(</w:t>
      </w:r>
      <w:r w:rsidRPr="00104651">
        <w:rPr>
          <w:rFonts w:cs="Times New Roman"/>
          <w:b/>
          <w:bCs/>
          <w:szCs w:val="24"/>
        </w:rPr>
        <w:t>A</w:t>
      </w:r>
      <w:r w:rsidRPr="00104651">
        <w:rPr>
          <w:rFonts w:cs="Times New Roman"/>
          <w:szCs w:val="24"/>
        </w:rPr>
        <w:t xml:space="preserve">) Top: gating strategy used in </w:t>
      </w:r>
      <w:proofErr w:type="spellStart"/>
      <w:r w:rsidRPr="00104651">
        <w:rPr>
          <w:rFonts w:cs="Times New Roman"/>
          <w:szCs w:val="24"/>
        </w:rPr>
        <w:t>FlowJo</w:t>
      </w:r>
      <w:proofErr w:type="spellEnd"/>
      <w:r w:rsidRPr="00104651">
        <w:rPr>
          <w:rFonts w:cs="Times New Roman"/>
          <w:szCs w:val="24"/>
        </w:rPr>
        <w:t xml:space="preserve"> to isolate CD3</w:t>
      </w:r>
      <w:r w:rsidRPr="004F1337">
        <w:rPr>
          <w:rFonts w:ascii="Symbol" w:hAnsi="Symbol" w:cs="Times New Roman"/>
          <w:szCs w:val="24"/>
        </w:rPr>
        <w:t>e</w:t>
      </w:r>
      <w:r w:rsidRPr="00104651">
        <w:rPr>
          <w:rFonts w:cs="Times New Roman"/>
          <w:szCs w:val="24"/>
          <w:vertAlign w:val="superscript"/>
        </w:rPr>
        <w:t>+</w:t>
      </w:r>
      <w:r w:rsidRPr="00104651">
        <w:rPr>
          <w:rFonts w:cs="Times New Roman"/>
          <w:szCs w:val="24"/>
        </w:rPr>
        <w:t xml:space="preserve"> acquired events with forward- and side-scatter</w:t>
      </w:r>
      <w:r w:rsidRPr="00104651">
        <w:rPr>
          <w:rFonts w:cs="Times New Roman"/>
          <w:b/>
          <w:bCs/>
          <w:szCs w:val="24"/>
        </w:rPr>
        <w:t xml:space="preserve"> </w:t>
      </w:r>
      <w:r w:rsidRPr="00104651">
        <w:rPr>
          <w:rFonts w:cs="Times New Roman"/>
          <w:szCs w:val="24"/>
        </w:rPr>
        <w:t xml:space="preserve">patterns consistent with lymphocytes. Bottom: axes scaling of cell surface marker fluorescent intensities that were converted to channel values (1,000 linear bins) exported from </w:t>
      </w:r>
      <w:proofErr w:type="spellStart"/>
      <w:r w:rsidRPr="00104651">
        <w:rPr>
          <w:rFonts w:cs="Times New Roman"/>
          <w:szCs w:val="24"/>
        </w:rPr>
        <w:t>FlowJo</w:t>
      </w:r>
      <w:proofErr w:type="spellEnd"/>
      <w:r w:rsidRPr="00104651">
        <w:rPr>
          <w:rFonts w:cs="Times New Roman"/>
          <w:szCs w:val="24"/>
        </w:rPr>
        <w:t xml:space="preserve"> for all subsequent analyses. Gating and axes scaling for a singl</w:t>
      </w:r>
      <w:r w:rsidRPr="003953EB">
        <w:rPr>
          <w:rFonts w:cs="Times New Roman"/>
          <w:szCs w:val="24"/>
        </w:rPr>
        <w:t>e sample of ileum from a 5wo pig (#25) are shown. (</w:t>
      </w:r>
      <w:r w:rsidRPr="003953EB">
        <w:rPr>
          <w:rFonts w:cs="Times New Roman"/>
          <w:b/>
          <w:bCs/>
          <w:szCs w:val="24"/>
        </w:rPr>
        <w:t>B</w:t>
      </w:r>
      <w:r w:rsidRPr="003953EB">
        <w:rPr>
          <w:rFonts w:cs="Times New Roman"/>
          <w:szCs w:val="24"/>
        </w:rPr>
        <w:t xml:space="preserve">) t-SNE plot showing </w:t>
      </w:r>
      <w:proofErr w:type="spellStart"/>
      <w:r w:rsidRPr="003953EB">
        <w:rPr>
          <w:rFonts w:cs="Times New Roman"/>
          <w:szCs w:val="24"/>
        </w:rPr>
        <w:t>FlowSOM</w:t>
      </w:r>
      <w:proofErr w:type="spellEnd"/>
      <w:r w:rsidRPr="003953EB">
        <w:rPr>
          <w:rFonts w:cs="Times New Roman"/>
          <w:szCs w:val="24"/>
        </w:rPr>
        <w:t xml:space="preserve"> clusters derived from clustering of gated CD3</w:t>
      </w:r>
      <w:r w:rsidRPr="003953EB">
        <w:rPr>
          <w:rFonts w:ascii="Symbol" w:hAnsi="Symbol" w:cs="Times New Roman"/>
          <w:szCs w:val="24"/>
        </w:rPr>
        <w:t>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events shown in </w:t>
      </w:r>
      <w:r w:rsidRPr="003953EB">
        <w:rPr>
          <w:rFonts w:cs="Times New Roman"/>
          <w:b/>
          <w:bCs/>
          <w:szCs w:val="24"/>
        </w:rPr>
        <w:t xml:space="preserve">A </w:t>
      </w:r>
      <w:r w:rsidRPr="003953EB">
        <w:rPr>
          <w:rFonts w:cs="Times New Roman"/>
          <w:szCs w:val="24"/>
        </w:rPr>
        <w:t xml:space="preserve">based on batch-corrected expression of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>TCR, CD2, CD4,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</w:rPr>
        <w:t>, 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</w:rPr>
        <w:t>, CD16, and CD27. Each dot represents one cell. Color of a dot corresponds to cluster annotation. Clusters 6 and 12 are circled and indicated as CD4 T cells and non-T cells, respectively. (</w:t>
      </w:r>
      <w:r w:rsidRPr="003953EB">
        <w:rPr>
          <w:rFonts w:cs="Times New Roman"/>
          <w:b/>
          <w:bCs/>
          <w:szCs w:val="24"/>
        </w:rPr>
        <w:t>C</w:t>
      </w:r>
      <w:r w:rsidRPr="003953EB">
        <w:rPr>
          <w:rFonts w:cs="Times New Roman"/>
          <w:szCs w:val="24"/>
        </w:rPr>
        <w:t xml:space="preserve">) t-SNE plots of cell marker expression. Each dot represents one cell. The color of a dot corresponds to batch-corrected fluorescent intensity values of analyzed cell surface markers. In </w:t>
      </w:r>
      <w:r w:rsidRPr="003953EB">
        <w:rPr>
          <w:rFonts w:cs="Times New Roman"/>
          <w:b/>
          <w:bCs/>
          <w:szCs w:val="24"/>
        </w:rPr>
        <w:t>B-C</w:t>
      </w:r>
      <w:r w:rsidRPr="003953EB">
        <w:rPr>
          <w:rFonts w:cs="Times New Roman"/>
          <w:szCs w:val="24"/>
        </w:rPr>
        <w:t>, a subset of 500 cells from each sample (24,000 total cells) are shown in each t-SNE plot. (</w:t>
      </w:r>
      <w:r w:rsidRPr="003953EB">
        <w:rPr>
          <w:rFonts w:cs="Times New Roman"/>
          <w:b/>
          <w:bCs/>
          <w:szCs w:val="24"/>
        </w:rPr>
        <w:t>D</w:t>
      </w:r>
      <w:r w:rsidRPr="003953EB">
        <w:rPr>
          <w:rFonts w:cs="Times New Roman"/>
          <w:szCs w:val="24"/>
        </w:rPr>
        <w:t xml:space="preserve">) Heatmap of </w:t>
      </w:r>
      <w:proofErr w:type="spellStart"/>
      <w:r w:rsidRPr="003953EB">
        <w:rPr>
          <w:rFonts w:cs="Times New Roman"/>
          <w:szCs w:val="24"/>
        </w:rPr>
        <w:t>FlowSOM</w:t>
      </w:r>
      <w:proofErr w:type="spellEnd"/>
      <w:r w:rsidRPr="003953EB">
        <w:rPr>
          <w:rFonts w:cs="Times New Roman"/>
          <w:szCs w:val="24"/>
        </w:rPr>
        <w:t xml:space="preserve"> clusters based on expression of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>TCR, CD2, CD4,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</w:rPr>
        <w:t>, 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</w:rPr>
        <w:t>, CD16, and CD27. Cell color corresponds to average batch-corrected fluorescent intensity of a cell marker (y-axis) within a cluster (x-axis).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b/>
          <w:bCs/>
          <w:szCs w:val="24"/>
        </w:rPr>
        <w:t>E</w:t>
      </w:r>
      <w:r>
        <w:rPr>
          <w:rFonts w:cs="Times New Roman"/>
          <w:szCs w:val="24"/>
        </w:rPr>
        <w:t xml:space="preserve">) Stacked </w:t>
      </w:r>
      <w:proofErr w:type="spellStart"/>
      <w:r>
        <w:rPr>
          <w:rFonts w:cs="Times New Roman"/>
          <w:szCs w:val="24"/>
        </w:rPr>
        <w:t>barplot</w:t>
      </w:r>
      <w:proofErr w:type="spellEnd"/>
      <w:r>
        <w:rPr>
          <w:rFonts w:cs="Times New Roman"/>
          <w:szCs w:val="24"/>
        </w:rPr>
        <w:t xml:space="preserve"> showing the number of cells (y-axis) derived from </w:t>
      </w:r>
      <w:proofErr w:type="spellStart"/>
      <w:r>
        <w:rPr>
          <w:rFonts w:cs="Times New Roman"/>
          <w:szCs w:val="24"/>
        </w:rPr>
        <w:t>FlowSOM</w:t>
      </w:r>
      <w:proofErr w:type="spellEnd"/>
      <w:r>
        <w:rPr>
          <w:rFonts w:cs="Times New Roman"/>
          <w:szCs w:val="24"/>
        </w:rPr>
        <w:t xml:space="preserve"> clusters (x-axis) present in each sample type (color of stacked bars).</w:t>
      </w:r>
      <w:r w:rsidRPr="003953EB">
        <w:rPr>
          <w:rFonts w:cs="Times New Roman"/>
          <w:szCs w:val="24"/>
        </w:rPr>
        <w:t xml:space="preserve"> In </w:t>
      </w:r>
      <w:r w:rsidRPr="003953EB">
        <w:rPr>
          <w:rFonts w:cs="Times New Roman"/>
          <w:b/>
          <w:bCs/>
          <w:szCs w:val="24"/>
        </w:rPr>
        <w:t>D-</w:t>
      </w:r>
      <w:r w:rsidRPr="00104651">
        <w:rPr>
          <w:rFonts w:cs="Times New Roman"/>
          <w:b/>
          <w:bCs/>
          <w:szCs w:val="24"/>
        </w:rPr>
        <w:t>E</w:t>
      </w:r>
      <w:r w:rsidRPr="00104651">
        <w:rPr>
          <w:rFonts w:cs="Times New Roman"/>
          <w:szCs w:val="24"/>
        </w:rPr>
        <w:t>, data belonging to clusters 6 and 12 are boxed to indicate identification of non-T cells and CD4 T cells, respectively, that were filtered out of the dataset. Data are derived from a total of eight pigs within each tissue/age group combination. Abbreviations: FSC-A = forward-scatter area; FSC-H = forward-scatter height; SSC-A = side-scatter area; T-IEL = intraepithelial T lymphocyte; t-SNE = t-distributed stochastic neighbor embedding; wo = weeks old</w:t>
      </w:r>
      <w:r w:rsidRPr="00104651">
        <w:rPr>
          <w:rFonts w:cs="Times New Roman"/>
          <w:b/>
          <w:bCs/>
          <w:szCs w:val="24"/>
        </w:rPr>
        <w:br w:type="page"/>
      </w:r>
    </w:p>
    <w:p w14:paraId="46707237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0001340E" wp14:editId="49369FED">
            <wp:extent cx="5849957" cy="4857943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" r="1104" b="40964"/>
                    <a:stretch/>
                  </pic:blipFill>
                  <pic:spPr bwMode="auto">
                    <a:xfrm>
                      <a:off x="0" y="0"/>
                      <a:ext cx="5850554" cy="485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8E8E" w14:textId="77777777" w:rsidR="00FE37B5" w:rsidRPr="00104651" w:rsidRDefault="00FE37B5" w:rsidP="00FE37B5">
      <w:pPr>
        <w:pStyle w:val="Caption"/>
        <w:spacing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2" w:name="_Toc103873693"/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3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Flow cytometry gating strategy.</w:t>
      </w:r>
      <w:bookmarkEnd w:id="2"/>
      <w:r w:rsidRPr="00104651">
        <w:rPr>
          <w:rFonts w:cs="Times New Roman"/>
          <w:b/>
          <w:bCs/>
          <w:szCs w:val="24"/>
        </w:rPr>
        <w:t xml:space="preserve"> </w:t>
      </w:r>
    </w:p>
    <w:p w14:paraId="759BD0F9" w14:textId="77777777" w:rsidR="00FE37B5" w:rsidRPr="00104651" w:rsidRDefault="00FE37B5" w:rsidP="00FE37B5">
      <w:pPr>
        <w:pStyle w:val="Caption"/>
        <w:spacing w:before="0" w:line="480" w:lineRule="auto"/>
        <w:rPr>
          <w:rFonts w:cs="Times New Roman"/>
          <w:b/>
          <w:bCs/>
          <w:szCs w:val="24"/>
        </w:rPr>
      </w:pPr>
      <w:r w:rsidRPr="00104651">
        <w:rPr>
          <w:rFonts w:cs="Times New Roman"/>
          <w:szCs w:val="24"/>
        </w:rPr>
        <w:t>Gating strategy used to identify eight T-IEL primary populations (</w:t>
      </w:r>
      <w:r w:rsidRPr="00104651">
        <w:rPr>
          <w:rFonts w:cs="Times New Roman"/>
          <w:b/>
          <w:bCs/>
          <w:szCs w:val="24"/>
        </w:rPr>
        <w:t>A</w:t>
      </w:r>
      <w:r w:rsidRPr="00104651">
        <w:rPr>
          <w:rFonts w:cs="Times New Roman"/>
          <w:szCs w:val="24"/>
        </w:rPr>
        <w:t>) and functional subsets (</w:t>
      </w:r>
      <w:r w:rsidRPr="00104651">
        <w:rPr>
          <w:rFonts w:cs="Times New Roman"/>
          <w:b/>
          <w:bCs/>
          <w:szCs w:val="24"/>
        </w:rPr>
        <w:t>B</w:t>
      </w:r>
      <w:r w:rsidRPr="00104651">
        <w:rPr>
          <w:rFonts w:cs="Times New Roman"/>
          <w:szCs w:val="24"/>
        </w:rPr>
        <w:t xml:space="preserve">). Cells remaining after removal of non-T cell and CD4 T cell events (see </w:t>
      </w:r>
      <w:r w:rsidRPr="00104651">
        <w:rPr>
          <w:rFonts w:cs="Times New Roman"/>
          <w:b/>
          <w:bCs/>
          <w:szCs w:val="24"/>
        </w:rPr>
        <w:t>Supplementary Figure 2</w:t>
      </w:r>
      <w:proofErr w:type="gramStart"/>
      <w:r w:rsidRPr="00104651">
        <w:rPr>
          <w:rFonts w:cs="Times New Roman"/>
          <w:b/>
          <w:bCs/>
          <w:szCs w:val="24"/>
        </w:rPr>
        <w:t>B,D</w:t>
      </w:r>
      <w:proofErr w:type="gramEnd"/>
      <w:r w:rsidRPr="00104651">
        <w:rPr>
          <w:rFonts w:cs="Times New Roman"/>
          <w:b/>
          <w:bCs/>
          <w:szCs w:val="24"/>
        </w:rPr>
        <w:t>-E</w:t>
      </w:r>
      <w:r w:rsidRPr="00104651">
        <w:rPr>
          <w:rFonts w:cs="Times New Roman"/>
          <w:szCs w:val="24"/>
        </w:rPr>
        <w:t>) are shown in plots. All remaining T-IEL events are shown in plots, with an equal number of cells representing each sample. Data are derived from a total of eight pigs within each tissue/age group combination. (</w:t>
      </w:r>
      <w:r w:rsidRPr="00104651">
        <w:rPr>
          <w:rFonts w:cs="Times New Roman"/>
          <w:b/>
          <w:bCs/>
          <w:szCs w:val="24"/>
        </w:rPr>
        <w:t>C</w:t>
      </w:r>
      <w:r w:rsidRPr="00104651">
        <w:rPr>
          <w:rFonts w:cs="Times New Roman"/>
          <w:szCs w:val="24"/>
        </w:rPr>
        <w:t>) Table showing 32 T-IEL subsets defined by patterns of expression for eight primary populations (</w:t>
      </w:r>
      <w:r w:rsidRPr="00104651">
        <w:rPr>
          <w:rFonts w:cs="Times New Roman"/>
          <w:b/>
          <w:bCs/>
          <w:szCs w:val="24"/>
        </w:rPr>
        <w:t>A</w:t>
      </w:r>
      <w:r w:rsidRPr="00104651">
        <w:rPr>
          <w:rFonts w:cs="Times New Roman"/>
          <w:szCs w:val="24"/>
        </w:rPr>
        <w:t>) and four functional subsets (</w:t>
      </w:r>
      <w:r w:rsidRPr="00104651">
        <w:rPr>
          <w:rFonts w:cs="Times New Roman"/>
          <w:b/>
          <w:bCs/>
          <w:szCs w:val="24"/>
        </w:rPr>
        <w:t>B</w:t>
      </w:r>
      <w:r w:rsidRPr="00104651">
        <w:rPr>
          <w:rFonts w:cs="Times New Roman"/>
          <w:szCs w:val="24"/>
        </w:rPr>
        <w:t>). Abbreviations: SSC-A = side-scatter area; T-IEL = intraepithelial T lymphocyte</w:t>
      </w:r>
      <w:r w:rsidRPr="00104651">
        <w:rPr>
          <w:rFonts w:cs="Times New Roman"/>
          <w:b/>
          <w:bCs/>
          <w:szCs w:val="24"/>
        </w:rPr>
        <w:br w:type="page"/>
      </w:r>
    </w:p>
    <w:p w14:paraId="75ACD62B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4FA232B2" wp14:editId="1C7FB813">
            <wp:extent cx="5943049" cy="1356852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11"/>
                    <a:stretch/>
                  </pic:blipFill>
                  <pic:spPr bwMode="auto">
                    <a:xfrm>
                      <a:off x="0" y="0"/>
                      <a:ext cx="5943600" cy="135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11740" w14:textId="77777777" w:rsidR="00FE37B5" w:rsidRPr="00104651" w:rsidRDefault="00FE37B5" w:rsidP="00FE37B5">
      <w:pPr>
        <w:spacing w:line="480" w:lineRule="auto"/>
        <w:rPr>
          <w:b/>
          <w:bCs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3" w:name="_Toc103873694"/>
      <w:r w:rsidRPr="00104651">
        <w:rPr>
          <w:b/>
          <w:bCs/>
        </w:rPr>
        <w:t xml:space="preserve">Supplementary Figure </w:t>
      </w:r>
      <w:r w:rsidRPr="00104651">
        <w:rPr>
          <w:b/>
          <w:bCs/>
        </w:rPr>
        <w:fldChar w:fldCharType="begin"/>
      </w:r>
      <w:r w:rsidRPr="00104651">
        <w:rPr>
          <w:b/>
          <w:bCs/>
        </w:rPr>
        <w:instrText xml:space="preserve"> SEQ Supplementary_Figure \* ARABIC \s 1 </w:instrText>
      </w:r>
      <w:r w:rsidRPr="00104651">
        <w:rPr>
          <w:b/>
          <w:bCs/>
        </w:rPr>
        <w:fldChar w:fldCharType="separate"/>
      </w:r>
      <w:r w:rsidRPr="00104651">
        <w:rPr>
          <w:b/>
          <w:bCs/>
          <w:noProof/>
        </w:rPr>
        <w:t>4</w:t>
      </w:r>
      <w:r w:rsidRPr="00104651">
        <w:rPr>
          <w:b/>
          <w:bCs/>
        </w:rPr>
        <w:fldChar w:fldCharType="end"/>
      </w:r>
      <w:r w:rsidRPr="00104651">
        <w:rPr>
          <w:b/>
          <w:bCs/>
        </w:rPr>
        <w:t>. T-IEL primary population distributions in individual samples.</w:t>
      </w:r>
      <w:bookmarkEnd w:id="3"/>
      <w:r w:rsidRPr="00104651">
        <w:rPr>
          <w:b/>
          <w:bCs/>
        </w:rPr>
        <w:t xml:space="preserve"> </w:t>
      </w:r>
    </w:p>
    <w:p w14:paraId="7905ADD1" w14:textId="77777777" w:rsidR="00FE37B5" w:rsidRPr="004F106F" w:rsidRDefault="00FE37B5" w:rsidP="00FE37B5">
      <w:pPr>
        <w:spacing w:line="480" w:lineRule="auto"/>
      </w:pPr>
      <w:r w:rsidRPr="00104651">
        <w:t>Stacked bar plot for frequencies (y-axes) of T-IEL primary populations within individual samples (x-axis; n=48). Different sample types based on tissue/age group are indicated by brackets above plot. Sample IDs on lower x-axis indicates the pig ID number followed by tissue ID. Left y-axis indicates the proportion within total T-IELs, while the right y-axis indicates the total number of T-IELs in a sample (measurement possible since equal number of T-IELs analyzed from every sample). Fill color within each bar represents proportional abundance of respective primary populations shown in the color key. Data are derived from a total of eight pigs within each tissue/age group combination. Abbreviations: T-IEL = intraepithelial T lymphocyte; wo = weeks old</w:t>
      </w:r>
      <w:r w:rsidRPr="00104651">
        <w:rPr>
          <w:b/>
          <w:bCs/>
        </w:rPr>
        <w:br w:type="page"/>
      </w:r>
    </w:p>
    <w:p w14:paraId="69EA1446" w14:textId="77777777" w:rsidR="00FE37B5" w:rsidRPr="00104651" w:rsidRDefault="00FE37B5" w:rsidP="00FE37B5">
      <w:pPr>
        <w:keepNext/>
        <w:spacing w:line="480" w:lineRule="auto"/>
        <w:jc w:val="center"/>
      </w:pPr>
      <w:r w:rsidRPr="00104651">
        <w:rPr>
          <w:b/>
          <w:bCs/>
          <w:noProof/>
        </w:rPr>
        <w:lastRenderedPageBreak/>
        <w:drawing>
          <wp:inline distT="0" distB="0" distL="0" distR="0" wp14:anchorId="6AC56979" wp14:editId="326C261E">
            <wp:extent cx="5722374" cy="770241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" r="4213" b="7244"/>
                    <a:stretch/>
                  </pic:blipFill>
                  <pic:spPr bwMode="auto">
                    <a:xfrm>
                      <a:off x="0" y="0"/>
                      <a:ext cx="5727549" cy="77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8C12E" w14:textId="77777777" w:rsidR="00FE37B5" w:rsidRPr="00104651" w:rsidRDefault="00FE37B5" w:rsidP="00FE37B5">
      <w:pPr>
        <w:pStyle w:val="Caption"/>
        <w:spacing w:before="0"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4" w:name="_Toc103873695"/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5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T-IEL functional subsets within T-IEL primary populations.</w:t>
      </w:r>
      <w:bookmarkEnd w:id="4"/>
      <w:r w:rsidRPr="00104651">
        <w:rPr>
          <w:rFonts w:cs="Times New Roman"/>
          <w:b/>
          <w:bCs/>
          <w:szCs w:val="24"/>
        </w:rPr>
        <w:t xml:space="preserve"> </w:t>
      </w:r>
    </w:p>
    <w:p w14:paraId="54B7F64C" w14:textId="77777777" w:rsidR="00FE37B5" w:rsidRPr="00104651" w:rsidRDefault="00FE37B5" w:rsidP="00FE37B5">
      <w:pPr>
        <w:pStyle w:val="Caption"/>
        <w:spacing w:before="0" w:after="0" w:line="480" w:lineRule="auto"/>
        <w:rPr>
          <w:rFonts w:cs="Times New Roman"/>
          <w:szCs w:val="24"/>
        </w:rPr>
      </w:pPr>
      <w:r w:rsidRPr="003953EB">
        <w:rPr>
          <w:rFonts w:cs="Times New Roman"/>
          <w:szCs w:val="24"/>
        </w:rPr>
        <w:lastRenderedPageBreak/>
        <w:t>(</w:t>
      </w:r>
      <w:r w:rsidRPr="003953EB">
        <w:rPr>
          <w:rFonts w:cs="Times New Roman"/>
          <w:b/>
          <w:bCs/>
          <w:szCs w:val="24"/>
        </w:rPr>
        <w:t>A-D</w:t>
      </w:r>
      <w:r w:rsidRPr="003953EB">
        <w:rPr>
          <w:rFonts w:cs="Times New Roman"/>
          <w:szCs w:val="24"/>
        </w:rPr>
        <w:t>) Stacked bar plots for frequencies (y-axes) of T-IEL functional subsets within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A</w:t>
      </w:r>
      <w:r w:rsidRPr="003953EB">
        <w:rPr>
          <w:rFonts w:cs="Times New Roman"/>
          <w:szCs w:val="24"/>
        </w:rPr>
        <w:t>),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B</w:t>
      </w:r>
      <w:r w:rsidRPr="003953EB">
        <w:rPr>
          <w:rFonts w:cs="Times New Roman"/>
          <w:szCs w:val="24"/>
        </w:rPr>
        <w:t>), CD2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C</w:t>
      </w:r>
      <w:r w:rsidRPr="003953EB">
        <w:rPr>
          <w:rFonts w:cs="Times New Roman"/>
          <w:szCs w:val="24"/>
        </w:rPr>
        <w:t>), and CD2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D</w:t>
      </w:r>
      <w:r w:rsidRPr="003953EB">
        <w:rPr>
          <w:rFonts w:cs="Times New Roman"/>
          <w:szCs w:val="24"/>
        </w:rPr>
        <w:t>) T-IEL</w:t>
      </w:r>
      <w:r w:rsidRPr="00104651">
        <w:rPr>
          <w:rFonts w:cs="Times New Roman"/>
          <w:szCs w:val="24"/>
        </w:rPr>
        <w:t xml:space="preserve">s of individual samples (x-axes; n=32 in </w:t>
      </w:r>
      <w:proofErr w:type="gramStart"/>
      <w:r w:rsidRPr="00104651">
        <w:rPr>
          <w:rFonts w:cs="Times New Roman"/>
          <w:b/>
          <w:bCs/>
          <w:szCs w:val="24"/>
        </w:rPr>
        <w:t>A,D</w:t>
      </w:r>
      <w:proofErr w:type="gramEnd"/>
      <w:r w:rsidRPr="00104651">
        <w:rPr>
          <w:rFonts w:cs="Times New Roman"/>
          <w:szCs w:val="24"/>
        </w:rPr>
        <w:t xml:space="preserve">; n=48 in </w:t>
      </w:r>
      <w:r w:rsidRPr="00104651">
        <w:rPr>
          <w:rFonts w:cs="Times New Roman"/>
          <w:b/>
          <w:bCs/>
          <w:szCs w:val="24"/>
        </w:rPr>
        <w:t>B,C</w:t>
      </w:r>
      <w:r w:rsidRPr="00104651">
        <w:rPr>
          <w:rFonts w:cs="Times New Roman"/>
          <w:szCs w:val="24"/>
        </w:rPr>
        <w:t>). Different sample types based on tissue/age group are indicated by brackets above plots. Sample IDs on lower x-axes indicates the pig ID number followed by tissue ID. Fill color within each bar represents proportional abundance of respective functional subsets shown in the color keys. (</w:t>
      </w:r>
      <w:r w:rsidRPr="00104651">
        <w:rPr>
          <w:rFonts w:cs="Times New Roman"/>
          <w:b/>
          <w:bCs/>
          <w:szCs w:val="24"/>
        </w:rPr>
        <w:t>E</w:t>
      </w:r>
      <w:r w:rsidRPr="00104651">
        <w:rPr>
          <w:rFonts w:cs="Times New Roman"/>
          <w:szCs w:val="24"/>
        </w:rPr>
        <w:t>) Stacked bar plot of the average proportion of T-IELs belonging to functional subsets (y-axis) for primary T-IEL populations derived from different tissues and ages (x-axis; tissue/age and primary T-IEL population indicated by color bars). Fill color within each bar represents proportional abundance of respective functional subsets shown in the color key. A dendrogram showing the relatedness of different T-IEL populations based on the percent belonging to each functional subset is shown above the heatmap. Nodes of the heatmap that are referred to in the text are indicated with a number (1-4). Data are derived from a total of eight pigs within each tissue/age/primary population combination. Abbreviations: T-IEL = intraepithelial T lymphocyte; wo = weeks old</w:t>
      </w:r>
    </w:p>
    <w:p w14:paraId="3070B3BA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79FF1ABF" wp14:editId="4AB20706">
            <wp:extent cx="5984336" cy="6990080"/>
            <wp:effectExtent l="0" t="0" r="0" b="127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" r="-1"/>
                    <a:stretch/>
                  </pic:blipFill>
                  <pic:spPr bwMode="auto">
                    <a:xfrm>
                      <a:off x="0" y="0"/>
                      <a:ext cx="5991402" cy="699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BB28C" w14:textId="77777777" w:rsidR="00FE37B5" w:rsidRPr="00104651" w:rsidRDefault="00FE37B5" w:rsidP="00FE37B5">
      <w:pPr>
        <w:spacing w:line="480" w:lineRule="auto"/>
        <w:rPr>
          <w:b/>
          <w:bCs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5" w:name="_Toc103873696"/>
      <w:r w:rsidRPr="00104651">
        <w:rPr>
          <w:b/>
          <w:bCs/>
        </w:rPr>
        <w:t xml:space="preserve">Supplementary Figure </w:t>
      </w:r>
      <w:r w:rsidRPr="00104651">
        <w:rPr>
          <w:b/>
          <w:bCs/>
        </w:rPr>
        <w:fldChar w:fldCharType="begin"/>
      </w:r>
      <w:r w:rsidRPr="00104651">
        <w:rPr>
          <w:b/>
          <w:bCs/>
        </w:rPr>
        <w:instrText xml:space="preserve"> SEQ Supplementary_Figure \* ARABIC \s 1 </w:instrText>
      </w:r>
      <w:r w:rsidRPr="00104651">
        <w:rPr>
          <w:b/>
          <w:bCs/>
        </w:rPr>
        <w:fldChar w:fldCharType="separate"/>
      </w:r>
      <w:r w:rsidRPr="00104651">
        <w:rPr>
          <w:b/>
          <w:bCs/>
          <w:noProof/>
        </w:rPr>
        <w:t>6</w:t>
      </w:r>
      <w:r w:rsidRPr="00104651">
        <w:rPr>
          <w:b/>
          <w:bCs/>
        </w:rPr>
        <w:fldChar w:fldCharType="end"/>
      </w:r>
      <w:r w:rsidRPr="00104651">
        <w:rPr>
          <w:b/>
          <w:bCs/>
        </w:rPr>
        <w:t xml:space="preserve">. Differences in expression of CD16 and CD27 within </w:t>
      </w:r>
      <w:r w:rsidRPr="004F1337">
        <w:rPr>
          <w:rFonts w:ascii="Symbol" w:hAnsi="Symbol"/>
          <w:b/>
          <w:bCs/>
        </w:rPr>
        <w:t xml:space="preserve">ab </w:t>
      </w:r>
      <w:r w:rsidRPr="00104651">
        <w:rPr>
          <w:b/>
          <w:bCs/>
        </w:rPr>
        <w:t xml:space="preserve">and </w:t>
      </w:r>
      <w:r w:rsidRPr="004F1337">
        <w:rPr>
          <w:rFonts w:ascii="Symbol" w:hAnsi="Symbol"/>
          <w:b/>
          <w:bCs/>
        </w:rPr>
        <w:t>gd</w:t>
      </w:r>
      <w:r>
        <w:rPr>
          <w:b/>
          <w:bCs/>
        </w:rPr>
        <w:t xml:space="preserve"> </w:t>
      </w:r>
      <w:r w:rsidRPr="00104651">
        <w:rPr>
          <w:b/>
          <w:bCs/>
        </w:rPr>
        <w:t>T-IEL lineages.</w:t>
      </w:r>
      <w:bookmarkEnd w:id="5"/>
      <w:r w:rsidRPr="00104651">
        <w:rPr>
          <w:b/>
          <w:bCs/>
        </w:rPr>
        <w:t xml:space="preserve"> </w:t>
      </w:r>
    </w:p>
    <w:p w14:paraId="4BED85BE" w14:textId="77777777" w:rsidR="00FE37B5" w:rsidRPr="004F106F" w:rsidRDefault="00FE37B5" w:rsidP="00FE37B5">
      <w:pPr>
        <w:spacing w:line="480" w:lineRule="auto"/>
      </w:pPr>
      <w:r w:rsidRPr="003953EB">
        <w:lastRenderedPageBreak/>
        <w:t>Split violin plots showing the percentages of CD16</w:t>
      </w:r>
      <w:r w:rsidRPr="003953EB">
        <w:rPr>
          <w:vertAlign w:val="superscript"/>
        </w:rPr>
        <w:t>+</w:t>
      </w:r>
      <w:r w:rsidRPr="003953EB">
        <w:t xml:space="preserve"> (</w:t>
      </w:r>
      <w:r w:rsidRPr="003953EB">
        <w:rPr>
          <w:b/>
          <w:bCs/>
        </w:rPr>
        <w:t>A, G</w:t>
      </w:r>
      <w:r w:rsidRPr="003953EB">
        <w:t>), CD27</w:t>
      </w:r>
      <w:r w:rsidRPr="003953EB">
        <w:rPr>
          <w:vertAlign w:val="superscript"/>
        </w:rPr>
        <w:t>+</w:t>
      </w:r>
      <w:r w:rsidRPr="003953EB">
        <w:t xml:space="preserve"> (</w:t>
      </w:r>
      <w:r w:rsidRPr="003953EB">
        <w:rPr>
          <w:b/>
          <w:bCs/>
        </w:rPr>
        <w:t>B, H</w:t>
      </w:r>
      <w:r w:rsidRPr="003953EB">
        <w:t>), CD16</w:t>
      </w:r>
      <w:r w:rsidRPr="003953EB">
        <w:rPr>
          <w:vertAlign w:val="superscript"/>
        </w:rPr>
        <w:t>-</w:t>
      </w:r>
      <w:r w:rsidRPr="003953EB">
        <w:t>CD27</w:t>
      </w:r>
      <w:r w:rsidRPr="003953EB">
        <w:rPr>
          <w:vertAlign w:val="superscript"/>
        </w:rPr>
        <w:t>+</w:t>
      </w:r>
      <w:r w:rsidRPr="003953EB">
        <w:t xml:space="preserve"> (</w:t>
      </w:r>
      <w:r w:rsidRPr="003953EB">
        <w:rPr>
          <w:b/>
          <w:bCs/>
        </w:rPr>
        <w:t>C, I</w:t>
      </w:r>
      <w:r w:rsidRPr="003953EB">
        <w:t>), CD16</w:t>
      </w:r>
      <w:r w:rsidRPr="003953EB">
        <w:rPr>
          <w:vertAlign w:val="superscript"/>
        </w:rPr>
        <w:t>+</w:t>
      </w:r>
      <w:r w:rsidRPr="003953EB">
        <w:t>CD27</w:t>
      </w:r>
      <w:r w:rsidRPr="003953EB">
        <w:rPr>
          <w:vertAlign w:val="superscript"/>
        </w:rPr>
        <w:t>+</w:t>
      </w:r>
      <w:r w:rsidRPr="003953EB">
        <w:t xml:space="preserve"> (</w:t>
      </w:r>
      <w:r w:rsidRPr="003953EB">
        <w:rPr>
          <w:b/>
          <w:bCs/>
        </w:rPr>
        <w:t>D, J</w:t>
      </w:r>
      <w:r w:rsidRPr="003953EB">
        <w:t>), CD16</w:t>
      </w:r>
      <w:r w:rsidRPr="003953EB">
        <w:rPr>
          <w:vertAlign w:val="superscript"/>
        </w:rPr>
        <w:t>+</w:t>
      </w:r>
      <w:r w:rsidRPr="003953EB">
        <w:t>CD27</w:t>
      </w:r>
      <w:r w:rsidRPr="003953EB">
        <w:rPr>
          <w:vertAlign w:val="superscript"/>
        </w:rPr>
        <w:t>-</w:t>
      </w:r>
      <w:r w:rsidRPr="003953EB">
        <w:t xml:space="preserve"> (</w:t>
      </w:r>
      <w:r w:rsidRPr="003953EB">
        <w:rPr>
          <w:b/>
          <w:bCs/>
        </w:rPr>
        <w:t>E, K</w:t>
      </w:r>
      <w:r w:rsidRPr="003953EB">
        <w:t>), and CD16</w:t>
      </w:r>
      <w:r w:rsidRPr="003953EB">
        <w:rPr>
          <w:vertAlign w:val="superscript"/>
        </w:rPr>
        <w:t>-</w:t>
      </w:r>
      <w:r w:rsidRPr="003953EB">
        <w:t>CD27</w:t>
      </w:r>
      <w:r w:rsidRPr="003953EB">
        <w:rPr>
          <w:vertAlign w:val="superscript"/>
        </w:rPr>
        <w:t>-</w:t>
      </w:r>
      <w:r w:rsidRPr="003953EB">
        <w:t xml:space="preserve"> (</w:t>
      </w:r>
      <w:r w:rsidRPr="003953EB">
        <w:rPr>
          <w:b/>
          <w:bCs/>
        </w:rPr>
        <w:t>F, L</w:t>
      </w:r>
      <w:r w:rsidRPr="003953EB">
        <w:t>) cells (y-axes) within total CD8</w:t>
      </w:r>
      <w:r w:rsidRPr="003953EB">
        <w:rPr>
          <w:rFonts w:ascii="Symbol" w:hAnsi="Symbol"/>
        </w:rPr>
        <w:t></w:t>
      </w:r>
      <w:r w:rsidRPr="003953EB">
        <w:rPr>
          <w:vertAlign w:val="superscript"/>
        </w:rPr>
        <w:t>+</w:t>
      </w:r>
      <w:r w:rsidRPr="003953EB">
        <w:t>CD8</w:t>
      </w:r>
      <w:r w:rsidRPr="003953EB">
        <w:rPr>
          <w:rFonts w:ascii="Symbol" w:hAnsi="Symbol"/>
        </w:rPr>
        <w:t></w:t>
      </w:r>
      <w:r w:rsidRPr="003953EB">
        <w:rPr>
          <w:vertAlign w:val="superscript"/>
        </w:rPr>
        <w:t>-</w:t>
      </w:r>
      <w:r w:rsidRPr="003953EB">
        <w:t xml:space="preserve"> (pink) versus CD8</w:t>
      </w:r>
      <w:r w:rsidRPr="003953EB">
        <w:rPr>
          <w:rFonts w:ascii="Symbol" w:hAnsi="Symbol"/>
        </w:rPr>
        <w:t></w:t>
      </w:r>
      <w:r w:rsidRPr="003953EB">
        <w:rPr>
          <w:vertAlign w:val="superscript"/>
        </w:rPr>
        <w:t>+</w:t>
      </w:r>
      <w:r w:rsidRPr="003953EB">
        <w:t>CD8</w:t>
      </w:r>
      <w:r w:rsidRPr="003953EB">
        <w:rPr>
          <w:rFonts w:ascii="Symbol" w:hAnsi="Symbol"/>
        </w:rPr>
        <w:t></w:t>
      </w:r>
      <w:r w:rsidRPr="003953EB">
        <w:rPr>
          <w:vertAlign w:val="superscript"/>
        </w:rPr>
        <w:t>+</w:t>
      </w:r>
      <w:r w:rsidRPr="003953EB">
        <w:t xml:space="preserve"> (gold) </w:t>
      </w:r>
      <w:r w:rsidRPr="003953EB">
        <w:rPr>
          <w:rFonts w:ascii="Symbol" w:hAnsi="Symbol"/>
        </w:rPr>
        <w:t></w:t>
      </w:r>
      <w:r w:rsidRPr="003953EB">
        <w:rPr>
          <w:rFonts w:ascii="Symbol" w:hAnsi="Symbol"/>
        </w:rPr>
        <w:t></w:t>
      </w:r>
      <w:r w:rsidRPr="003953EB">
        <w:rPr>
          <w:rFonts w:ascii="Symbol" w:hAnsi="Symbol"/>
        </w:rPr>
        <w:t></w:t>
      </w:r>
      <w:r w:rsidRPr="003953EB">
        <w:t>T-IELs (</w:t>
      </w:r>
      <w:r w:rsidRPr="003953EB">
        <w:rPr>
          <w:b/>
          <w:bCs/>
        </w:rPr>
        <w:t>A-F</w:t>
      </w:r>
      <w:r w:rsidRPr="003953EB">
        <w:t>) or CD2</w:t>
      </w:r>
      <w:r w:rsidRPr="003953EB">
        <w:rPr>
          <w:vertAlign w:val="superscript"/>
        </w:rPr>
        <w:t>+</w:t>
      </w:r>
      <w:r w:rsidRPr="003953EB">
        <w:t>CD8</w:t>
      </w:r>
      <w:r w:rsidRPr="003953EB">
        <w:rPr>
          <w:rFonts w:ascii="Symbol" w:hAnsi="Symbol"/>
        </w:rPr>
        <w:t></w:t>
      </w:r>
      <w:r w:rsidRPr="003953EB">
        <w:rPr>
          <w:vertAlign w:val="superscript"/>
        </w:rPr>
        <w:t>+</w:t>
      </w:r>
      <w:r w:rsidRPr="003953EB">
        <w:t xml:space="preserve"> (green) versus CD2</w:t>
      </w:r>
      <w:r w:rsidRPr="003953EB">
        <w:rPr>
          <w:vertAlign w:val="superscript"/>
        </w:rPr>
        <w:t>+</w:t>
      </w:r>
      <w:r w:rsidRPr="003953EB">
        <w:t>CD8</w:t>
      </w:r>
      <w:r w:rsidRPr="003953EB">
        <w:rPr>
          <w:rFonts w:ascii="Symbol" w:hAnsi="Symbol"/>
        </w:rPr>
        <w:t></w:t>
      </w:r>
      <w:r w:rsidRPr="003953EB">
        <w:rPr>
          <w:vertAlign w:val="superscript"/>
        </w:rPr>
        <w:t>-</w:t>
      </w:r>
      <w:r w:rsidRPr="003953EB">
        <w:t xml:space="preserve"> (blue) </w:t>
      </w:r>
      <w:r w:rsidRPr="003953EB">
        <w:rPr>
          <w:rFonts w:ascii="Symbol" w:hAnsi="Symbol"/>
        </w:rPr>
        <w:t></w:t>
      </w:r>
      <w:r w:rsidRPr="003953EB">
        <w:rPr>
          <w:rFonts w:ascii="Symbol" w:hAnsi="Symbol"/>
        </w:rPr>
        <w:t></w:t>
      </w:r>
      <w:r w:rsidRPr="003953EB">
        <w:t xml:space="preserve"> T-IELs (</w:t>
      </w:r>
      <w:r w:rsidRPr="003953EB">
        <w:rPr>
          <w:b/>
          <w:bCs/>
        </w:rPr>
        <w:t>G-L</w:t>
      </w:r>
      <w:r w:rsidRPr="003953EB">
        <w:t>) w</w:t>
      </w:r>
      <w:r w:rsidRPr="00104651">
        <w:t>ithin a specific tissue/age group (x-axes). Each half of a violin corresponds to results for a T-IEL primary population, as indicated by violin fill color. Individual data</w:t>
      </w:r>
      <w:r w:rsidRPr="00104651">
        <w:rPr>
          <w:b/>
          <w:bCs/>
        </w:rPr>
        <w:t xml:space="preserve"> </w:t>
      </w:r>
      <w:r w:rsidRPr="00104651">
        <w:t>points are shown by black dots. Bars within a plot represent the IQR. Red dots represent the data mean. Statistical comparisons were performed between T-IEL primary populations within a single tissue/age group using the Wilcoxon rank sum test for non-parametric, paired comparisons. Comparisons were paired by animal ID. Data are derived from a total of eight pigs within each tissue/age group combination. *p&lt;0.05, **p&lt;0.01. p-values &lt;0.15 but not &lt;0.05 are also listed. Abbreviations: IQR = interquartile range; T-IEL = intraepithelial T lymphocyte; wo = weeks old</w:t>
      </w:r>
      <w:r w:rsidRPr="00104651">
        <w:rPr>
          <w:b/>
          <w:bCs/>
        </w:rPr>
        <w:br w:type="page"/>
      </w:r>
    </w:p>
    <w:p w14:paraId="72309E9D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2AC451EA" wp14:editId="48874497">
            <wp:extent cx="5921477" cy="5044231"/>
            <wp:effectExtent l="0" t="0" r="3175" b="444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" r="244"/>
                    <a:stretch/>
                  </pic:blipFill>
                  <pic:spPr bwMode="auto">
                    <a:xfrm>
                      <a:off x="0" y="0"/>
                      <a:ext cx="5921722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1F002" w14:textId="77777777" w:rsidR="00FE37B5" w:rsidRPr="00104651" w:rsidRDefault="00FE37B5" w:rsidP="00FE37B5">
      <w:pPr>
        <w:pStyle w:val="Caption"/>
        <w:spacing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6" w:name="_Toc103873697"/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7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Expression of additional functional subsets in different T-IEL primary populations is tissue-dependent.</w:t>
      </w:r>
      <w:bookmarkEnd w:id="6"/>
    </w:p>
    <w:p w14:paraId="52A16A0C" w14:textId="77777777" w:rsidR="00FE37B5" w:rsidRPr="004F106F" w:rsidRDefault="00FE37B5" w:rsidP="00FE37B5">
      <w:pPr>
        <w:pStyle w:val="Caption"/>
        <w:spacing w:before="0" w:line="480" w:lineRule="auto"/>
        <w:rPr>
          <w:rFonts w:cs="Times New Roman"/>
          <w:b/>
          <w:bCs/>
          <w:szCs w:val="24"/>
        </w:rPr>
      </w:pPr>
      <w:r w:rsidRPr="003953EB">
        <w:rPr>
          <w:rFonts w:cs="Times New Roman"/>
          <w:szCs w:val="24"/>
        </w:rPr>
        <w:lastRenderedPageBreak/>
        <w:t>Violin plots showing the percentages of CD16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>CD27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A-D</w:t>
      </w:r>
      <w:r w:rsidRPr="003953EB">
        <w:rPr>
          <w:rFonts w:cs="Times New Roman"/>
          <w:szCs w:val="24"/>
        </w:rPr>
        <w:t>), CD16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CD27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E-H</w:t>
      </w:r>
      <w:r w:rsidRPr="003953EB">
        <w:rPr>
          <w:rFonts w:cs="Times New Roman"/>
          <w:szCs w:val="24"/>
        </w:rPr>
        <w:t>), and CD16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>CD27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I-L</w:t>
      </w:r>
      <w:r w:rsidRPr="003953EB">
        <w:rPr>
          <w:rFonts w:cs="Times New Roman"/>
          <w:szCs w:val="24"/>
        </w:rPr>
        <w:t>) cells within total CD2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A, E, I</w:t>
      </w:r>
      <w:r w:rsidRPr="003953EB">
        <w:rPr>
          <w:rFonts w:cs="Times New Roman"/>
          <w:szCs w:val="24"/>
        </w:rPr>
        <w:t>),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B, F, J</w:t>
      </w:r>
      <w:r w:rsidRPr="003953EB">
        <w:rPr>
          <w:rFonts w:cs="Times New Roman"/>
          <w:szCs w:val="24"/>
        </w:rPr>
        <w:t>), 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ascii="Symbol" w:hAnsi="Symbol" w:cs="Times New Roman"/>
          <w:szCs w:val="24"/>
        </w:rPr>
        <w:t></w:t>
      </w:r>
      <w:r w:rsidRPr="003953EB">
        <w:rPr>
          <w:rFonts w:ascii="Symbol" w:hAnsi="Symbol" w:cs="Times New Roman"/>
          <w:szCs w:val="24"/>
        </w:rPr>
        <w:t></w:t>
      </w:r>
      <w:r w:rsidRPr="003953EB">
        <w:rPr>
          <w:rFonts w:cs="Times New Roman"/>
          <w:szCs w:val="24"/>
        </w:rPr>
        <w:t>(</w:t>
      </w:r>
      <w:r w:rsidRPr="003953EB">
        <w:rPr>
          <w:rFonts w:cs="Times New Roman"/>
          <w:b/>
          <w:bCs/>
          <w:szCs w:val="24"/>
        </w:rPr>
        <w:t>C, G, K</w:t>
      </w:r>
      <w:r w:rsidRPr="003953EB">
        <w:rPr>
          <w:rFonts w:cs="Times New Roman"/>
          <w:szCs w:val="24"/>
        </w:rPr>
        <w:t>), and CD2</w:t>
      </w:r>
      <w:r w:rsidRPr="003953EB">
        <w:rPr>
          <w:rFonts w:cs="Times New Roman"/>
          <w:szCs w:val="24"/>
          <w:vertAlign w:val="superscript"/>
        </w:rPr>
        <w:t>+</w:t>
      </w:r>
      <w:r w:rsidRPr="003953EB">
        <w:rPr>
          <w:rFonts w:cs="Times New Roman"/>
          <w:szCs w:val="24"/>
        </w:rPr>
        <w:t>CD8</w:t>
      </w:r>
      <w:r w:rsidRPr="003953EB">
        <w:rPr>
          <w:rFonts w:ascii="Symbol" w:hAnsi="Symbol" w:cs="Times New Roman"/>
          <w:szCs w:val="24"/>
        </w:rPr>
        <w:t></w:t>
      </w:r>
      <w:r w:rsidRPr="003953EB">
        <w:rPr>
          <w:rFonts w:cs="Times New Roman"/>
          <w:szCs w:val="24"/>
          <w:vertAlign w:val="superscript"/>
        </w:rPr>
        <w:t>-</w:t>
      </w:r>
      <w:r w:rsidRPr="003953EB">
        <w:rPr>
          <w:rFonts w:cs="Times New Roman"/>
          <w:szCs w:val="24"/>
        </w:rPr>
        <w:t xml:space="preserve"> </w:t>
      </w:r>
      <w:r w:rsidRPr="003953EB">
        <w:rPr>
          <w:rFonts w:ascii="Symbol" w:hAnsi="Symbol" w:cs="Times New Roman"/>
          <w:szCs w:val="24"/>
        </w:rPr>
        <w:t></w:t>
      </w:r>
      <w:r w:rsidRPr="003953EB">
        <w:rPr>
          <w:rFonts w:ascii="Symbol" w:hAnsi="Symbol" w:cs="Times New Roman"/>
          <w:szCs w:val="24"/>
        </w:rPr>
        <w:t></w:t>
      </w:r>
      <w:r w:rsidRPr="003953EB">
        <w:rPr>
          <w:rFonts w:cs="Times New Roman"/>
          <w:szCs w:val="24"/>
        </w:rPr>
        <w:t xml:space="preserve"> (</w:t>
      </w:r>
      <w:r w:rsidRPr="003953EB">
        <w:rPr>
          <w:rFonts w:cs="Times New Roman"/>
          <w:b/>
          <w:bCs/>
          <w:szCs w:val="24"/>
        </w:rPr>
        <w:t>D, H, L</w:t>
      </w:r>
      <w:r w:rsidRPr="003953EB">
        <w:rPr>
          <w:rFonts w:cs="Times New Roman"/>
          <w:szCs w:val="24"/>
        </w:rPr>
        <w:t>) T</w:t>
      </w:r>
      <w:r w:rsidRPr="00104651">
        <w:rPr>
          <w:rFonts w:cs="Times New Roman"/>
          <w:szCs w:val="24"/>
        </w:rPr>
        <w:t>-IELs of different tissue/age combinations. In all violin plots, individual data points are shown by black dots. Bars within a plot represent the IQR. Red dots represent the data mean. Y-axes indicate the percentage within parent populations of T-IELs listed above each plot. Statistical comparisons were performed between tissues within a single age group using the Wilcoxon rank sum test for non-parametric, paired comparisons. Comparisons were paired by animal ID. Data are derived from a total of eight pigs within each tissue/age group combination. *p&lt;0.05, **p&lt;0.01. p-values &lt;0.15 but not &lt;0.05 are also listed. Abbreviations: IQR = interquartile range; T-IEL = intraepithelial T lymphocyte; wo = weeks old</w:t>
      </w:r>
      <w:r>
        <w:br w:type="page"/>
      </w:r>
    </w:p>
    <w:p w14:paraId="156E28BA" w14:textId="77777777" w:rsidR="00FE37B5" w:rsidRPr="00104651" w:rsidRDefault="00FE37B5" w:rsidP="00FE37B5">
      <w:pPr>
        <w:keepNext/>
        <w:spacing w:line="480" w:lineRule="auto"/>
      </w:pPr>
      <w:r w:rsidRPr="00104651">
        <w:rPr>
          <w:b/>
          <w:bCs/>
          <w:noProof/>
        </w:rPr>
        <w:lastRenderedPageBreak/>
        <w:drawing>
          <wp:inline distT="0" distB="0" distL="0" distR="0" wp14:anchorId="085F32BF" wp14:editId="472A6D5A">
            <wp:extent cx="5943600" cy="2865120"/>
            <wp:effectExtent l="0" t="0" r="0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D1D4B" w14:textId="77777777" w:rsidR="00FE37B5" w:rsidRPr="00104651" w:rsidRDefault="00FE37B5" w:rsidP="00FE37B5">
      <w:pPr>
        <w:pStyle w:val="Caption"/>
        <w:spacing w:before="0"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7" w:name="_Toc103873698"/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8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T-IEL and microbiota communities differ by intestinal tissue location.</w:t>
      </w:r>
      <w:bookmarkEnd w:id="7"/>
      <w:r w:rsidRPr="00104651">
        <w:rPr>
          <w:rFonts w:cs="Times New Roman"/>
          <w:b/>
          <w:bCs/>
          <w:szCs w:val="24"/>
        </w:rPr>
        <w:t xml:space="preserve"> </w:t>
      </w:r>
    </w:p>
    <w:p w14:paraId="7DF9A926" w14:textId="77777777" w:rsidR="00FE37B5" w:rsidRPr="004F106F" w:rsidRDefault="00FE37B5" w:rsidP="00FE37B5">
      <w:pPr>
        <w:pStyle w:val="Caption"/>
        <w:spacing w:before="0" w:line="480" w:lineRule="auto"/>
        <w:rPr>
          <w:rFonts w:cs="Times New Roman"/>
          <w:b/>
          <w:bCs/>
          <w:szCs w:val="24"/>
        </w:rPr>
      </w:pPr>
      <w:r w:rsidRPr="00104651">
        <w:rPr>
          <w:rFonts w:cs="Times New Roman"/>
          <w:szCs w:val="24"/>
        </w:rPr>
        <w:t>Plots showing results of pairwise comparisons of T-IEL (</w:t>
      </w:r>
      <w:r w:rsidRPr="00104651">
        <w:rPr>
          <w:rFonts w:cs="Times New Roman"/>
          <w:b/>
          <w:bCs/>
          <w:szCs w:val="24"/>
        </w:rPr>
        <w:t>A</w:t>
      </w:r>
      <w:r w:rsidRPr="00104651">
        <w:rPr>
          <w:rFonts w:cs="Times New Roman"/>
          <w:szCs w:val="24"/>
        </w:rPr>
        <w:t>) and microbial (</w:t>
      </w:r>
      <w:r w:rsidRPr="00104651">
        <w:rPr>
          <w:rFonts w:cs="Times New Roman"/>
          <w:b/>
          <w:bCs/>
          <w:szCs w:val="24"/>
        </w:rPr>
        <w:t>B</w:t>
      </w:r>
      <w:r w:rsidRPr="00104651">
        <w:rPr>
          <w:rFonts w:cs="Times New Roman"/>
          <w:szCs w:val="24"/>
        </w:rPr>
        <w:t>) communities across tissues within each age group. Color of connecting lines indicate if pairwise comparisons were statistically significant (p&lt;0.05). Width of connecting lines indicates magnitude of age effect (F statistic). Data are derived from a total of eight pigs within each tissue/age group combination for T-IELs. Data are missing for microbiota of one jejunum/5wo, one ileum/5wo, one ileum/7wo, one cecum/7wo sample. Abbreviations: T-IEL = intraepithelial T lymphocyte; wo = weeks old</w:t>
      </w:r>
      <w:r w:rsidRPr="00104651">
        <w:rPr>
          <w:rFonts w:cs="Times New Roman"/>
          <w:szCs w:val="24"/>
        </w:rPr>
        <w:br w:type="page"/>
      </w:r>
    </w:p>
    <w:p w14:paraId="6DDB0E03" w14:textId="77777777" w:rsidR="00FE37B5" w:rsidRPr="00104651" w:rsidRDefault="00FE37B5" w:rsidP="00FE37B5">
      <w:pPr>
        <w:pStyle w:val="Body"/>
        <w:keepNext/>
        <w:rPr>
          <w:rFonts w:cs="Times New Roman"/>
          <w:szCs w:val="24"/>
        </w:rPr>
      </w:pPr>
      <w:r w:rsidRPr="00104651">
        <w:rPr>
          <w:rFonts w:cs="Times New Roman"/>
          <w:noProof/>
          <w:szCs w:val="24"/>
        </w:rPr>
        <w:lastRenderedPageBreak/>
        <w:drawing>
          <wp:inline distT="0" distB="0" distL="0" distR="0" wp14:anchorId="41B1F6BA" wp14:editId="63532006">
            <wp:extent cx="5227320" cy="6438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"/>
                    <a:stretch/>
                  </pic:blipFill>
                  <pic:spPr bwMode="auto">
                    <a:xfrm>
                      <a:off x="0" y="0"/>
                      <a:ext cx="522732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588FF" w14:textId="77777777" w:rsidR="00FE37B5" w:rsidRPr="00104651" w:rsidRDefault="00FE37B5" w:rsidP="00FE37B5">
      <w:pPr>
        <w:pStyle w:val="Caption"/>
        <w:spacing w:before="0" w:after="0" w:line="480" w:lineRule="auto"/>
        <w:rPr>
          <w:rFonts w:cs="Times New Roman"/>
          <w:b/>
          <w:bCs/>
          <w:szCs w:val="24"/>
        </w:rPr>
        <w:sectPr w:rsidR="00FE37B5" w:rsidRPr="00104651" w:rsidSect="00104651">
          <w:headerReference w:type="default" r:id="rId15"/>
          <w:headerReference w:type="first" r:id="rId16"/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9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Differentially abundant ASVs between intestinal locations.</w:t>
      </w:r>
    </w:p>
    <w:p w14:paraId="3001FFBA" w14:textId="2299207C" w:rsidR="00FE37B5" w:rsidRPr="00FE37B5" w:rsidRDefault="00FE37B5" w:rsidP="00FE37B5">
      <w:pPr>
        <w:pStyle w:val="Caption"/>
        <w:spacing w:before="0" w:after="0" w:line="480" w:lineRule="auto"/>
        <w:rPr>
          <w:rFonts w:cs="Times New Roman"/>
          <w:szCs w:val="24"/>
        </w:rPr>
      </w:pPr>
      <w:r w:rsidRPr="00104651">
        <w:rPr>
          <w:rFonts w:cs="Times New Roman"/>
          <w:b/>
          <w:bCs/>
          <w:szCs w:val="24"/>
        </w:rPr>
        <w:lastRenderedPageBreak/>
        <w:t>(A)</w:t>
      </w:r>
      <w:r w:rsidRPr="00104651">
        <w:rPr>
          <w:rFonts w:cs="Times New Roman"/>
          <w:szCs w:val="24"/>
        </w:rPr>
        <w:t xml:space="preserve"> Table of the number of differentially abundant ASVs between intestinal tissues. (</w:t>
      </w:r>
      <w:r w:rsidRPr="00104651">
        <w:rPr>
          <w:rFonts w:cs="Times New Roman"/>
          <w:b/>
          <w:bCs/>
          <w:szCs w:val="24"/>
        </w:rPr>
        <w:t>B-G</w:t>
      </w:r>
      <w:r w:rsidRPr="00104651">
        <w:rPr>
          <w:rFonts w:cs="Times New Roman"/>
          <w:szCs w:val="24"/>
        </w:rPr>
        <w:t xml:space="preserve">) Plots of differentially abundant ASVs (corrected p </w:t>
      </w:r>
      <w:r>
        <w:rPr>
          <w:rFonts w:cs="Times New Roman"/>
          <w:szCs w:val="24"/>
        </w:rPr>
        <w:t>&lt;</w:t>
      </w:r>
      <w:r w:rsidRPr="00104651">
        <w:rPr>
          <w:rFonts w:cs="Times New Roman"/>
          <w:szCs w:val="24"/>
        </w:rPr>
        <w:t xml:space="preserve">0.05) between intestinal tissues. Points represent individual ASVs. Microbial families each ASV belongs to are indicated on x axes. Fill color of each point corresponds to the microbial phyla each ASV belongs to. Abbreviations: ASV = amplicon sequence variant; </w:t>
      </w:r>
      <w:proofErr w:type="spellStart"/>
      <w:r w:rsidRPr="00104651">
        <w:rPr>
          <w:rFonts w:cs="Times New Roman"/>
          <w:szCs w:val="24"/>
        </w:rPr>
        <w:t>LogFC</w:t>
      </w:r>
      <w:proofErr w:type="spellEnd"/>
      <w:r w:rsidRPr="00104651">
        <w:rPr>
          <w:rFonts w:cs="Times New Roman"/>
          <w:szCs w:val="24"/>
        </w:rPr>
        <w:t xml:space="preserve"> = log fold-change; NA = taxonomy not assigned; wo = weeks old</w:t>
      </w:r>
      <w:r>
        <w:rPr>
          <w:rFonts w:cs="Times New Roman"/>
          <w:szCs w:val="24"/>
        </w:rPr>
        <w:br w:type="page"/>
      </w:r>
    </w:p>
    <w:p w14:paraId="4605CD54" w14:textId="5F3C8688" w:rsidR="00FE37B5" w:rsidRPr="00104651" w:rsidRDefault="00FE37B5" w:rsidP="00FE37B5">
      <w:pPr>
        <w:pStyle w:val="Caption"/>
        <w:keepNext/>
        <w:spacing w:before="0" w:after="0" w:line="480" w:lineRule="auto"/>
        <w:rPr>
          <w:rFonts w:cs="Times New Roman"/>
          <w:szCs w:val="24"/>
        </w:rPr>
      </w:pPr>
      <w:r w:rsidRPr="00104651">
        <w:rPr>
          <w:rFonts w:cs="Times New Roman"/>
          <w:noProof/>
          <w:szCs w:val="24"/>
        </w:rPr>
        <w:lastRenderedPageBreak/>
        <w:drawing>
          <wp:inline distT="0" distB="0" distL="0" distR="0" wp14:anchorId="7459369F" wp14:editId="1D916813">
            <wp:extent cx="5935980" cy="15011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2F15F" w14:textId="77777777" w:rsidR="00FE37B5" w:rsidRDefault="00FE37B5" w:rsidP="00FE37B5">
      <w:pPr>
        <w:pStyle w:val="Caption"/>
        <w:spacing w:before="0" w:after="0" w:line="480" w:lineRule="auto"/>
        <w:rPr>
          <w:rFonts w:cs="Times New Roman"/>
          <w:b/>
          <w:bCs/>
          <w:szCs w:val="24"/>
        </w:rPr>
      </w:pPr>
      <w:r w:rsidRPr="00104651">
        <w:rPr>
          <w:rFonts w:cs="Times New Roman"/>
          <w:b/>
          <w:bCs/>
          <w:szCs w:val="24"/>
        </w:rPr>
        <w:t xml:space="preserve">Supplementary Figure </w:t>
      </w:r>
      <w:r w:rsidRPr="00104651">
        <w:rPr>
          <w:rFonts w:cs="Times New Roman"/>
          <w:b/>
          <w:bCs/>
          <w:szCs w:val="24"/>
        </w:rPr>
        <w:fldChar w:fldCharType="begin"/>
      </w:r>
      <w:r w:rsidRPr="00104651">
        <w:rPr>
          <w:rFonts w:cs="Times New Roman"/>
          <w:b/>
          <w:bCs/>
          <w:szCs w:val="24"/>
        </w:rPr>
        <w:instrText xml:space="preserve"> SEQ Supplementary_Figure \* ARABIC \s 1 </w:instrText>
      </w:r>
      <w:r w:rsidRPr="00104651">
        <w:rPr>
          <w:rFonts w:cs="Times New Roman"/>
          <w:b/>
          <w:bCs/>
          <w:szCs w:val="24"/>
        </w:rPr>
        <w:fldChar w:fldCharType="separate"/>
      </w:r>
      <w:r w:rsidRPr="00104651">
        <w:rPr>
          <w:rFonts w:cs="Times New Roman"/>
          <w:b/>
          <w:bCs/>
          <w:noProof/>
          <w:szCs w:val="24"/>
        </w:rPr>
        <w:t>10</w:t>
      </w:r>
      <w:r w:rsidRPr="00104651">
        <w:rPr>
          <w:rFonts w:cs="Times New Roman"/>
          <w:b/>
          <w:bCs/>
          <w:szCs w:val="24"/>
        </w:rPr>
        <w:fldChar w:fldCharType="end"/>
      </w:r>
      <w:r w:rsidRPr="00104651">
        <w:rPr>
          <w:rFonts w:cs="Times New Roman"/>
          <w:b/>
          <w:bCs/>
          <w:szCs w:val="24"/>
        </w:rPr>
        <w:t>. Differentially abundant ASVs between cecum of 5wo and 7wo pigs</w:t>
      </w:r>
      <w:r>
        <w:rPr>
          <w:rFonts w:cs="Times New Roman"/>
          <w:b/>
          <w:bCs/>
          <w:szCs w:val="24"/>
        </w:rPr>
        <w:t>.</w:t>
      </w:r>
    </w:p>
    <w:p w14:paraId="7112ABE4" w14:textId="32C2AC02" w:rsidR="00FE37B5" w:rsidRPr="00A62FC1" w:rsidRDefault="00FE37B5" w:rsidP="00FE37B5">
      <w:pPr>
        <w:pStyle w:val="Caption"/>
        <w:spacing w:before="0" w:after="0" w:line="480" w:lineRule="auto"/>
        <w:rPr>
          <w:rFonts w:cs="Times New Roman"/>
          <w:szCs w:val="24"/>
        </w:rPr>
        <w:sectPr w:rsidR="00FE37B5" w:rsidRPr="00A62FC1" w:rsidSect="00FE37B5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104651">
        <w:rPr>
          <w:rFonts w:cs="Times New Roman"/>
          <w:szCs w:val="24"/>
        </w:rPr>
        <w:t xml:space="preserve">Plot of differentially abundant ASVs (corrected p </w:t>
      </w:r>
      <w:r>
        <w:rPr>
          <w:rFonts w:cs="Times New Roman"/>
          <w:szCs w:val="24"/>
        </w:rPr>
        <w:t>&lt;</w:t>
      </w:r>
      <w:r w:rsidRPr="00104651">
        <w:rPr>
          <w:rFonts w:cs="Times New Roman"/>
          <w:szCs w:val="24"/>
        </w:rPr>
        <w:t xml:space="preserve">0.05) between cecum of 5wo and 7wo pigs. Points represent individual ASVs. Microbial families each ASV belongs to are indicated on x axis. Fill color of each point corresponds to the microbial phyla each ASV belongs to. Abbreviations: ASV = amplicon sequence variant; </w:t>
      </w:r>
      <w:proofErr w:type="spellStart"/>
      <w:r w:rsidRPr="00104651">
        <w:rPr>
          <w:rFonts w:cs="Times New Roman"/>
          <w:szCs w:val="24"/>
        </w:rPr>
        <w:t>LogFC</w:t>
      </w:r>
      <w:proofErr w:type="spellEnd"/>
      <w:r w:rsidRPr="00104651">
        <w:rPr>
          <w:rFonts w:cs="Times New Roman"/>
          <w:szCs w:val="24"/>
        </w:rPr>
        <w:t xml:space="preserve"> = log fold-change; NA = taxonomy not assigned; wo =</w:t>
      </w:r>
      <w:r>
        <w:rPr>
          <w:rFonts w:cs="Times New Roman"/>
          <w:szCs w:val="24"/>
        </w:rPr>
        <w:t xml:space="preserve"> weeks ol</w:t>
      </w:r>
      <w:r>
        <w:rPr>
          <w:rFonts w:cs="Times New Roman"/>
          <w:szCs w:val="24"/>
        </w:rPr>
        <w:t>d</w:t>
      </w:r>
    </w:p>
    <w:p w14:paraId="2CAB05AD" w14:textId="77777777" w:rsidR="00FE37B5" w:rsidRPr="00FE37B5" w:rsidRDefault="00FE37B5" w:rsidP="00FE37B5">
      <w:pPr>
        <w:pStyle w:val="Body"/>
        <w:ind w:firstLine="0"/>
      </w:pPr>
    </w:p>
    <w:sectPr w:rsidR="00FE37B5" w:rsidRPr="00FE37B5" w:rsidSect="0010465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52E2D" w14:textId="77777777" w:rsidR="0081157D" w:rsidRDefault="00FE37B5">
    <w:pPr>
      <w:pStyle w:val="Footer"/>
    </w:pPr>
  </w:p>
  <w:p w14:paraId="4D495036" w14:textId="77777777" w:rsidR="0081157D" w:rsidRDefault="00FE37B5"/>
  <w:p w14:paraId="10970CA0" w14:textId="77777777" w:rsidR="0081157D" w:rsidRDefault="00FE37B5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9BFF8" w14:textId="77777777" w:rsidR="0081157D" w:rsidRDefault="00FE37B5">
    <w:pPr>
      <w:pStyle w:val="Header"/>
    </w:pPr>
  </w:p>
  <w:p w14:paraId="197669DC" w14:textId="77777777" w:rsidR="0081157D" w:rsidRDefault="00FE37B5"/>
  <w:p w14:paraId="6EC7CB73" w14:textId="77777777" w:rsidR="0081157D" w:rsidRDefault="00FE37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50692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BEB472" w14:textId="77777777" w:rsidR="0081157D" w:rsidRDefault="00FE37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3D1D5919" w14:textId="77777777" w:rsidR="0081157D" w:rsidRDefault="00FE37B5" w:rsidP="00BF50C3">
    <w:pPr>
      <w:pStyle w:val="Header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81107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452B61" w14:textId="77777777" w:rsidR="0081157D" w:rsidRDefault="00FE37B5">
        <w:pPr>
          <w:pStyle w:val="Header"/>
          <w:jc w:val="center"/>
        </w:pPr>
        <w:r>
          <w:fldChar w:fldCharType="begin"/>
        </w:r>
        <w:r>
          <w:instrText xml:space="preserve"> PAGE   \* MERGEFORM</w:instrText>
        </w:r>
        <w:r>
          <w:instrText xml:space="preserve">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C9E13B0" w14:textId="77777777" w:rsidR="0081157D" w:rsidRDefault="00FE37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B5"/>
    <w:rsid w:val="0003457B"/>
    <w:rsid w:val="000F12FE"/>
    <w:rsid w:val="0016013F"/>
    <w:rsid w:val="002A31B6"/>
    <w:rsid w:val="002E4577"/>
    <w:rsid w:val="00B70D85"/>
    <w:rsid w:val="00EB5E2D"/>
    <w:rsid w:val="00F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D26A"/>
  <w15:chartTrackingRefBased/>
  <w15:docId w15:val="{9AC73C97-9F56-4872-8A72-395F85B0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FE3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FE37B5"/>
    <w:pPr>
      <w:keepNext/>
      <w:keepLines/>
      <w:widowControl w:val="0"/>
      <w:spacing w:after="24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37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FE37B5"/>
    <w:pPr>
      <w:widowControl w:val="0"/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E37B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E37B5"/>
    <w:pPr>
      <w:widowControl w:val="0"/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E37B5"/>
    <w:rPr>
      <w:rFonts w:ascii="Times New Roman" w:hAnsi="Times New Roman"/>
      <w:sz w:val="24"/>
    </w:rPr>
  </w:style>
  <w:style w:type="paragraph" w:customStyle="1" w:styleId="Body">
    <w:name w:val="Body"/>
    <w:basedOn w:val="Normal"/>
    <w:link w:val="BodyChar"/>
    <w:qFormat/>
    <w:rsid w:val="00FE37B5"/>
    <w:pPr>
      <w:spacing w:line="480" w:lineRule="auto"/>
      <w:ind w:firstLine="720"/>
    </w:pPr>
    <w:rPr>
      <w:rFonts w:eastAsiaTheme="minorHAnsi" w:cstheme="minorBidi"/>
      <w:color w:val="000000" w:themeColor="text1"/>
      <w:szCs w:val="22"/>
    </w:rPr>
  </w:style>
  <w:style w:type="character" w:customStyle="1" w:styleId="BodyChar">
    <w:name w:val="Body Char"/>
    <w:basedOn w:val="DefaultParagraphFont"/>
    <w:link w:val="Body"/>
    <w:rsid w:val="00FE37B5"/>
    <w:rPr>
      <w:rFonts w:ascii="Times New Roman" w:hAnsi="Times New Roman"/>
      <w:color w:val="000000" w:themeColor="text1"/>
      <w:sz w:val="24"/>
    </w:rPr>
  </w:style>
  <w:style w:type="paragraph" w:styleId="Caption">
    <w:name w:val="caption"/>
    <w:basedOn w:val="Normal"/>
    <w:next w:val="Body"/>
    <w:link w:val="CaptionChar"/>
    <w:unhideWhenUsed/>
    <w:rsid w:val="00FE37B5"/>
    <w:pPr>
      <w:keepLines/>
      <w:widowControl w:val="0"/>
      <w:tabs>
        <w:tab w:val="left" w:pos="288"/>
        <w:tab w:val="left" w:pos="576"/>
        <w:tab w:val="left" w:pos="864"/>
        <w:tab w:val="left" w:pos="1152"/>
        <w:tab w:val="left" w:pos="1440"/>
      </w:tabs>
      <w:spacing w:before="240" w:after="240"/>
    </w:pPr>
    <w:rPr>
      <w:rFonts w:eastAsiaTheme="minorHAnsi" w:cstheme="minorBidi"/>
      <w:iCs/>
      <w:color w:val="000000" w:themeColor="text1"/>
      <w:szCs w:val="18"/>
    </w:rPr>
  </w:style>
  <w:style w:type="character" w:customStyle="1" w:styleId="CaptionChar">
    <w:name w:val="Caption Char"/>
    <w:basedOn w:val="DefaultParagraphFont"/>
    <w:link w:val="Caption"/>
    <w:rsid w:val="00FE37B5"/>
    <w:rPr>
      <w:rFonts w:ascii="Times New Roman" w:hAnsi="Times New Roman"/>
      <w:iCs/>
      <w:color w:val="000000" w:themeColor="text1"/>
      <w:sz w:val="24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E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6.png"/><Relationship Id="rId5" Type="http://schemas.openxmlformats.org/officeDocument/2006/relationships/header" Target="header1.xml"/><Relationship Id="rId15" Type="http://schemas.openxmlformats.org/officeDocument/2006/relationships/header" Target="header2.xml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1277</Words>
  <Characters>8255</Characters>
  <Application>Microsoft Office Word</Application>
  <DocSecurity>0</DocSecurity>
  <Lines>108</Lines>
  <Paragraphs>7</Paragraphs>
  <ScaleCrop>false</ScaleCrop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Wiarda, Jayne - ARS</dc:creator>
  <cp:keywords/>
  <dc:description/>
  <cp:lastModifiedBy>Wiarda, Jayne - ARS</cp:lastModifiedBy>
  <cp:revision>1</cp:revision>
  <dcterms:created xsi:type="dcterms:W3CDTF">2022-08-30T17:25:00Z</dcterms:created>
  <dcterms:modified xsi:type="dcterms:W3CDTF">2022-08-30T17:27:00Z</dcterms:modified>
</cp:coreProperties>
</file>