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F7F33" w14:textId="77777777" w:rsidR="00D91B79" w:rsidRPr="001E2866" w:rsidRDefault="00D91B79" w:rsidP="00D91B79">
      <w:pPr>
        <w:pStyle w:val="Title"/>
        <w:rPr>
          <w:rFonts w:ascii="Times New Roman" w:hAnsi="Times New Roman"/>
          <w:b/>
          <w:bCs/>
        </w:rPr>
      </w:pPr>
      <w:r w:rsidRPr="001E2866">
        <w:rPr>
          <w:rFonts w:ascii="Times New Roman" w:hAnsi="Times New Roman"/>
          <w:b/>
          <w:bCs/>
        </w:rPr>
        <w:t>Africa’s Manufacturing Puzzle: Evidence from Tanzanian and Ethiopian Firms</w:t>
      </w:r>
    </w:p>
    <w:p w14:paraId="48A549AF" w14:textId="4F1931AB" w:rsidR="00D91B79" w:rsidRDefault="00D91B79" w:rsidP="00D91B79">
      <w:pPr>
        <w:jc w:val="center"/>
        <w:rPr>
          <w:rFonts w:ascii="Times New Roman" w:hAnsi="Times New Roman" w:cs="Times New Roman"/>
          <w:sz w:val="24"/>
          <w:szCs w:val="24"/>
        </w:rPr>
      </w:pPr>
      <w:r w:rsidRPr="00D91B79">
        <w:rPr>
          <w:rFonts w:ascii="Times New Roman" w:hAnsi="Times New Roman" w:cs="Times New Roman"/>
          <w:sz w:val="24"/>
          <w:szCs w:val="24"/>
        </w:rPr>
        <w:t>Xinshen Diao, Mia Ellis, Margaret McMillan, Dani Rodrik</w:t>
      </w:r>
    </w:p>
    <w:p w14:paraId="149345B0" w14:textId="77777777" w:rsidR="00D91B79" w:rsidRPr="00D91B79" w:rsidRDefault="00D91B79" w:rsidP="00D91B79">
      <w:pPr>
        <w:jc w:val="center"/>
        <w:rPr>
          <w:rFonts w:ascii="Times New Roman" w:hAnsi="Times New Roman" w:cs="Times New Roman"/>
          <w:sz w:val="24"/>
          <w:szCs w:val="24"/>
        </w:rPr>
      </w:pPr>
    </w:p>
    <w:p w14:paraId="041B47C4" w14:textId="3D4D9BB2" w:rsidR="00AA286A" w:rsidRDefault="007F2B7A" w:rsidP="00FD1D7F">
      <w:pPr>
        <w:spacing w:after="0" w:line="480" w:lineRule="auto"/>
        <w:rPr>
          <w:rFonts w:ascii="Times New Roman" w:hAnsi="Times New Roman" w:cs="Times New Roman"/>
          <w:b/>
          <w:bCs/>
          <w:sz w:val="28"/>
          <w:szCs w:val="28"/>
        </w:rPr>
      </w:pPr>
      <w:r>
        <w:rPr>
          <w:rFonts w:ascii="Times New Roman" w:hAnsi="Times New Roman" w:cs="Times New Roman"/>
          <w:b/>
          <w:bCs/>
          <w:sz w:val="28"/>
          <w:szCs w:val="28"/>
        </w:rPr>
        <w:t xml:space="preserve">Supplementary </w:t>
      </w:r>
      <w:r w:rsidR="00742C6D" w:rsidRPr="00885FBD">
        <w:rPr>
          <w:rFonts w:ascii="Times New Roman" w:hAnsi="Times New Roman" w:cs="Times New Roman"/>
          <w:b/>
          <w:bCs/>
          <w:sz w:val="28"/>
          <w:szCs w:val="28"/>
        </w:rPr>
        <w:t>Appendix</w:t>
      </w:r>
      <w:r w:rsidR="00B75564">
        <w:rPr>
          <w:rFonts w:ascii="Times New Roman" w:hAnsi="Times New Roman" w:cs="Times New Roman"/>
          <w:b/>
          <w:bCs/>
          <w:sz w:val="28"/>
          <w:szCs w:val="28"/>
        </w:rPr>
        <w:tab/>
      </w:r>
    </w:p>
    <w:p w14:paraId="433895E1" w14:textId="19A9E78D" w:rsidR="00D00B2F" w:rsidRPr="00FD1D7F" w:rsidRDefault="00742C6D" w:rsidP="00C024FA">
      <w:pPr>
        <w:spacing w:line="360" w:lineRule="auto"/>
        <w:rPr>
          <w:rFonts w:ascii="Times New Roman" w:hAnsi="Times New Roman" w:cs="Times New Roman"/>
          <w:sz w:val="24"/>
          <w:szCs w:val="24"/>
        </w:rPr>
      </w:pPr>
      <w:r w:rsidRPr="00FD1D7F">
        <w:rPr>
          <w:rFonts w:ascii="Times New Roman" w:hAnsi="Times New Roman" w:cs="Times New Roman"/>
          <w:sz w:val="24"/>
          <w:szCs w:val="24"/>
        </w:rPr>
        <w:t xml:space="preserve">In this </w:t>
      </w:r>
      <w:r w:rsidR="00D91B79">
        <w:rPr>
          <w:rFonts w:ascii="Times New Roman" w:hAnsi="Times New Roman" w:cs="Times New Roman"/>
          <w:sz w:val="24"/>
          <w:szCs w:val="24"/>
        </w:rPr>
        <w:t>supplementary</w:t>
      </w:r>
      <w:r w:rsidRPr="00FD1D7F">
        <w:rPr>
          <w:rFonts w:ascii="Times New Roman" w:hAnsi="Times New Roman" w:cs="Times New Roman"/>
          <w:sz w:val="24"/>
          <w:szCs w:val="24"/>
        </w:rPr>
        <w:t xml:space="preserve"> appendix we provide details on the data sources and construction, as well as auxiliary tables and figures omitted from the paper.</w:t>
      </w:r>
    </w:p>
    <w:p w14:paraId="0C841E50" w14:textId="40838DF3" w:rsidR="00AA286A" w:rsidRPr="00206C87" w:rsidRDefault="00D91B79" w:rsidP="00FD1D7F">
      <w:pPr>
        <w:spacing w:line="240" w:lineRule="auto"/>
        <w:rPr>
          <w:rFonts w:ascii="Times New Roman" w:hAnsi="Times New Roman" w:cs="Times New Roman"/>
          <w:sz w:val="24"/>
          <w:szCs w:val="24"/>
        </w:rPr>
      </w:pPr>
      <w:r w:rsidRPr="00206C87">
        <w:rPr>
          <w:rFonts w:ascii="Times New Roman" w:hAnsi="Times New Roman" w:cs="Times New Roman"/>
          <w:sz w:val="24"/>
          <w:szCs w:val="24"/>
        </w:rPr>
        <w:t>1</w:t>
      </w:r>
      <w:r w:rsidR="00AA286A" w:rsidRPr="00206C87">
        <w:rPr>
          <w:rFonts w:ascii="Times New Roman" w:hAnsi="Times New Roman" w:cs="Times New Roman"/>
          <w:sz w:val="24"/>
          <w:szCs w:val="24"/>
        </w:rPr>
        <w:t xml:space="preserve"> Data description and definitions</w:t>
      </w:r>
    </w:p>
    <w:p w14:paraId="2A0406A0" w14:textId="6CA4BDC9" w:rsidR="00FE0513" w:rsidRPr="00206C87" w:rsidRDefault="00FE0513" w:rsidP="00FD1D7F">
      <w:pPr>
        <w:spacing w:line="240" w:lineRule="auto"/>
        <w:rPr>
          <w:rFonts w:ascii="Times New Roman" w:hAnsi="Times New Roman" w:cs="Times New Roman"/>
          <w:sz w:val="24"/>
          <w:szCs w:val="24"/>
        </w:rPr>
      </w:pPr>
      <w:r w:rsidRPr="00206C87">
        <w:rPr>
          <w:rFonts w:ascii="Times New Roman" w:hAnsi="Times New Roman" w:cs="Times New Roman"/>
          <w:sz w:val="24"/>
          <w:szCs w:val="24"/>
        </w:rPr>
        <w:tab/>
      </w:r>
      <w:r w:rsidR="00D91B79" w:rsidRPr="00206C87">
        <w:rPr>
          <w:rFonts w:ascii="Times New Roman" w:hAnsi="Times New Roman" w:cs="Times New Roman"/>
          <w:sz w:val="24"/>
          <w:szCs w:val="24"/>
        </w:rPr>
        <w:t>1</w:t>
      </w:r>
      <w:r w:rsidRPr="00206C87">
        <w:rPr>
          <w:rFonts w:ascii="Times New Roman" w:hAnsi="Times New Roman" w:cs="Times New Roman"/>
          <w:sz w:val="24"/>
          <w:szCs w:val="24"/>
        </w:rPr>
        <w:t xml:space="preserve">.1 </w:t>
      </w:r>
      <w:r w:rsidR="00BB789C" w:rsidRPr="00206C87">
        <w:rPr>
          <w:rFonts w:ascii="Times New Roman" w:hAnsi="Times New Roman" w:cs="Times New Roman"/>
          <w:sz w:val="24"/>
          <w:szCs w:val="24"/>
        </w:rPr>
        <w:t>Adjusting ETD estimates for Ethiopia</w:t>
      </w:r>
    </w:p>
    <w:p w14:paraId="72482449" w14:textId="4C9D6E19" w:rsidR="00AA286A" w:rsidRPr="00206C87" w:rsidRDefault="00D91B79" w:rsidP="00FD1D7F">
      <w:pPr>
        <w:spacing w:line="240" w:lineRule="auto"/>
        <w:ind w:left="720"/>
        <w:rPr>
          <w:rFonts w:ascii="Times New Roman" w:hAnsi="Times New Roman" w:cs="Times New Roman"/>
          <w:sz w:val="24"/>
          <w:szCs w:val="24"/>
        </w:rPr>
      </w:pPr>
      <w:r w:rsidRPr="00206C87">
        <w:rPr>
          <w:rFonts w:ascii="Times New Roman" w:hAnsi="Times New Roman" w:cs="Times New Roman"/>
          <w:sz w:val="24"/>
          <w:szCs w:val="24"/>
        </w:rPr>
        <w:t>1</w:t>
      </w:r>
      <w:r w:rsidR="00AA286A" w:rsidRPr="00206C87">
        <w:rPr>
          <w:rFonts w:ascii="Times New Roman" w:hAnsi="Times New Roman" w:cs="Times New Roman"/>
          <w:sz w:val="24"/>
          <w:szCs w:val="24"/>
        </w:rPr>
        <w:t>.</w:t>
      </w:r>
      <w:r w:rsidR="00FE0513" w:rsidRPr="00206C87">
        <w:rPr>
          <w:rFonts w:ascii="Times New Roman" w:hAnsi="Times New Roman" w:cs="Times New Roman"/>
          <w:sz w:val="24"/>
          <w:szCs w:val="24"/>
        </w:rPr>
        <w:t>2</w:t>
      </w:r>
      <w:r w:rsidR="00AA286A" w:rsidRPr="00206C87">
        <w:rPr>
          <w:rFonts w:ascii="Times New Roman" w:hAnsi="Times New Roman" w:cs="Times New Roman"/>
        </w:rPr>
        <w:t xml:space="preserve"> </w:t>
      </w:r>
      <w:r w:rsidR="00FE0513" w:rsidRPr="00206C87">
        <w:rPr>
          <w:rFonts w:ascii="Times New Roman" w:hAnsi="Times New Roman" w:cs="Times New Roman"/>
          <w:sz w:val="24"/>
          <w:szCs w:val="24"/>
        </w:rPr>
        <w:t>ASIP census</w:t>
      </w:r>
      <w:r w:rsidR="00AA286A" w:rsidRPr="00206C87">
        <w:rPr>
          <w:rFonts w:ascii="Times New Roman" w:hAnsi="Times New Roman" w:cs="Times New Roman"/>
          <w:sz w:val="24"/>
          <w:szCs w:val="24"/>
        </w:rPr>
        <w:t xml:space="preserve"> coverage</w:t>
      </w:r>
    </w:p>
    <w:p w14:paraId="017DEBF2" w14:textId="59373550" w:rsidR="00AA286A" w:rsidRPr="00206C87" w:rsidRDefault="00D91B79" w:rsidP="00FD1D7F">
      <w:pPr>
        <w:spacing w:line="240" w:lineRule="auto"/>
        <w:ind w:left="720"/>
        <w:rPr>
          <w:rFonts w:ascii="Times New Roman" w:hAnsi="Times New Roman" w:cs="Times New Roman"/>
          <w:sz w:val="24"/>
          <w:szCs w:val="24"/>
        </w:rPr>
      </w:pPr>
      <w:r w:rsidRPr="00206C87">
        <w:rPr>
          <w:rFonts w:ascii="Times New Roman" w:hAnsi="Times New Roman" w:cs="Times New Roman"/>
          <w:sz w:val="24"/>
          <w:szCs w:val="24"/>
        </w:rPr>
        <w:t>1</w:t>
      </w:r>
      <w:r w:rsidR="00AA286A" w:rsidRPr="00206C87">
        <w:rPr>
          <w:rFonts w:ascii="Times New Roman" w:hAnsi="Times New Roman" w:cs="Times New Roman"/>
          <w:sz w:val="24"/>
          <w:szCs w:val="24"/>
        </w:rPr>
        <w:t>.</w:t>
      </w:r>
      <w:r w:rsidR="00FE0513" w:rsidRPr="00206C87">
        <w:rPr>
          <w:rFonts w:ascii="Times New Roman" w:hAnsi="Times New Roman" w:cs="Times New Roman"/>
          <w:sz w:val="24"/>
          <w:szCs w:val="24"/>
        </w:rPr>
        <w:t>3</w:t>
      </w:r>
      <w:r w:rsidR="00AA286A" w:rsidRPr="00206C87">
        <w:rPr>
          <w:rFonts w:ascii="Times New Roman" w:hAnsi="Times New Roman" w:cs="Times New Roman"/>
          <w:sz w:val="24"/>
          <w:szCs w:val="24"/>
        </w:rPr>
        <w:t xml:space="preserve"> </w:t>
      </w:r>
      <w:r w:rsidR="005B5B7A" w:rsidRPr="00206C87">
        <w:rPr>
          <w:rFonts w:ascii="Times New Roman" w:hAnsi="Times New Roman" w:cs="Times New Roman"/>
          <w:sz w:val="24"/>
          <w:szCs w:val="24"/>
        </w:rPr>
        <w:t>Ethiopia panel identifiers</w:t>
      </w:r>
    </w:p>
    <w:p w14:paraId="4F5E0EE5" w14:textId="7D9ADD44" w:rsidR="00BC6072" w:rsidRPr="00206C87" w:rsidRDefault="00D91B79" w:rsidP="00BC6072">
      <w:pPr>
        <w:spacing w:line="240" w:lineRule="auto"/>
        <w:ind w:left="720"/>
        <w:rPr>
          <w:rFonts w:ascii="Times New Roman" w:hAnsi="Times New Roman" w:cs="Times New Roman"/>
          <w:sz w:val="24"/>
          <w:szCs w:val="24"/>
        </w:rPr>
      </w:pPr>
      <w:r w:rsidRPr="00206C87">
        <w:rPr>
          <w:rFonts w:ascii="Times New Roman" w:hAnsi="Times New Roman" w:cs="Times New Roman"/>
          <w:sz w:val="24"/>
          <w:szCs w:val="24"/>
        </w:rPr>
        <w:t>1</w:t>
      </w:r>
      <w:r w:rsidR="00BC6072" w:rsidRPr="00206C87">
        <w:rPr>
          <w:rFonts w:ascii="Times New Roman" w:hAnsi="Times New Roman" w:cs="Times New Roman"/>
          <w:sz w:val="24"/>
          <w:szCs w:val="24"/>
        </w:rPr>
        <w:t>.</w:t>
      </w:r>
      <w:r w:rsidR="00FE0513" w:rsidRPr="00206C87">
        <w:rPr>
          <w:rFonts w:ascii="Times New Roman" w:hAnsi="Times New Roman" w:cs="Times New Roman"/>
          <w:sz w:val="24"/>
          <w:szCs w:val="24"/>
        </w:rPr>
        <w:t>4</w:t>
      </w:r>
      <w:r w:rsidR="00BC6072" w:rsidRPr="00206C87">
        <w:rPr>
          <w:rFonts w:ascii="Times New Roman" w:hAnsi="Times New Roman" w:cs="Times New Roman"/>
        </w:rPr>
        <w:t xml:space="preserve"> </w:t>
      </w:r>
      <w:r w:rsidR="00BC6072" w:rsidRPr="00206C87">
        <w:rPr>
          <w:rFonts w:ascii="Times New Roman" w:hAnsi="Times New Roman" w:cs="Times New Roman"/>
          <w:sz w:val="24"/>
          <w:szCs w:val="24"/>
        </w:rPr>
        <w:t>Variable definitions and cleaning</w:t>
      </w:r>
    </w:p>
    <w:p w14:paraId="34DF8E73" w14:textId="3A0C6FFF" w:rsidR="00AA286A" w:rsidRPr="00206C87" w:rsidRDefault="00D91B79" w:rsidP="00FD1D7F">
      <w:pPr>
        <w:spacing w:line="240" w:lineRule="auto"/>
        <w:ind w:left="720"/>
        <w:rPr>
          <w:rFonts w:ascii="Times New Roman" w:hAnsi="Times New Roman" w:cs="Times New Roman"/>
          <w:sz w:val="24"/>
          <w:szCs w:val="24"/>
        </w:rPr>
      </w:pPr>
      <w:r w:rsidRPr="00206C87">
        <w:rPr>
          <w:rFonts w:ascii="Times New Roman" w:hAnsi="Times New Roman" w:cs="Times New Roman"/>
          <w:sz w:val="24"/>
          <w:szCs w:val="24"/>
        </w:rPr>
        <w:t>1</w:t>
      </w:r>
      <w:r w:rsidR="00AA286A" w:rsidRPr="00206C87">
        <w:rPr>
          <w:rFonts w:ascii="Times New Roman" w:hAnsi="Times New Roman" w:cs="Times New Roman"/>
          <w:sz w:val="24"/>
          <w:szCs w:val="24"/>
        </w:rPr>
        <w:t>.</w:t>
      </w:r>
      <w:r w:rsidR="00FE0513" w:rsidRPr="00206C87">
        <w:rPr>
          <w:rFonts w:ascii="Times New Roman" w:hAnsi="Times New Roman" w:cs="Times New Roman"/>
          <w:sz w:val="24"/>
          <w:szCs w:val="24"/>
        </w:rPr>
        <w:t>5</w:t>
      </w:r>
      <w:r w:rsidR="005B5B7A" w:rsidRPr="00206C87">
        <w:rPr>
          <w:rFonts w:ascii="Times New Roman" w:hAnsi="Times New Roman" w:cs="Times New Roman"/>
          <w:sz w:val="24"/>
          <w:szCs w:val="24"/>
        </w:rPr>
        <w:t xml:space="preserve"> </w:t>
      </w:r>
      <w:r w:rsidR="00FD1D7F" w:rsidRPr="00206C87">
        <w:rPr>
          <w:rFonts w:ascii="Times New Roman" w:hAnsi="Times New Roman" w:cs="Times New Roman"/>
          <w:sz w:val="24"/>
          <w:szCs w:val="24"/>
        </w:rPr>
        <w:t>Calculation of capital-labor ratios</w:t>
      </w:r>
    </w:p>
    <w:p w14:paraId="0885BBEA" w14:textId="3519F973" w:rsidR="00C96143" w:rsidRPr="00206C87" w:rsidRDefault="00D91B79" w:rsidP="008F7ABD">
      <w:pPr>
        <w:spacing w:line="240" w:lineRule="auto"/>
        <w:rPr>
          <w:rFonts w:ascii="Times New Roman" w:hAnsi="Times New Roman" w:cs="Times New Roman"/>
          <w:sz w:val="24"/>
          <w:szCs w:val="24"/>
        </w:rPr>
      </w:pPr>
      <w:r w:rsidRPr="00206C87">
        <w:rPr>
          <w:rFonts w:ascii="Times New Roman" w:hAnsi="Times New Roman" w:cs="Times New Roman"/>
          <w:sz w:val="24"/>
          <w:szCs w:val="24"/>
        </w:rPr>
        <w:t>2</w:t>
      </w:r>
      <w:r w:rsidR="008F7ABD" w:rsidRPr="00206C87">
        <w:rPr>
          <w:rFonts w:ascii="Times New Roman" w:hAnsi="Times New Roman" w:cs="Times New Roman"/>
          <w:sz w:val="24"/>
          <w:szCs w:val="24"/>
        </w:rPr>
        <w:t xml:space="preserve"> Auxiliary Results</w:t>
      </w:r>
    </w:p>
    <w:p w14:paraId="28AF72BF" w14:textId="1A1A5DB7" w:rsidR="00C96143" w:rsidRPr="00206C87" w:rsidRDefault="00C96143" w:rsidP="008F7ABD">
      <w:pPr>
        <w:spacing w:line="240" w:lineRule="auto"/>
        <w:rPr>
          <w:rFonts w:ascii="Times New Roman" w:hAnsi="Times New Roman" w:cs="Times New Roman"/>
          <w:sz w:val="24"/>
          <w:szCs w:val="24"/>
        </w:rPr>
      </w:pPr>
      <w:r w:rsidRPr="00206C87">
        <w:rPr>
          <w:rFonts w:ascii="Times New Roman" w:hAnsi="Times New Roman" w:cs="Times New Roman"/>
          <w:sz w:val="24"/>
          <w:szCs w:val="24"/>
        </w:rPr>
        <w:tab/>
      </w:r>
      <w:r w:rsidR="00D91B79" w:rsidRPr="00206C87">
        <w:rPr>
          <w:rFonts w:ascii="Times New Roman" w:hAnsi="Times New Roman" w:cs="Times New Roman"/>
          <w:sz w:val="24"/>
          <w:szCs w:val="24"/>
        </w:rPr>
        <w:t>2</w:t>
      </w:r>
      <w:r w:rsidRPr="00206C87">
        <w:rPr>
          <w:rFonts w:ascii="Times New Roman" w:hAnsi="Times New Roman" w:cs="Times New Roman"/>
          <w:sz w:val="24"/>
          <w:szCs w:val="24"/>
        </w:rPr>
        <w:t xml:space="preserve">.1 Main estimation with interactions </w:t>
      </w:r>
    </w:p>
    <w:p w14:paraId="5A047806" w14:textId="491929E1" w:rsidR="008F7ABD" w:rsidRPr="00206C87" w:rsidRDefault="00C96143" w:rsidP="008F7ABD">
      <w:pPr>
        <w:spacing w:line="240" w:lineRule="auto"/>
        <w:rPr>
          <w:rFonts w:ascii="Times New Roman" w:hAnsi="Times New Roman" w:cs="Times New Roman"/>
          <w:sz w:val="24"/>
          <w:szCs w:val="24"/>
        </w:rPr>
      </w:pPr>
      <w:r w:rsidRPr="00206C87">
        <w:rPr>
          <w:rFonts w:ascii="Times New Roman" w:hAnsi="Times New Roman" w:cs="Times New Roman"/>
          <w:sz w:val="24"/>
          <w:szCs w:val="24"/>
        </w:rPr>
        <w:tab/>
      </w:r>
      <w:r w:rsidR="00D91B79" w:rsidRPr="00206C87">
        <w:rPr>
          <w:rFonts w:ascii="Times New Roman" w:hAnsi="Times New Roman" w:cs="Times New Roman"/>
          <w:sz w:val="24"/>
          <w:szCs w:val="24"/>
        </w:rPr>
        <w:t>2</w:t>
      </w:r>
      <w:r w:rsidRPr="00206C87">
        <w:rPr>
          <w:rFonts w:ascii="Times New Roman" w:hAnsi="Times New Roman" w:cs="Times New Roman"/>
          <w:sz w:val="24"/>
          <w:szCs w:val="24"/>
        </w:rPr>
        <w:t>.2 Ethiopia alternate</w:t>
      </w:r>
      <w:r w:rsidR="0085145C" w:rsidRPr="00206C87">
        <w:rPr>
          <w:rFonts w:ascii="Times New Roman" w:hAnsi="Times New Roman" w:cs="Times New Roman"/>
          <w:sz w:val="24"/>
          <w:szCs w:val="24"/>
        </w:rPr>
        <w:t xml:space="preserve"> firm size</w:t>
      </w:r>
      <w:r w:rsidRPr="00206C87">
        <w:rPr>
          <w:rFonts w:ascii="Times New Roman" w:hAnsi="Times New Roman" w:cs="Times New Roman"/>
          <w:sz w:val="24"/>
          <w:szCs w:val="24"/>
        </w:rPr>
        <w:t xml:space="preserve"> cutoff (100</w:t>
      </w:r>
      <w:r w:rsidR="0085145C" w:rsidRPr="00206C87">
        <w:rPr>
          <w:rFonts w:ascii="Times New Roman" w:hAnsi="Times New Roman" w:cs="Times New Roman"/>
          <w:sz w:val="24"/>
          <w:szCs w:val="24"/>
        </w:rPr>
        <w:t xml:space="preserve"> workers</w:t>
      </w:r>
      <w:r w:rsidRPr="00206C87">
        <w:rPr>
          <w:rFonts w:ascii="Times New Roman" w:hAnsi="Times New Roman" w:cs="Times New Roman"/>
          <w:sz w:val="24"/>
          <w:szCs w:val="24"/>
        </w:rPr>
        <w:t>)</w:t>
      </w:r>
    </w:p>
    <w:p w14:paraId="425DAB67" w14:textId="723B38AD" w:rsidR="00FB1BD2" w:rsidRPr="00206C87" w:rsidRDefault="00FB1BD2" w:rsidP="00FB1BD2">
      <w:pPr>
        <w:spacing w:line="240" w:lineRule="auto"/>
        <w:rPr>
          <w:rFonts w:ascii="Times New Roman" w:hAnsi="Times New Roman" w:cs="Times New Roman"/>
          <w:sz w:val="24"/>
          <w:szCs w:val="24"/>
        </w:rPr>
      </w:pPr>
      <w:r w:rsidRPr="00206C87">
        <w:rPr>
          <w:rFonts w:ascii="Times New Roman" w:hAnsi="Times New Roman" w:cs="Times New Roman"/>
          <w:sz w:val="24"/>
          <w:szCs w:val="24"/>
        </w:rPr>
        <w:tab/>
      </w:r>
      <w:r w:rsidR="00D91B79" w:rsidRPr="00206C87">
        <w:rPr>
          <w:rFonts w:ascii="Times New Roman" w:hAnsi="Times New Roman" w:cs="Times New Roman"/>
          <w:sz w:val="24"/>
          <w:szCs w:val="24"/>
        </w:rPr>
        <w:t>2</w:t>
      </w:r>
      <w:r w:rsidRPr="00206C87">
        <w:rPr>
          <w:rFonts w:ascii="Times New Roman" w:hAnsi="Times New Roman" w:cs="Times New Roman"/>
          <w:sz w:val="24"/>
          <w:szCs w:val="24"/>
        </w:rPr>
        <w:t>.3 Ethiopia sector-level growth with industrial park employment</w:t>
      </w:r>
    </w:p>
    <w:p w14:paraId="59537B6E" w14:textId="6F8E3D06" w:rsidR="00F8045C" w:rsidRPr="00206C87" w:rsidRDefault="00F8045C" w:rsidP="00FB1BD2">
      <w:pPr>
        <w:spacing w:line="240" w:lineRule="auto"/>
        <w:rPr>
          <w:rFonts w:ascii="Times New Roman" w:hAnsi="Times New Roman" w:cs="Times New Roman"/>
          <w:sz w:val="24"/>
          <w:szCs w:val="24"/>
        </w:rPr>
      </w:pPr>
      <w:r w:rsidRPr="00206C87">
        <w:rPr>
          <w:rFonts w:ascii="Times New Roman" w:hAnsi="Times New Roman" w:cs="Times New Roman"/>
          <w:sz w:val="24"/>
          <w:szCs w:val="24"/>
        </w:rPr>
        <w:tab/>
      </w:r>
      <w:r w:rsidR="00D91B79" w:rsidRPr="00206C87">
        <w:rPr>
          <w:rFonts w:ascii="Times New Roman" w:hAnsi="Times New Roman" w:cs="Times New Roman"/>
          <w:sz w:val="24"/>
          <w:szCs w:val="24"/>
        </w:rPr>
        <w:t>2</w:t>
      </w:r>
      <w:r w:rsidRPr="00206C87">
        <w:rPr>
          <w:rFonts w:ascii="Times New Roman" w:hAnsi="Times New Roman" w:cs="Times New Roman"/>
          <w:sz w:val="24"/>
          <w:szCs w:val="24"/>
        </w:rPr>
        <w:t xml:space="preserve">.4 Ethiopia tests with seasonal and temporary workers </w:t>
      </w:r>
    </w:p>
    <w:p w14:paraId="2786C01C" w14:textId="668DD715" w:rsidR="004C6CF5" w:rsidRPr="00D9533A" w:rsidRDefault="004C6CF5" w:rsidP="00D9533A">
      <w:pPr>
        <w:pStyle w:val="ListParagraph"/>
        <w:numPr>
          <w:ilvl w:val="1"/>
          <w:numId w:val="15"/>
        </w:numPr>
        <w:spacing w:line="240" w:lineRule="auto"/>
        <w:rPr>
          <w:rFonts w:ascii="Times New Roman" w:hAnsi="Times New Roman" w:cs="Times New Roman"/>
          <w:sz w:val="24"/>
          <w:szCs w:val="24"/>
        </w:rPr>
      </w:pPr>
      <w:r w:rsidRPr="00D9533A">
        <w:rPr>
          <w:rFonts w:ascii="Times New Roman" w:hAnsi="Times New Roman" w:cs="Times New Roman"/>
          <w:sz w:val="24"/>
          <w:szCs w:val="24"/>
        </w:rPr>
        <w:t xml:space="preserve">Payroll share in value added </w:t>
      </w:r>
      <w:r w:rsidR="006A1BE7" w:rsidRPr="00D9533A">
        <w:rPr>
          <w:rFonts w:ascii="Times New Roman" w:hAnsi="Times New Roman" w:cs="Times New Roman"/>
          <w:sz w:val="24"/>
          <w:szCs w:val="24"/>
        </w:rPr>
        <w:t>by region</w:t>
      </w:r>
    </w:p>
    <w:p w14:paraId="5190A6B1" w14:textId="77777777" w:rsidR="002563B4" w:rsidRDefault="002563B4">
      <w:pPr>
        <w:rPr>
          <w:rFonts w:ascii="Times New Roman" w:hAnsi="Times New Roman" w:cs="Times New Roman"/>
          <w:b/>
          <w:bCs/>
          <w:sz w:val="24"/>
          <w:szCs w:val="24"/>
        </w:rPr>
      </w:pPr>
      <w:r>
        <w:rPr>
          <w:rFonts w:ascii="Times New Roman" w:hAnsi="Times New Roman" w:cs="Times New Roman"/>
          <w:b/>
          <w:bCs/>
          <w:sz w:val="24"/>
          <w:szCs w:val="24"/>
        </w:rPr>
        <w:br w:type="page"/>
      </w:r>
    </w:p>
    <w:p w14:paraId="5624E7C5" w14:textId="0985E44A" w:rsidR="00FE0513" w:rsidRPr="00D9533A" w:rsidRDefault="00742C6D" w:rsidP="00D9533A">
      <w:pPr>
        <w:pStyle w:val="ListParagraph"/>
        <w:numPr>
          <w:ilvl w:val="0"/>
          <w:numId w:val="6"/>
        </w:numPr>
        <w:spacing w:line="360" w:lineRule="auto"/>
        <w:rPr>
          <w:rFonts w:ascii="Times New Roman" w:hAnsi="Times New Roman" w:cs="Times New Roman"/>
          <w:b/>
          <w:bCs/>
          <w:sz w:val="24"/>
          <w:szCs w:val="24"/>
        </w:rPr>
      </w:pPr>
      <w:r w:rsidRPr="00D9533A">
        <w:rPr>
          <w:rFonts w:ascii="Times New Roman" w:hAnsi="Times New Roman" w:cs="Times New Roman"/>
          <w:b/>
          <w:bCs/>
          <w:sz w:val="24"/>
          <w:szCs w:val="24"/>
        </w:rPr>
        <w:lastRenderedPageBreak/>
        <w:t>Data description and definitions</w:t>
      </w:r>
      <w:r w:rsidR="00652C49" w:rsidRPr="00D9533A">
        <w:rPr>
          <w:rFonts w:ascii="Times New Roman" w:hAnsi="Times New Roman" w:cs="Times New Roman"/>
        </w:rPr>
        <w:t xml:space="preserve"> </w:t>
      </w:r>
    </w:p>
    <w:p w14:paraId="1DF641D7" w14:textId="1C781673" w:rsidR="00461958" w:rsidRDefault="00461958" w:rsidP="00D9533A">
      <w:pPr>
        <w:pStyle w:val="ListParagraph"/>
        <w:numPr>
          <w:ilvl w:val="0"/>
          <w:numId w:val="16"/>
        </w:numPr>
        <w:spacing w:after="200" w:line="360" w:lineRule="auto"/>
        <w:rPr>
          <w:rFonts w:ascii="Times New Roman" w:hAnsi="Times New Roman" w:cs="Times New Roman"/>
          <w:i/>
          <w:iCs/>
          <w:sz w:val="24"/>
          <w:szCs w:val="24"/>
        </w:rPr>
      </w:pPr>
      <w:r w:rsidRPr="00A7678D">
        <w:rPr>
          <w:rFonts w:ascii="Times New Roman" w:hAnsi="Times New Roman" w:cs="Times New Roman"/>
          <w:i/>
          <w:iCs/>
          <w:sz w:val="24"/>
          <w:szCs w:val="24"/>
        </w:rPr>
        <w:t xml:space="preserve">Adjusting GGDC </w:t>
      </w:r>
      <w:r w:rsidR="00AB40C8">
        <w:rPr>
          <w:rFonts w:ascii="Times New Roman" w:hAnsi="Times New Roman" w:cs="Times New Roman"/>
          <w:i/>
          <w:iCs/>
          <w:sz w:val="24"/>
          <w:szCs w:val="24"/>
        </w:rPr>
        <w:t>Economic Transformation Database (</w:t>
      </w:r>
      <w:r w:rsidRPr="00A7678D">
        <w:rPr>
          <w:rFonts w:ascii="Times New Roman" w:hAnsi="Times New Roman" w:cs="Times New Roman"/>
          <w:i/>
          <w:iCs/>
          <w:sz w:val="24"/>
          <w:szCs w:val="24"/>
        </w:rPr>
        <w:t>ETD</w:t>
      </w:r>
      <w:r w:rsidR="00AB40C8">
        <w:rPr>
          <w:rFonts w:ascii="Times New Roman" w:hAnsi="Times New Roman" w:cs="Times New Roman"/>
          <w:i/>
          <w:iCs/>
          <w:sz w:val="24"/>
          <w:szCs w:val="24"/>
        </w:rPr>
        <w:t>)</w:t>
      </w:r>
      <w:r w:rsidRPr="00A7678D">
        <w:rPr>
          <w:rFonts w:ascii="Times New Roman" w:hAnsi="Times New Roman" w:cs="Times New Roman"/>
          <w:i/>
          <w:iCs/>
          <w:sz w:val="24"/>
          <w:szCs w:val="24"/>
        </w:rPr>
        <w:t xml:space="preserve"> Ethiopia manufacturing employment estimates</w:t>
      </w:r>
    </w:p>
    <w:p w14:paraId="003246AC" w14:textId="77777777" w:rsidR="00AB40C8" w:rsidRDefault="00461958" w:rsidP="00461958">
      <w:pPr>
        <w:spacing w:after="200" w:line="360" w:lineRule="auto"/>
        <w:rPr>
          <w:rFonts w:ascii="Times New Roman" w:hAnsi="Times New Roman" w:cs="Times New Roman"/>
          <w:sz w:val="24"/>
          <w:szCs w:val="24"/>
        </w:rPr>
      </w:pPr>
      <w:r>
        <w:rPr>
          <w:rFonts w:ascii="Times New Roman" w:hAnsi="Times New Roman" w:cs="Times New Roman"/>
          <w:sz w:val="24"/>
          <w:szCs w:val="24"/>
        </w:rPr>
        <w:tab/>
      </w:r>
      <w:r w:rsidRPr="00461958">
        <w:rPr>
          <w:rFonts w:ascii="Times New Roman" w:hAnsi="Times New Roman" w:cs="Times New Roman"/>
          <w:sz w:val="24"/>
          <w:szCs w:val="24"/>
        </w:rPr>
        <w:t>We cross-check the validity of the manufacturing employment estimates using several micro datasets. For Tanzania, we use the census data for 2002 and 2012 combined with the Annual Survey of Industrial Production</w:t>
      </w:r>
      <w:r w:rsidR="00AB40C8">
        <w:rPr>
          <w:rFonts w:ascii="Times New Roman" w:hAnsi="Times New Roman" w:cs="Times New Roman"/>
          <w:sz w:val="24"/>
          <w:szCs w:val="24"/>
        </w:rPr>
        <w:t xml:space="preserve"> (ASIP)</w:t>
      </w:r>
      <w:r w:rsidRPr="00461958">
        <w:rPr>
          <w:rFonts w:ascii="Times New Roman" w:hAnsi="Times New Roman" w:cs="Times New Roman"/>
          <w:sz w:val="24"/>
          <w:szCs w:val="24"/>
        </w:rPr>
        <w:t>. We find that for Tanzania the manufacturing employment numbers in the ETD correspond to the numbers reported in the censuses of 2002 and 2012.</w:t>
      </w:r>
      <w:r>
        <w:rPr>
          <w:rFonts w:ascii="Times New Roman" w:hAnsi="Times New Roman" w:cs="Times New Roman"/>
          <w:sz w:val="24"/>
          <w:szCs w:val="24"/>
        </w:rPr>
        <w:t xml:space="preserve"> </w:t>
      </w:r>
      <w:r w:rsidRPr="00461958">
        <w:rPr>
          <w:rFonts w:ascii="Times New Roman" w:hAnsi="Times New Roman" w:cs="Times New Roman"/>
          <w:sz w:val="24"/>
          <w:szCs w:val="24"/>
        </w:rPr>
        <w:t xml:space="preserve">For Ethiopia, the last census data available is for 2007. </w:t>
      </w:r>
      <w:r w:rsidR="00AB40C8" w:rsidRPr="00461958">
        <w:rPr>
          <w:rFonts w:ascii="Times New Roman" w:hAnsi="Times New Roman" w:cs="Times New Roman"/>
          <w:sz w:val="24"/>
          <w:szCs w:val="24"/>
        </w:rPr>
        <w:t>Thus</w:t>
      </w:r>
      <w:r w:rsidR="00AB40C8">
        <w:rPr>
          <w:rFonts w:ascii="Times New Roman" w:hAnsi="Times New Roman" w:cs="Times New Roman"/>
          <w:sz w:val="24"/>
          <w:szCs w:val="24"/>
        </w:rPr>
        <w:t>,</w:t>
      </w:r>
      <w:r w:rsidR="00AB40C8" w:rsidRPr="00461958">
        <w:rPr>
          <w:rFonts w:ascii="Times New Roman" w:hAnsi="Times New Roman" w:cs="Times New Roman"/>
          <w:sz w:val="24"/>
          <w:szCs w:val="24"/>
        </w:rPr>
        <w:t xml:space="preserve"> </w:t>
      </w:r>
      <w:r w:rsidR="00AB40C8">
        <w:rPr>
          <w:rFonts w:ascii="Times New Roman" w:hAnsi="Times New Roman" w:cs="Times New Roman"/>
          <w:sz w:val="24"/>
          <w:szCs w:val="24"/>
        </w:rPr>
        <w:t>th</w:t>
      </w:r>
      <w:r w:rsidRPr="00461958">
        <w:rPr>
          <w:rFonts w:ascii="Times New Roman" w:hAnsi="Times New Roman" w:cs="Times New Roman"/>
          <w:sz w:val="24"/>
          <w:szCs w:val="24"/>
        </w:rPr>
        <w:t>e three data sources we use</w:t>
      </w:r>
      <w:r w:rsidR="00AB40C8">
        <w:rPr>
          <w:rFonts w:ascii="Times New Roman" w:hAnsi="Times New Roman" w:cs="Times New Roman"/>
          <w:sz w:val="24"/>
          <w:szCs w:val="24"/>
        </w:rPr>
        <w:t>d</w:t>
      </w:r>
      <w:r w:rsidRPr="00461958">
        <w:rPr>
          <w:rFonts w:ascii="Times New Roman" w:hAnsi="Times New Roman" w:cs="Times New Roman"/>
          <w:sz w:val="24"/>
          <w:szCs w:val="24"/>
        </w:rPr>
        <w:t xml:space="preserve"> to estimate aggregate manufacturing employment </w:t>
      </w:r>
      <w:r w:rsidR="00AB40C8">
        <w:rPr>
          <w:rFonts w:ascii="Times New Roman" w:hAnsi="Times New Roman" w:cs="Times New Roman"/>
          <w:sz w:val="24"/>
          <w:szCs w:val="24"/>
        </w:rPr>
        <w:t xml:space="preserve">for Ethiopia </w:t>
      </w:r>
      <w:r w:rsidRPr="00461958">
        <w:rPr>
          <w:rFonts w:ascii="Times New Roman" w:hAnsi="Times New Roman" w:cs="Times New Roman"/>
          <w:sz w:val="24"/>
          <w:szCs w:val="24"/>
        </w:rPr>
        <w:t xml:space="preserve">are: (i) the National Labor Force Survey (LFS), (ii) the </w:t>
      </w:r>
      <w:bookmarkStart w:id="0" w:name="_Hlk111737293"/>
      <w:r w:rsidRPr="00461958">
        <w:rPr>
          <w:rFonts w:ascii="Times New Roman" w:hAnsi="Times New Roman" w:cs="Times New Roman"/>
          <w:sz w:val="24"/>
          <w:szCs w:val="24"/>
        </w:rPr>
        <w:t xml:space="preserve">Living Standards and Measurements Survey-Integrated Agricultural Survey (LSMS-ISA), </w:t>
      </w:r>
      <w:bookmarkEnd w:id="0"/>
      <w:r w:rsidRPr="00461958">
        <w:rPr>
          <w:rFonts w:ascii="Times New Roman" w:hAnsi="Times New Roman" w:cs="Times New Roman"/>
          <w:sz w:val="24"/>
          <w:szCs w:val="24"/>
        </w:rPr>
        <w:t xml:space="preserve">and the Urban Employment and Unemployment (UEU) Survey. </w:t>
      </w:r>
    </w:p>
    <w:p w14:paraId="14B43EB3" w14:textId="77777777" w:rsidR="00AB40C8" w:rsidRDefault="00AB40C8" w:rsidP="00461958">
      <w:pPr>
        <w:spacing w:after="200" w:line="360" w:lineRule="auto"/>
        <w:rPr>
          <w:rFonts w:ascii="Times New Roman" w:hAnsi="Times New Roman" w:cs="Times New Roman"/>
          <w:sz w:val="24"/>
          <w:szCs w:val="24"/>
        </w:rPr>
      </w:pPr>
      <w:r>
        <w:rPr>
          <w:rFonts w:ascii="Times New Roman" w:hAnsi="Times New Roman" w:cs="Times New Roman"/>
          <w:sz w:val="24"/>
          <w:szCs w:val="24"/>
        </w:rPr>
        <w:tab/>
      </w:r>
      <w:r w:rsidR="00461958" w:rsidRPr="00461958">
        <w:rPr>
          <w:rFonts w:ascii="Times New Roman" w:hAnsi="Times New Roman" w:cs="Times New Roman"/>
          <w:sz w:val="24"/>
          <w:szCs w:val="24"/>
        </w:rPr>
        <w:t xml:space="preserve">Of these three surveys, the UEU surveys were conducted 9 times between 2002 and 2016. The UEU surveys have a consistent sampling framework with a relatively large sample size—more than 15,000 surveyed urban households in the early years and reaching to about 20,000 in the recent years (2011-2016). Moreover, the urban employment portion of the LFS adopted the same sampling framework as the UEU surveys and was conducted in 1999, 2005 and 2013, the years there is no UEU survey. Thus, we decided to directly use UEU surveys in 2002-2016 in combination with LFS for 1999, 2005, and 2013 to estimate manufacturing urban employment.  </w:t>
      </w:r>
    </w:p>
    <w:p w14:paraId="0CCB530D" w14:textId="01E3FDA2" w:rsidR="00461958" w:rsidRPr="00461958" w:rsidRDefault="00AB40C8" w:rsidP="00461958">
      <w:pPr>
        <w:spacing w:after="200" w:line="360" w:lineRule="auto"/>
        <w:rPr>
          <w:rFonts w:ascii="Times New Roman" w:hAnsi="Times New Roman" w:cs="Times New Roman"/>
          <w:sz w:val="24"/>
          <w:szCs w:val="24"/>
        </w:rPr>
      </w:pPr>
      <w:r>
        <w:rPr>
          <w:rFonts w:ascii="Times New Roman" w:hAnsi="Times New Roman" w:cs="Times New Roman"/>
          <w:sz w:val="24"/>
          <w:szCs w:val="24"/>
        </w:rPr>
        <w:tab/>
      </w:r>
      <w:r w:rsidR="00461958" w:rsidRPr="00461958">
        <w:rPr>
          <w:rFonts w:ascii="Times New Roman" w:hAnsi="Times New Roman" w:cs="Times New Roman"/>
          <w:sz w:val="24"/>
          <w:szCs w:val="24"/>
        </w:rPr>
        <w:t xml:space="preserve">In the UEU, we record employment based on individuals’ primary activity in the last 7 days.  The UEU surveys do also ask about employment status in the last 6 months but do not ask about sector in a way that allows us to identify manufacturing. The 7-day definition is preferred regardless because the employment definition used in the ETD includes both permanent and temporary workers for all sectors. Many urban workers can have multiple jobs (in different sectors) or not work throughout the year, and the 7-day definition better captures both permanent and temporary workers. To be consistent with other sectors in ETD, when we directly use UEU data, we include both permanent and temporary workers in our estimates. We also limit all data sources to individuals aged 10 and older, which is consistent with the country’s official reports on employment from various surveys. Table </w:t>
      </w:r>
      <w:r w:rsidR="00820262">
        <w:rPr>
          <w:rFonts w:ascii="Times New Roman" w:hAnsi="Times New Roman" w:cs="Times New Roman"/>
          <w:sz w:val="24"/>
          <w:szCs w:val="24"/>
        </w:rPr>
        <w:t>1.</w:t>
      </w:r>
      <w:r w:rsidR="00461958" w:rsidRPr="00461958">
        <w:rPr>
          <w:rFonts w:ascii="Times New Roman" w:hAnsi="Times New Roman" w:cs="Times New Roman"/>
          <w:sz w:val="24"/>
          <w:szCs w:val="24"/>
        </w:rPr>
        <w:t xml:space="preserve">1 shows our final estimates of urban manufacturing employment. </w:t>
      </w:r>
    </w:p>
    <w:p w14:paraId="3229815D" w14:textId="1292354B" w:rsidR="00461958" w:rsidRPr="00461958" w:rsidRDefault="00461958" w:rsidP="00461958">
      <w:pPr>
        <w:spacing w:after="200"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Pr="00461958">
        <w:rPr>
          <w:rFonts w:ascii="Times New Roman" w:hAnsi="Times New Roman" w:cs="Times New Roman"/>
          <w:sz w:val="24"/>
          <w:szCs w:val="24"/>
        </w:rPr>
        <w:t xml:space="preserve">To estimate rural manufacturing </w:t>
      </w:r>
      <w:proofErr w:type="gramStart"/>
      <w:r w:rsidRPr="00461958">
        <w:rPr>
          <w:rFonts w:ascii="Times New Roman" w:hAnsi="Times New Roman" w:cs="Times New Roman"/>
          <w:sz w:val="24"/>
          <w:szCs w:val="24"/>
        </w:rPr>
        <w:t>employment</w:t>
      </w:r>
      <w:proofErr w:type="gramEnd"/>
      <w:r w:rsidRPr="00461958">
        <w:rPr>
          <w:rFonts w:ascii="Times New Roman" w:hAnsi="Times New Roman" w:cs="Times New Roman"/>
          <w:sz w:val="24"/>
          <w:szCs w:val="24"/>
        </w:rPr>
        <w:t xml:space="preserve"> we use both the LFS and the LSMS-ISA data; the latter data were collected for 2012, 2014</w:t>
      </w:r>
      <w:r w:rsidR="00AB40C8">
        <w:rPr>
          <w:rFonts w:ascii="Times New Roman" w:hAnsi="Times New Roman" w:cs="Times New Roman"/>
          <w:sz w:val="24"/>
          <w:szCs w:val="24"/>
        </w:rPr>
        <w:t>,</w:t>
      </w:r>
      <w:r w:rsidRPr="00461958">
        <w:rPr>
          <w:rFonts w:ascii="Times New Roman" w:hAnsi="Times New Roman" w:cs="Times New Roman"/>
          <w:sz w:val="24"/>
          <w:szCs w:val="24"/>
        </w:rPr>
        <w:t xml:space="preserve"> and 2016. The totals of rural manufacturing employment in the LFS are hard to compare over time. The number of workers is 728,102 in 1999 and jumps to 1,037,262 in 2005—increasing by more than 40 percent over six years—before falling to 982,762 in 2013. Moreover, the rural manufacturing employment numbers in both 1999 and 2005 seem unreasonably high compared to the urban manufacturing employment numbers, which are 379,253 in 1999 and 489,484 in 2005. </w:t>
      </w:r>
    </w:p>
    <w:p w14:paraId="7D54934A" w14:textId="15528ABF" w:rsidR="00461958" w:rsidRPr="00461958" w:rsidRDefault="00461958" w:rsidP="00461958">
      <w:pPr>
        <w:spacing w:after="200" w:line="360" w:lineRule="auto"/>
        <w:rPr>
          <w:rFonts w:ascii="Times New Roman" w:hAnsi="Times New Roman" w:cs="Times New Roman"/>
          <w:sz w:val="24"/>
          <w:szCs w:val="24"/>
        </w:rPr>
      </w:pPr>
      <w:r>
        <w:rPr>
          <w:rFonts w:ascii="Times New Roman" w:hAnsi="Times New Roman" w:cs="Times New Roman"/>
          <w:sz w:val="24"/>
          <w:szCs w:val="24"/>
        </w:rPr>
        <w:tab/>
      </w:r>
      <w:r w:rsidRPr="00461958">
        <w:rPr>
          <w:rFonts w:ascii="Times New Roman" w:hAnsi="Times New Roman" w:cs="Times New Roman"/>
          <w:sz w:val="24"/>
          <w:szCs w:val="24"/>
        </w:rPr>
        <w:t>To better assess the rural manufacturing employment trends, we used the microdata for the LFS in all three rounds. Manufacturing is defined by International Standard Industrial Classification (ISIC) 2-digit codes assigned after workers report the main good or service of the firms they work for; in ISIC revision 3, groups 15-37 fall under manufacturing.  The trend in food processing (ISIC code 15) employment in the LFS looks particularly unusual—the number in 2005 more than triples that in 1999, while the number in 2013 is less than 30 percent of that in 2005. This causes the share of food processing and beverages in total manufacturing employment to go from 17 percent in 1999 to 45 percent in 2005 before falling to 16 percent in 2013. In comparison, the 2007 Rural Investment Climate Survey – Annual Agricultural Sample Survey (RICS-AGSS) indicates that 55 percent of rural non-farm manufacturing enterprises are engaged in food processing (</w:t>
      </w:r>
      <w:proofErr w:type="spellStart"/>
      <w:r w:rsidRPr="00461958">
        <w:rPr>
          <w:rFonts w:ascii="Times New Roman" w:hAnsi="Times New Roman" w:cs="Times New Roman"/>
          <w:sz w:val="24"/>
          <w:szCs w:val="24"/>
        </w:rPr>
        <w:t>Loening</w:t>
      </w:r>
      <w:proofErr w:type="spellEnd"/>
      <w:r w:rsidRPr="00461958">
        <w:rPr>
          <w:rFonts w:ascii="Times New Roman" w:hAnsi="Times New Roman" w:cs="Times New Roman"/>
          <w:sz w:val="24"/>
          <w:szCs w:val="24"/>
        </w:rPr>
        <w:t xml:space="preserve">, Rijkers, </w:t>
      </w:r>
      <w:proofErr w:type="spellStart"/>
      <w:r w:rsidRPr="00461958">
        <w:rPr>
          <w:rFonts w:ascii="Times New Roman" w:hAnsi="Times New Roman" w:cs="Times New Roman"/>
          <w:sz w:val="24"/>
          <w:szCs w:val="24"/>
        </w:rPr>
        <w:t>Soderbom</w:t>
      </w:r>
      <w:proofErr w:type="spellEnd"/>
      <w:r w:rsidRPr="00461958">
        <w:rPr>
          <w:rFonts w:ascii="Times New Roman" w:hAnsi="Times New Roman" w:cs="Times New Roman"/>
          <w:sz w:val="24"/>
          <w:szCs w:val="24"/>
        </w:rPr>
        <w:t xml:space="preserve"> 2008). </w:t>
      </w:r>
    </w:p>
    <w:p w14:paraId="30A37B2A" w14:textId="30802938" w:rsidR="00461958" w:rsidRPr="00461958" w:rsidRDefault="00461958" w:rsidP="00461958">
      <w:pPr>
        <w:spacing w:after="200" w:line="360" w:lineRule="auto"/>
        <w:rPr>
          <w:rFonts w:ascii="Times New Roman" w:hAnsi="Times New Roman" w:cs="Times New Roman"/>
          <w:sz w:val="24"/>
          <w:szCs w:val="24"/>
        </w:rPr>
      </w:pPr>
      <w:r>
        <w:rPr>
          <w:rFonts w:ascii="Times New Roman" w:hAnsi="Times New Roman" w:cs="Times New Roman"/>
          <w:sz w:val="24"/>
          <w:szCs w:val="24"/>
        </w:rPr>
        <w:tab/>
      </w:r>
      <w:r w:rsidRPr="00461958">
        <w:rPr>
          <w:rFonts w:ascii="Times New Roman" w:hAnsi="Times New Roman" w:cs="Times New Roman"/>
          <w:sz w:val="24"/>
          <w:szCs w:val="24"/>
        </w:rPr>
        <w:t xml:space="preserve">The LFS data also </w:t>
      </w:r>
      <w:r w:rsidR="00AB40C8">
        <w:rPr>
          <w:rFonts w:ascii="Times New Roman" w:hAnsi="Times New Roman" w:cs="Times New Roman"/>
          <w:sz w:val="24"/>
          <w:szCs w:val="24"/>
        </w:rPr>
        <w:t>have</w:t>
      </w:r>
      <w:r w:rsidRPr="00461958">
        <w:rPr>
          <w:rFonts w:ascii="Times New Roman" w:hAnsi="Times New Roman" w:cs="Times New Roman"/>
          <w:sz w:val="24"/>
          <w:szCs w:val="24"/>
        </w:rPr>
        <w:t xml:space="preserve"> information for occupation. To better understand the LFS data and its changes over time, we further looked at the occupation codes in the data. Occupation is defined according to International Standard Classification of Occupations (ISCO) 3 and 4-digit codes.  We first note that the cross-tabulation of workers in ISCO and ISIC categories does not help us reconcile the trend in rural food processing. The ISCO occupation group ‘Food processing and related trades workers’ has a similarly unusual trend when compared to what we find from the sector (ISIC) classification—both the level of employment and allocation of workers to sector changes in ways that are difficult to believe over time. Total rural employment in food processing, defined by occupation (ISCO), falls from 1.6 million in 1999 to 586,000 in 2005 and 263,000 in 2013. Of those workers, in 1999 only 8 percent were classified in manufacturing by sector (ISIC) while in 2005 it is 43 percent and in 2013 is 32 percent. Therefore, employment that is defined as rural food processing according to occupation (ISCO) </w:t>
      </w:r>
      <w:r w:rsidRPr="00461958">
        <w:rPr>
          <w:rFonts w:ascii="Times New Roman" w:hAnsi="Times New Roman" w:cs="Times New Roman"/>
          <w:sz w:val="24"/>
          <w:szCs w:val="24"/>
        </w:rPr>
        <w:lastRenderedPageBreak/>
        <w:t xml:space="preserve">and that also falls under manufacturing according to sector (ISIC) goes from 133,000 in 1999 to 255,000 in 2005, then 85,000 in 2013. Regardless of whether we use the sector (ISIC) or occupation (ISCO) definition of rural food processing employment, we find the decline in the number of workers over time and the share of food processing employment remains low relative to the RICS-AGSS estimates. </w:t>
      </w:r>
    </w:p>
    <w:p w14:paraId="0AB8C8B6" w14:textId="04C3D7EA" w:rsidR="00461958" w:rsidRPr="00461958" w:rsidRDefault="00461958" w:rsidP="00461958">
      <w:pPr>
        <w:spacing w:after="200" w:line="360" w:lineRule="auto"/>
        <w:rPr>
          <w:rFonts w:ascii="Times New Roman" w:hAnsi="Times New Roman" w:cs="Times New Roman"/>
          <w:sz w:val="24"/>
          <w:szCs w:val="24"/>
        </w:rPr>
      </w:pPr>
      <w:r>
        <w:rPr>
          <w:rFonts w:ascii="Times New Roman" w:hAnsi="Times New Roman" w:cs="Times New Roman"/>
          <w:sz w:val="24"/>
          <w:szCs w:val="24"/>
        </w:rPr>
        <w:tab/>
      </w:r>
      <w:r w:rsidRPr="00461958">
        <w:rPr>
          <w:rFonts w:ascii="Times New Roman" w:hAnsi="Times New Roman" w:cs="Times New Roman"/>
          <w:sz w:val="24"/>
          <w:szCs w:val="24"/>
        </w:rPr>
        <w:t xml:space="preserve">We therefore focus only on non-food processing manufacturing employment in the LFS micro data. Using the same cross-tabulation of sector (ISIC 2-digit code) and occupation (ISCO 3 and 4-digit codes) we make some adjustments to the level of rural non-food processing manufacturing employment. Specifically, we remove ‘Potters, glass-makers and related trades workers’ and ‘Wood treaters, </w:t>
      </w:r>
      <w:proofErr w:type="gramStart"/>
      <w:r w:rsidRPr="00461958">
        <w:rPr>
          <w:rFonts w:ascii="Times New Roman" w:hAnsi="Times New Roman" w:cs="Times New Roman"/>
          <w:sz w:val="24"/>
          <w:szCs w:val="24"/>
        </w:rPr>
        <w:t>cabinetmakers</w:t>
      </w:r>
      <w:proofErr w:type="gramEnd"/>
      <w:r w:rsidRPr="00461958">
        <w:rPr>
          <w:rFonts w:ascii="Times New Roman" w:hAnsi="Times New Roman" w:cs="Times New Roman"/>
          <w:sz w:val="24"/>
          <w:szCs w:val="24"/>
        </w:rPr>
        <w:t xml:space="preserve"> and related trades workers’ because these classifications mix manufacturing employment with non-manufacturing employment. </w:t>
      </w:r>
    </w:p>
    <w:p w14:paraId="6DF8A869" w14:textId="761BA200" w:rsidR="00461958" w:rsidRPr="00461958" w:rsidRDefault="00AB40C8" w:rsidP="00461958">
      <w:pPr>
        <w:spacing w:after="200" w:line="360" w:lineRule="auto"/>
        <w:rPr>
          <w:rFonts w:ascii="Times New Roman" w:hAnsi="Times New Roman" w:cs="Times New Roman"/>
          <w:sz w:val="24"/>
          <w:szCs w:val="24"/>
        </w:rPr>
      </w:pPr>
      <w:r>
        <w:rPr>
          <w:rFonts w:ascii="Times New Roman" w:hAnsi="Times New Roman" w:cs="Times New Roman"/>
          <w:sz w:val="24"/>
          <w:szCs w:val="24"/>
        </w:rPr>
        <w:tab/>
      </w:r>
      <w:r w:rsidR="00461958" w:rsidRPr="00461958">
        <w:rPr>
          <w:rFonts w:ascii="Times New Roman" w:hAnsi="Times New Roman" w:cs="Times New Roman"/>
          <w:sz w:val="24"/>
          <w:szCs w:val="24"/>
        </w:rPr>
        <w:t xml:space="preserve">We then make a few additional adjustments based on the ISCO-ISIC cross-tabulation. Though there is no direct concordance between sector and occupation, there are certain categories that we expect (or do not expect) to be mapped to one another. For example, we expect workers within the ISCO group ‘manufacturing laborers’ will be classified into an ISIC sector within manufacturing. However, in 2013 there are 72,729 manufacturing laborers in total in this occupation group but only 13,526 of them are classified into manufacturing sector according to the ISIC code. We therefore move all workers reported as ‘manufacturing laborers’ in this occupation group into the manufacturing sector. We also move workers out of the manufacturing sector as appropriate—for example, in 2013 there are 49,147 workers in the occupation group called ‘cashiers and ticket clerks’ that are assigned to the manufacturing sector. We remove those workers from manufacturing. We made such adjustments consistently for all three years of LFS data and the total rural non-food processing manufacturing employment numbers estimated from this process are shown in table </w:t>
      </w:r>
      <w:r w:rsidR="00820262">
        <w:rPr>
          <w:rFonts w:ascii="Times New Roman" w:hAnsi="Times New Roman" w:cs="Times New Roman"/>
          <w:sz w:val="24"/>
          <w:szCs w:val="24"/>
        </w:rPr>
        <w:t>1.2</w:t>
      </w:r>
      <w:r w:rsidR="00461958" w:rsidRPr="00461958">
        <w:rPr>
          <w:rFonts w:ascii="Times New Roman" w:hAnsi="Times New Roman" w:cs="Times New Roman"/>
          <w:sz w:val="24"/>
          <w:szCs w:val="24"/>
        </w:rPr>
        <w:t xml:space="preserve">. For comparative purposes, we also include the shares of trade service employment in total rural employment in the unadjusted LFS data. The employment numbers from the sample of the LFS are limited to workers aged 10 or older and use the same 7-day definition of employment as the UEU. The LFS does also ask about employment in the last 12 months but in 1999 it does not ask about sector, so we are unable to identify employment for manufacturing from the 12-mouth definition.  </w:t>
      </w:r>
    </w:p>
    <w:p w14:paraId="7761AA1E" w14:textId="0D85C9E0" w:rsidR="00461958" w:rsidRPr="00461958" w:rsidRDefault="00461958" w:rsidP="00461958">
      <w:pPr>
        <w:spacing w:after="200"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Pr="00461958">
        <w:rPr>
          <w:rFonts w:ascii="Times New Roman" w:hAnsi="Times New Roman" w:cs="Times New Roman"/>
          <w:sz w:val="24"/>
          <w:szCs w:val="24"/>
        </w:rPr>
        <w:t>To get estimates of rural food processing employment we rely on the LSMS-ISA, also known as the Ethiopia Socioeconomic Survey. We are not able to use the LSMS-ISA as the sole source of rural manufacturing employment because its coverage of non-food related manufacturing is minimal. Around 70 percent of rural household manufacturing enterprises in the LSMS-ISA report being engaged in agricultural processing, which is higher than the share of agricultural processing in manufacturing reported by the RICS-AGSS (</w:t>
      </w:r>
      <w:proofErr w:type="spellStart"/>
      <w:r w:rsidRPr="00461958">
        <w:rPr>
          <w:rFonts w:ascii="Times New Roman" w:hAnsi="Times New Roman" w:cs="Times New Roman"/>
          <w:sz w:val="24"/>
          <w:szCs w:val="24"/>
        </w:rPr>
        <w:t>Loening</w:t>
      </w:r>
      <w:proofErr w:type="spellEnd"/>
      <w:r w:rsidRPr="00461958">
        <w:rPr>
          <w:rFonts w:ascii="Times New Roman" w:hAnsi="Times New Roman" w:cs="Times New Roman"/>
          <w:sz w:val="24"/>
          <w:szCs w:val="24"/>
        </w:rPr>
        <w:t xml:space="preserve">, Rijkers, </w:t>
      </w:r>
      <w:proofErr w:type="spellStart"/>
      <w:r w:rsidRPr="00461958">
        <w:rPr>
          <w:rFonts w:ascii="Times New Roman" w:hAnsi="Times New Roman" w:cs="Times New Roman"/>
          <w:sz w:val="24"/>
          <w:szCs w:val="24"/>
        </w:rPr>
        <w:t>Soderbom</w:t>
      </w:r>
      <w:proofErr w:type="spellEnd"/>
      <w:r w:rsidRPr="00461958">
        <w:rPr>
          <w:rFonts w:ascii="Times New Roman" w:hAnsi="Times New Roman" w:cs="Times New Roman"/>
          <w:sz w:val="24"/>
          <w:szCs w:val="24"/>
        </w:rPr>
        <w:t xml:space="preserve"> 2008). We use the LSMS-ISA microdata and limit the sample to rural household manufacturing enterprises that process agricultural items for our estimates of rural food processing employment. Specifically, among the rural households with manufacturing enterprises that also report that they process agricultural goods, we first record the number of these households’ members working in their establishments. We then combine this number with </w:t>
      </w:r>
      <w:r w:rsidR="00AB40C8">
        <w:rPr>
          <w:rFonts w:ascii="Times New Roman" w:hAnsi="Times New Roman" w:cs="Times New Roman"/>
          <w:sz w:val="24"/>
          <w:szCs w:val="24"/>
        </w:rPr>
        <w:t xml:space="preserve">the </w:t>
      </w:r>
      <w:r w:rsidRPr="00461958">
        <w:rPr>
          <w:rFonts w:ascii="Times New Roman" w:hAnsi="Times New Roman" w:cs="Times New Roman"/>
          <w:sz w:val="24"/>
          <w:szCs w:val="24"/>
        </w:rPr>
        <w:t xml:space="preserve">number of rural persons engaged in manufacturing wage work outside the household to get the total number of rural food processing employment. </w:t>
      </w:r>
    </w:p>
    <w:p w14:paraId="355B6CA9" w14:textId="3CA2B198" w:rsidR="00AB40C8" w:rsidRDefault="00461958" w:rsidP="00461958">
      <w:pPr>
        <w:spacing w:after="200" w:line="360" w:lineRule="auto"/>
        <w:rPr>
          <w:rFonts w:ascii="Times New Roman" w:hAnsi="Times New Roman" w:cs="Times New Roman"/>
          <w:sz w:val="24"/>
          <w:szCs w:val="24"/>
        </w:rPr>
      </w:pPr>
      <w:r>
        <w:rPr>
          <w:rFonts w:ascii="Times New Roman" w:hAnsi="Times New Roman" w:cs="Times New Roman"/>
          <w:sz w:val="24"/>
          <w:szCs w:val="24"/>
        </w:rPr>
        <w:tab/>
      </w:r>
      <w:r w:rsidRPr="00461958">
        <w:rPr>
          <w:rFonts w:ascii="Times New Roman" w:hAnsi="Times New Roman" w:cs="Times New Roman"/>
          <w:sz w:val="24"/>
          <w:szCs w:val="24"/>
        </w:rPr>
        <w:t xml:space="preserve">It is common for rural household members to work both on farm and off-farm, and for off-farm activities, it is common for a household member to do multiple tasks. To avoid double counting, we count an individual’s work in a household non-farm enterprise only if they do not report doing any wage work in any sector, including non-manufacturing outside the household. Like with our other data sources, we limit the sample to individuals aged 10 and older. Table </w:t>
      </w:r>
      <w:r w:rsidR="00820262">
        <w:rPr>
          <w:rFonts w:ascii="Times New Roman" w:hAnsi="Times New Roman" w:cs="Times New Roman"/>
          <w:sz w:val="24"/>
          <w:szCs w:val="24"/>
        </w:rPr>
        <w:t>1.</w:t>
      </w:r>
      <w:r w:rsidRPr="00461958">
        <w:rPr>
          <w:rFonts w:ascii="Times New Roman" w:hAnsi="Times New Roman" w:cs="Times New Roman"/>
          <w:sz w:val="24"/>
          <w:szCs w:val="24"/>
        </w:rPr>
        <w:t xml:space="preserve">3 shows the estimates from the LSMS data, reporting both the number of households and number of persons working in manufacturing and </w:t>
      </w:r>
      <w:proofErr w:type="spellStart"/>
      <w:r w:rsidRPr="00461958">
        <w:rPr>
          <w:rFonts w:ascii="Times New Roman" w:hAnsi="Times New Roman" w:cs="Times New Roman"/>
          <w:sz w:val="24"/>
          <w:szCs w:val="24"/>
        </w:rPr>
        <w:t>agri</w:t>
      </w:r>
      <w:proofErr w:type="spellEnd"/>
      <w:r w:rsidRPr="00461958">
        <w:rPr>
          <w:rFonts w:ascii="Times New Roman" w:hAnsi="Times New Roman" w:cs="Times New Roman"/>
          <w:sz w:val="24"/>
          <w:szCs w:val="24"/>
        </w:rPr>
        <w:t xml:space="preserve">-processing. </w:t>
      </w:r>
    </w:p>
    <w:p w14:paraId="78C84957" w14:textId="1FA41C21" w:rsidR="00461958" w:rsidRPr="00461958" w:rsidRDefault="00AB40C8" w:rsidP="00461958">
      <w:pPr>
        <w:spacing w:after="200" w:line="360" w:lineRule="auto"/>
        <w:rPr>
          <w:rFonts w:ascii="Times New Roman" w:hAnsi="Times New Roman" w:cs="Times New Roman"/>
          <w:sz w:val="24"/>
          <w:szCs w:val="24"/>
        </w:rPr>
      </w:pPr>
      <w:r>
        <w:rPr>
          <w:rFonts w:ascii="Times New Roman" w:hAnsi="Times New Roman" w:cs="Times New Roman"/>
          <w:sz w:val="24"/>
          <w:szCs w:val="24"/>
        </w:rPr>
        <w:tab/>
      </w:r>
      <w:r w:rsidR="00461958" w:rsidRPr="00461958">
        <w:rPr>
          <w:rFonts w:ascii="Times New Roman" w:hAnsi="Times New Roman" w:cs="Times New Roman"/>
          <w:sz w:val="24"/>
          <w:szCs w:val="24"/>
        </w:rPr>
        <w:t xml:space="preserve">We then use the annual growth rate between 1999 and 2005 rounds of the LFS to get non-food processing manufacturing employment numbers for 2000-2005, and annual growth rate between 2005 and 2013 rounds of the LFS to get non-food processing employment numbers for 2006-2016. Similarly, the growth rate between the 2012 and 2016 rounds of the LSMS is used to estimate rural food processing employment in 2000-2016. The sum of these two series is our estimate of total rural manufacturing employment in 2000-2016. Combined with the estimates of urban manufacturing employment explained above, we obtain total manufacturing employment numbers for the period 2000 to2016. The final numbers as a result of this process are shown in table </w:t>
      </w:r>
      <w:r w:rsidR="00820262">
        <w:rPr>
          <w:rFonts w:ascii="Times New Roman" w:hAnsi="Times New Roman" w:cs="Times New Roman"/>
          <w:sz w:val="24"/>
          <w:szCs w:val="24"/>
        </w:rPr>
        <w:t>1.</w:t>
      </w:r>
      <w:r w:rsidR="00461958" w:rsidRPr="00461958">
        <w:rPr>
          <w:rFonts w:ascii="Times New Roman" w:hAnsi="Times New Roman" w:cs="Times New Roman"/>
          <w:sz w:val="24"/>
          <w:szCs w:val="24"/>
        </w:rPr>
        <w:t xml:space="preserve">4. </w:t>
      </w:r>
    </w:p>
    <w:p w14:paraId="36B285F8" w14:textId="18A83471" w:rsidR="00461958" w:rsidRPr="00461958" w:rsidRDefault="00461958" w:rsidP="00461958">
      <w:pPr>
        <w:spacing w:after="200"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Pr="00461958">
        <w:rPr>
          <w:rFonts w:ascii="Times New Roman" w:hAnsi="Times New Roman" w:cs="Times New Roman"/>
          <w:sz w:val="24"/>
          <w:szCs w:val="24"/>
        </w:rPr>
        <w:t xml:space="preserve">The result of this estimation is a reduction in manufacturing employment levels in all years between 2000 and 2016, and particularly in recent years, relative to the ETD; this is shown in </w:t>
      </w:r>
      <w:r w:rsidR="00820262">
        <w:rPr>
          <w:rFonts w:ascii="Times New Roman" w:hAnsi="Times New Roman" w:cs="Times New Roman"/>
          <w:sz w:val="24"/>
          <w:szCs w:val="24"/>
        </w:rPr>
        <w:t>f</w:t>
      </w:r>
      <w:r w:rsidRPr="00461958">
        <w:rPr>
          <w:rFonts w:ascii="Times New Roman" w:hAnsi="Times New Roman" w:cs="Times New Roman"/>
          <w:sz w:val="24"/>
          <w:szCs w:val="24"/>
        </w:rPr>
        <w:t xml:space="preserve">igure </w:t>
      </w:r>
      <w:r w:rsidR="00820262">
        <w:rPr>
          <w:rFonts w:ascii="Times New Roman" w:hAnsi="Times New Roman" w:cs="Times New Roman"/>
          <w:sz w:val="24"/>
          <w:szCs w:val="24"/>
        </w:rPr>
        <w:t>1.</w:t>
      </w:r>
      <w:r w:rsidRPr="00461958">
        <w:rPr>
          <w:rFonts w:ascii="Times New Roman" w:hAnsi="Times New Roman" w:cs="Times New Roman"/>
          <w:sz w:val="24"/>
          <w:szCs w:val="24"/>
        </w:rPr>
        <w:t xml:space="preserve">1. In 2016 our new estimate of employment is just above 3 million workers, a significant decrease from the 4.3 million in the ETD. In 2000 we estimate 817 thousand workers, also lower than the one million workers in the ETD in 2000. Given that we have not identified any issue with the economywide aggregate employment levels over time and the fact that labor productivity growth in trade services is unbelievably high, we do not adjust economywide total employment numbers in ETD and instead moved the adjusted workers from manufacturing into trade services. With this change, the level of manufacturing labor productivity is still lower than it is in the trade services, while it is about 50-100 percent higher than the level of agricultural labor productivity. </w:t>
      </w:r>
    </w:p>
    <w:p w14:paraId="20EB7B6E" w14:textId="2DC69FD9" w:rsidR="00461958" w:rsidRPr="00461958" w:rsidRDefault="00461958" w:rsidP="00461958">
      <w:pPr>
        <w:spacing w:after="200" w:line="360" w:lineRule="auto"/>
        <w:rPr>
          <w:rFonts w:ascii="Times New Roman" w:hAnsi="Times New Roman" w:cs="Times New Roman"/>
          <w:sz w:val="24"/>
          <w:szCs w:val="24"/>
        </w:rPr>
      </w:pPr>
      <w:r>
        <w:rPr>
          <w:rFonts w:ascii="Times New Roman" w:hAnsi="Times New Roman" w:cs="Times New Roman"/>
          <w:sz w:val="24"/>
          <w:szCs w:val="24"/>
        </w:rPr>
        <w:tab/>
      </w:r>
      <w:r w:rsidRPr="00461958">
        <w:rPr>
          <w:rFonts w:ascii="Times New Roman" w:hAnsi="Times New Roman" w:cs="Times New Roman"/>
          <w:sz w:val="24"/>
          <w:szCs w:val="24"/>
        </w:rPr>
        <w:t xml:space="preserve">Figure </w:t>
      </w:r>
      <w:r w:rsidR="00820262">
        <w:rPr>
          <w:rFonts w:ascii="Times New Roman" w:hAnsi="Times New Roman" w:cs="Times New Roman"/>
          <w:sz w:val="24"/>
          <w:szCs w:val="24"/>
        </w:rPr>
        <w:t>1.2</w:t>
      </w:r>
      <w:r w:rsidRPr="00461958">
        <w:rPr>
          <w:rFonts w:ascii="Times New Roman" w:hAnsi="Times New Roman" w:cs="Times New Roman"/>
          <w:sz w:val="24"/>
          <w:szCs w:val="24"/>
        </w:rPr>
        <w:t xml:space="preserve"> is used for further assessing whether our new estimates make better sense than the previous approach. In </w:t>
      </w:r>
      <w:r w:rsidR="00820262">
        <w:rPr>
          <w:rFonts w:ascii="Times New Roman" w:hAnsi="Times New Roman" w:cs="Times New Roman"/>
          <w:sz w:val="24"/>
          <w:szCs w:val="24"/>
        </w:rPr>
        <w:t>figure 1.2</w:t>
      </w:r>
      <w:r w:rsidRPr="00461958">
        <w:rPr>
          <w:rFonts w:ascii="Times New Roman" w:hAnsi="Times New Roman" w:cs="Times New Roman"/>
          <w:sz w:val="24"/>
          <w:szCs w:val="24"/>
        </w:rPr>
        <w:t xml:space="preserve"> we display the levels of manufacturing employment for large and medium sized firms using the data from the Large and Medium Scale Manufacturing (LMSM) survey, the rest of urban manufacturing (that is the difference between total urban manufacturing employment using the data of UEU and LFS and employment of large and medium-sized firms ), the rural manufacturing employment (obtained from the approach explained above), and national total manufacturing employment from our new estimates. The almost identical trends between the rest of the urban and total rural employment give us more confidence for the new approach we use to separately estimate urban and rural manufacturing employment.     </w:t>
      </w:r>
    </w:p>
    <w:p w14:paraId="29716D8B" w14:textId="2DDCD5C7" w:rsidR="006F55B7" w:rsidRPr="00C024FA" w:rsidRDefault="0061517C" w:rsidP="00D9533A">
      <w:pPr>
        <w:pStyle w:val="ListParagraph"/>
        <w:numPr>
          <w:ilvl w:val="0"/>
          <w:numId w:val="16"/>
        </w:numPr>
        <w:spacing w:after="200" w:line="360" w:lineRule="auto"/>
        <w:rPr>
          <w:rFonts w:ascii="Times New Roman" w:hAnsi="Times New Roman" w:cs="Times New Roman"/>
          <w:i/>
          <w:iCs/>
          <w:sz w:val="24"/>
          <w:szCs w:val="24"/>
        </w:rPr>
      </w:pPr>
      <w:r>
        <w:rPr>
          <w:rFonts w:ascii="Times New Roman" w:hAnsi="Times New Roman" w:cs="Times New Roman"/>
          <w:i/>
          <w:iCs/>
          <w:sz w:val="24"/>
          <w:szCs w:val="24"/>
        </w:rPr>
        <w:t>ASIP c</w:t>
      </w:r>
      <w:r w:rsidR="006F55B7" w:rsidRPr="00C024FA">
        <w:rPr>
          <w:rFonts w:ascii="Times New Roman" w:hAnsi="Times New Roman" w:cs="Times New Roman"/>
          <w:i/>
          <w:iCs/>
          <w:sz w:val="24"/>
          <w:szCs w:val="24"/>
        </w:rPr>
        <w:t>ensus coverage</w:t>
      </w:r>
    </w:p>
    <w:p w14:paraId="38FFE73E" w14:textId="7D4C426E" w:rsidR="006F55B7" w:rsidRPr="00C024FA" w:rsidRDefault="002C50BC" w:rsidP="00C024FA">
      <w:pPr>
        <w:spacing w:after="20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ASIP is </w:t>
      </w:r>
      <w:r w:rsidR="006F55B7" w:rsidRPr="00C024FA">
        <w:rPr>
          <w:rFonts w:ascii="Times New Roman" w:hAnsi="Times New Roman" w:cs="Times New Roman"/>
          <w:sz w:val="24"/>
          <w:szCs w:val="24"/>
        </w:rPr>
        <w:t xml:space="preserve">meant to cover all </w:t>
      </w:r>
      <w:r>
        <w:rPr>
          <w:rFonts w:ascii="Times New Roman" w:hAnsi="Times New Roman" w:cs="Times New Roman"/>
          <w:sz w:val="24"/>
          <w:szCs w:val="24"/>
        </w:rPr>
        <w:t xml:space="preserve">manufacturing </w:t>
      </w:r>
      <w:r w:rsidR="006F55B7" w:rsidRPr="00C024FA">
        <w:rPr>
          <w:rFonts w:ascii="Times New Roman" w:hAnsi="Times New Roman" w:cs="Times New Roman"/>
          <w:sz w:val="24"/>
          <w:szCs w:val="24"/>
        </w:rPr>
        <w:t xml:space="preserve">firms operating with 10 or more employees. However, since we are among the first researchers to use the firm level data in Tanzania, we use other sources of information to verify aggregate employment estimates.  </w:t>
      </w:r>
    </w:p>
    <w:p w14:paraId="4C57009A" w14:textId="0F55E6BA" w:rsidR="006F55B7" w:rsidRPr="00C024FA" w:rsidRDefault="006F55B7" w:rsidP="00C024FA">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 xml:space="preserve">Tanzania maintains a Central Registry of Establishments (CRE), which records data on establishments in all sectors and of all sizes. With assistance from </w:t>
      </w:r>
      <w:r w:rsidR="002C50BC">
        <w:rPr>
          <w:rFonts w:ascii="Times New Roman" w:hAnsi="Times New Roman" w:cs="Times New Roman"/>
          <w:sz w:val="24"/>
          <w:szCs w:val="24"/>
        </w:rPr>
        <w:t xml:space="preserve">the National Bureau of Statistics </w:t>
      </w:r>
      <w:r w:rsidRPr="00C024FA">
        <w:rPr>
          <w:rFonts w:ascii="Times New Roman" w:hAnsi="Times New Roman" w:cs="Times New Roman"/>
          <w:sz w:val="24"/>
          <w:szCs w:val="24"/>
        </w:rPr>
        <w:t xml:space="preserve">we compared estimates of the number of manufacturing firms in the CRE in the years for which this information had been formally tabulated—2008, 2009, 2010, and 2014—broken </w:t>
      </w:r>
      <w:r w:rsidRPr="00C024FA">
        <w:rPr>
          <w:rFonts w:ascii="Times New Roman" w:hAnsi="Times New Roman" w:cs="Times New Roman"/>
          <w:sz w:val="24"/>
          <w:szCs w:val="24"/>
        </w:rPr>
        <w:lastRenderedPageBreak/>
        <w:t xml:space="preserve">up by employment size class. When comparing the ASIP to the CRE, we find that the coverage of large firms (those with 50 or more workers) is consistently high. The coverage of small firms is seemingly low in earlier years (2008-2010), but </w:t>
      </w:r>
      <w:r w:rsidR="002C50BC">
        <w:rPr>
          <w:rFonts w:ascii="Times New Roman" w:hAnsi="Times New Roman" w:cs="Times New Roman"/>
          <w:sz w:val="24"/>
          <w:szCs w:val="24"/>
        </w:rPr>
        <w:t xml:space="preserve">according to the NBS’s Director of Statistics, </w:t>
      </w:r>
      <w:r w:rsidRPr="00C024FA">
        <w:rPr>
          <w:rFonts w:ascii="Times New Roman" w:hAnsi="Times New Roman" w:cs="Times New Roman"/>
          <w:sz w:val="24"/>
          <w:szCs w:val="24"/>
        </w:rPr>
        <w:t xml:space="preserve">this may be explained by the fact that CRE records all registered establishments while ASIP requires that the firm </w:t>
      </w:r>
      <w:r w:rsidR="002C50BC">
        <w:rPr>
          <w:rFonts w:ascii="Times New Roman" w:hAnsi="Times New Roman" w:cs="Times New Roman"/>
          <w:sz w:val="24"/>
          <w:szCs w:val="24"/>
        </w:rPr>
        <w:t xml:space="preserve">be </w:t>
      </w:r>
      <w:r w:rsidRPr="00C024FA">
        <w:rPr>
          <w:rFonts w:ascii="Times New Roman" w:hAnsi="Times New Roman" w:cs="Times New Roman"/>
          <w:sz w:val="24"/>
          <w:szCs w:val="24"/>
        </w:rPr>
        <w:t xml:space="preserve">operational </w:t>
      </w:r>
      <w:r w:rsidR="002C50BC">
        <w:rPr>
          <w:rFonts w:ascii="Times New Roman" w:hAnsi="Times New Roman" w:cs="Times New Roman"/>
          <w:sz w:val="24"/>
          <w:szCs w:val="24"/>
        </w:rPr>
        <w:t>to be included in the relevant survey year.</w:t>
      </w:r>
      <w:r w:rsidRPr="00C024FA">
        <w:rPr>
          <w:rFonts w:ascii="Times New Roman" w:hAnsi="Times New Roman" w:cs="Times New Roman"/>
          <w:sz w:val="24"/>
          <w:szCs w:val="24"/>
        </w:rPr>
        <w:t xml:space="preserve"> </w:t>
      </w:r>
    </w:p>
    <w:p w14:paraId="40BEEDEF" w14:textId="7EC5D1A1" w:rsidR="006F55B7" w:rsidRDefault="006F55B7" w:rsidP="00C024FA">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We also compare the estimates of employment in manufacturing from the ASIP panel to estimates from the Tanzania National Panel Survey (NPS), which covers the years 2009, 2011, 2013 and 2015 (NBS 2009, 2011, 2013, 2015). These data are publicly available from the World Bank Living Standards Measurement Study (LSMS) project, which supported NBS in its design and implementation of the NPS. From those data, we compute weighted estimates of employment in manufacturing firms with 10 or more workers</w:t>
      </w:r>
      <w:r w:rsidR="00EC377C">
        <w:rPr>
          <w:rFonts w:ascii="Times New Roman" w:hAnsi="Times New Roman" w:cs="Times New Roman"/>
          <w:sz w:val="24"/>
          <w:szCs w:val="24"/>
        </w:rPr>
        <w:t>; this estimate</w:t>
      </w:r>
      <w:r w:rsidRPr="00C024FA">
        <w:rPr>
          <w:rFonts w:ascii="Times New Roman" w:hAnsi="Times New Roman" w:cs="Times New Roman"/>
          <w:sz w:val="24"/>
          <w:szCs w:val="24"/>
        </w:rPr>
        <w:t xml:space="preserve"> is similar in magnitude to the estimates produced by ASIP. There are also specific concerns about the 2013 ASIP data, which we find has low coverage of small firms (with 10-49 workers). This is likely explained by the fact that the 2013 data come from the 2013 Census of Industrial Production (CIP). The CIP aimed to cover industrial firms of all employment sizes; the enumeration process included a full census of firms with 10 or more workers (identical to the ASIP) and a sample of firms with fewer than 10 workers. The sheer size of the operation involving firms of all sizes leads to smaller sample sizes </w:t>
      </w:r>
      <w:r w:rsidR="004C0F50">
        <w:rPr>
          <w:rFonts w:ascii="Times New Roman" w:hAnsi="Times New Roman" w:cs="Times New Roman"/>
          <w:sz w:val="24"/>
          <w:szCs w:val="24"/>
        </w:rPr>
        <w:t xml:space="preserve">even </w:t>
      </w:r>
      <w:r w:rsidRPr="00C024FA">
        <w:rPr>
          <w:rFonts w:ascii="Times New Roman" w:hAnsi="Times New Roman" w:cs="Times New Roman"/>
          <w:sz w:val="24"/>
          <w:szCs w:val="24"/>
        </w:rPr>
        <w:t xml:space="preserve">for </w:t>
      </w:r>
      <w:r w:rsidR="004C0F50">
        <w:rPr>
          <w:rFonts w:ascii="Times New Roman" w:hAnsi="Times New Roman" w:cs="Times New Roman"/>
          <w:sz w:val="24"/>
          <w:szCs w:val="24"/>
        </w:rPr>
        <w:t xml:space="preserve">the </w:t>
      </w:r>
      <w:r w:rsidRPr="00C024FA">
        <w:rPr>
          <w:rFonts w:ascii="Times New Roman" w:hAnsi="Times New Roman" w:cs="Times New Roman"/>
          <w:sz w:val="24"/>
          <w:szCs w:val="24"/>
        </w:rPr>
        <w:t>small</w:t>
      </w:r>
      <w:r w:rsidR="004C0F50">
        <w:rPr>
          <w:rFonts w:ascii="Times New Roman" w:hAnsi="Times New Roman" w:cs="Times New Roman"/>
          <w:sz w:val="24"/>
          <w:szCs w:val="24"/>
        </w:rPr>
        <w:t xml:space="preserve">er formal sector </w:t>
      </w:r>
      <w:r w:rsidRPr="00C024FA">
        <w:rPr>
          <w:rFonts w:ascii="Times New Roman" w:hAnsi="Times New Roman" w:cs="Times New Roman"/>
          <w:sz w:val="24"/>
          <w:szCs w:val="24"/>
        </w:rPr>
        <w:t>firms</w:t>
      </w:r>
      <w:r w:rsidR="004C0F50">
        <w:rPr>
          <w:rFonts w:ascii="Times New Roman" w:hAnsi="Times New Roman" w:cs="Times New Roman"/>
          <w:sz w:val="24"/>
          <w:szCs w:val="24"/>
        </w:rPr>
        <w:t>,</w:t>
      </w:r>
      <w:r w:rsidRPr="00C024FA">
        <w:rPr>
          <w:rFonts w:ascii="Times New Roman" w:hAnsi="Times New Roman" w:cs="Times New Roman"/>
          <w:sz w:val="24"/>
          <w:szCs w:val="24"/>
        </w:rPr>
        <w:t xml:space="preserve"> </w:t>
      </w:r>
      <w:r w:rsidR="004C0F50">
        <w:rPr>
          <w:rFonts w:ascii="Times New Roman" w:hAnsi="Times New Roman" w:cs="Times New Roman"/>
          <w:sz w:val="24"/>
          <w:szCs w:val="24"/>
        </w:rPr>
        <w:t xml:space="preserve">especially those with </w:t>
      </w:r>
      <w:r w:rsidRPr="00C024FA">
        <w:rPr>
          <w:rFonts w:ascii="Times New Roman" w:hAnsi="Times New Roman" w:cs="Times New Roman"/>
          <w:sz w:val="24"/>
          <w:szCs w:val="24"/>
        </w:rPr>
        <w:t>10</w:t>
      </w:r>
      <w:r w:rsidR="004C0F50">
        <w:rPr>
          <w:rFonts w:ascii="Times New Roman" w:hAnsi="Times New Roman" w:cs="Times New Roman"/>
          <w:sz w:val="24"/>
          <w:szCs w:val="24"/>
        </w:rPr>
        <w:t>-49</w:t>
      </w:r>
      <w:r w:rsidRPr="00C024FA">
        <w:rPr>
          <w:rFonts w:ascii="Times New Roman" w:hAnsi="Times New Roman" w:cs="Times New Roman"/>
          <w:sz w:val="24"/>
          <w:szCs w:val="24"/>
        </w:rPr>
        <w:t xml:space="preserve"> employees. Therefore, </w:t>
      </w:r>
      <w:r w:rsidR="00EC377C">
        <w:rPr>
          <w:rFonts w:ascii="Times New Roman" w:hAnsi="Times New Roman" w:cs="Times New Roman"/>
          <w:sz w:val="24"/>
          <w:szCs w:val="24"/>
        </w:rPr>
        <w:t xml:space="preserve">in our regressions, </w:t>
      </w:r>
      <w:r w:rsidRPr="00C024FA">
        <w:rPr>
          <w:rFonts w:ascii="Times New Roman" w:hAnsi="Times New Roman" w:cs="Times New Roman"/>
          <w:sz w:val="24"/>
          <w:szCs w:val="24"/>
        </w:rPr>
        <w:t>we apply sampling weights to the 2013 data although in practice weighted and unweighted results are almost identical.</w:t>
      </w:r>
      <w:r w:rsidRPr="00C024FA" w:rsidDel="00A57DFB">
        <w:rPr>
          <w:rFonts w:ascii="Times New Roman" w:hAnsi="Times New Roman" w:cs="Times New Roman"/>
          <w:sz w:val="24"/>
          <w:szCs w:val="24"/>
        </w:rPr>
        <w:t xml:space="preserve"> </w:t>
      </w:r>
    </w:p>
    <w:p w14:paraId="0E2A54FE" w14:textId="003086FE" w:rsidR="006F55B7" w:rsidRPr="00130DC2" w:rsidRDefault="00130DC2" w:rsidP="00D9533A">
      <w:pPr>
        <w:pStyle w:val="ListParagraph"/>
        <w:numPr>
          <w:ilvl w:val="0"/>
          <w:numId w:val="16"/>
        </w:numPr>
        <w:spacing w:after="200" w:line="360" w:lineRule="auto"/>
        <w:rPr>
          <w:rFonts w:ascii="Times New Roman" w:hAnsi="Times New Roman" w:cs="Times New Roman"/>
          <w:i/>
          <w:iCs/>
          <w:sz w:val="24"/>
          <w:szCs w:val="24"/>
        </w:rPr>
      </w:pPr>
      <w:r>
        <w:rPr>
          <w:rFonts w:ascii="Times New Roman" w:hAnsi="Times New Roman" w:cs="Times New Roman"/>
          <w:i/>
          <w:iCs/>
          <w:sz w:val="24"/>
          <w:szCs w:val="24"/>
        </w:rPr>
        <w:t xml:space="preserve">Ethiopia </w:t>
      </w:r>
      <w:r w:rsidR="0072013D">
        <w:rPr>
          <w:rFonts w:ascii="Times New Roman" w:hAnsi="Times New Roman" w:cs="Times New Roman"/>
          <w:i/>
          <w:iCs/>
          <w:sz w:val="24"/>
          <w:szCs w:val="24"/>
        </w:rPr>
        <w:t>Large and Medium Scale Enterprise Survey</w:t>
      </w:r>
      <w:r>
        <w:rPr>
          <w:rFonts w:ascii="Times New Roman" w:hAnsi="Times New Roman" w:cs="Times New Roman"/>
          <w:i/>
          <w:iCs/>
          <w:sz w:val="24"/>
          <w:szCs w:val="24"/>
        </w:rPr>
        <w:t xml:space="preserve"> </w:t>
      </w:r>
      <w:bookmarkStart w:id="1" w:name="_Hlk97547667"/>
    </w:p>
    <w:bookmarkEnd w:id="1"/>
    <w:p w14:paraId="090B4248" w14:textId="1C1EC2AA" w:rsidR="006F55B7" w:rsidRPr="00C024FA" w:rsidRDefault="006F55B7" w:rsidP="00C024FA">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The Ethiopia panel creation process was complicated</w:t>
      </w:r>
      <w:r w:rsidR="004C0F50">
        <w:rPr>
          <w:rFonts w:ascii="Times New Roman" w:hAnsi="Times New Roman" w:cs="Times New Roman"/>
          <w:sz w:val="24"/>
          <w:szCs w:val="24"/>
        </w:rPr>
        <w:t xml:space="preserve"> by the fact that the Central Statistical Agency</w:t>
      </w:r>
      <w:r w:rsidR="00D24558">
        <w:rPr>
          <w:rFonts w:ascii="Times New Roman" w:hAnsi="Times New Roman" w:cs="Times New Roman"/>
          <w:sz w:val="24"/>
          <w:szCs w:val="24"/>
        </w:rPr>
        <w:t xml:space="preserve"> (CSA)</w:t>
      </w:r>
      <w:r w:rsidR="004C0F50">
        <w:rPr>
          <w:rFonts w:ascii="Times New Roman" w:hAnsi="Times New Roman" w:cs="Times New Roman"/>
          <w:sz w:val="24"/>
          <w:szCs w:val="24"/>
        </w:rPr>
        <w:t xml:space="preserve"> stopped maintaining consistent firm identifiers </w:t>
      </w:r>
      <w:r w:rsidRPr="00C024FA">
        <w:rPr>
          <w:rFonts w:ascii="Times New Roman" w:hAnsi="Times New Roman" w:cs="Times New Roman"/>
          <w:sz w:val="24"/>
          <w:szCs w:val="24"/>
        </w:rPr>
        <w:t>after 2011. We obtained datasets from CSA for each year of the LMSM from 1996-2017, apart from 1997, which was never made available. In each year, an establishment is identified by the combination of its ISIC code and an establishment number. The establishment number is unique within each ISIC group and LMSM round but not necessarily consistent across LMSM rounds after 2011. This is the crux of the problem we faced when creating the LMSM panel.</w:t>
      </w:r>
    </w:p>
    <w:p w14:paraId="45B921A9" w14:textId="3E238AE9" w:rsidR="00EB27B9" w:rsidRDefault="006F55B7">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lastRenderedPageBreak/>
        <w:t xml:space="preserve">To merge the different rounds of LMSM establishment-level datasets into a single panel,  establishment identities </w:t>
      </w:r>
      <w:r w:rsidR="00EB27B9">
        <w:rPr>
          <w:rFonts w:ascii="Times New Roman" w:hAnsi="Times New Roman" w:cs="Times New Roman"/>
          <w:sz w:val="24"/>
          <w:szCs w:val="24"/>
        </w:rPr>
        <w:t xml:space="preserve">were verified </w:t>
      </w:r>
      <w:r w:rsidRPr="00C024FA">
        <w:rPr>
          <w:rFonts w:ascii="Times New Roman" w:hAnsi="Times New Roman" w:cs="Times New Roman"/>
          <w:sz w:val="24"/>
          <w:szCs w:val="24"/>
        </w:rPr>
        <w:t>across different data sources across years.</w:t>
      </w:r>
      <w:r w:rsidR="00EB27B9">
        <w:rPr>
          <w:rFonts w:ascii="Times New Roman" w:hAnsi="Times New Roman" w:cs="Times New Roman"/>
          <w:sz w:val="24"/>
          <w:szCs w:val="24"/>
        </w:rPr>
        <w:t xml:space="preserve"> We made use of the identifiers from two separately created panels, one covering 1996-2013 and one covering 2013-2017. </w:t>
      </w:r>
      <w:r w:rsidR="00EB27B9" w:rsidRPr="00C024FA">
        <w:rPr>
          <w:rFonts w:ascii="Times New Roman" w:hAnsi="Times New Roman" w:cs="Times New Roman"/>
          <w:sz w:val="24"/>
          <w:szCs w:val="24"/>
        </w:rPr>
        <w:t>The final panel spans the period 1996-2017 and was created by merging the early and later panels using the CSA unique firm identifiers (ISIC code and establishment number) in 2013.</w:t>
      </w:r>
    </w:p>
    <w:p w14:paraId="4AB24C1C" w14:textId="637FA32F" w:rsidR="00EB27B9" w:rsidRDefault="006F55B7" w:rsidP="00EB27B9">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 xml:space="preserve"> The work to merge the 1996-2013 panel was done before the data for the years 2014-2017 were fully available</w:t>
      </w:r>
      <w:r w:rsidR="00A96936">
        <w:rPr>
          <w:rFonts w:ascii="Times New Roman" w:hAnsi="Times New Roman" w:cs="Times New Roman"/>
          <w:sz w:val="24"/>
          <w:szCs w:val="24"/>
        </w:rPr>
        <w:t xml:space="preserve"> and is described in detail in Abebe et al. (2022). </w:t>
      </w:r>
      <w:r w:rsidR="00EB27B9">
        <w:rPr>
          <w:rFonts w:ascii="Times New Roman" w:hAnsi="Times New Roman" w:cs="Times New Roman"/>
          <w:sz w:val="24"/>
          <w:szCs w:val="24"/>
        </w:rPr>
        <w:tab/>
      </w:r>
      <w:r w:rsidRPr="00C024FA">
        <w:rPr>
          <w:rFonts w:ascii="Times New Roman" w:hAnsi="Times New Roman" w:cs="Times New Roman"/>
          <w:sz w:val="24"/>
          <w:szCs w:val="24"/>
        </w:rPr>
        <w:t xml:space="preserve">For the years 2013-2017, </w:t>
      </w:r>
      <w:r w:rsidR="00230392">
        <w:rPr>
          <w:rFonts w:ascii="Times New Roman" w:hAnsi="Times New Roman" w:cs="Times New Roman"/>
          <w:sz w:val="24"/>
          <w:szCs w:val="24"/>
        </w:rPr>
        <w:t xml:space="preserve">the panel was created </w:t>
      </w:r>
      <w:r w:rsidRPr="00C024FA">
        <w:rPr>
          <w:rFonts w:ascii="Times New Roman" w:hAnsi="Times New Roman" w:cs="Times New Roman"/>
          <w:sz w:val="24"/>
          <w:szCs w:val="24"/>
        </w:rPr>
        <w:t>through a separate process by a team of researchers based at the Ethiopian Development Research Institute and Oxford University</w:t>
      </w:r>
      <w:r w:rsidR="00230392">
        <w:rPr>
          <w:rFonts w:ascii="Times New Roman" w:hAnsi="Times New Roman" w:cs="Times New Roman"/>
          <w:sz w:val="24"/>
          <w:szCs w:val="24"/>
        </w:rPr>
        <w:t>.</w:t>
      </w:r>
      <w:r w:rsidRPr="00C024FA">
        <w:rPr>
          <w:rFonts w:ascii="Times New Roman" w:hAnsi="Times New Roman" w:cs="Times New Roman"/>
          <w:sz w:val="24"/>
          <w:szCs w:val="24"/>
        </w:rPr>
        <w:t xml:space="preserve"> </w:t>
      </w:r>
      <w:r w:rsidR="00230392">
        <w:rPr>
          <w:rFonts w:ascii="Times New Roman" w:hAnsi="Times New Roman" w:cs="Times New Roman"/>
          <w:sz w:val="24"/>
          <w:szCs w:val="24"/>
        </w:rPr>
        <w:t xml:space="preserve">These researchers </w:t>
      </w:r>
      <w:r w:rsidRPr="00C024FA">
        <w:rPr>
          <w:rFonts w:ascii="Times New Roman" w:hAnsi="Times New Roman" w:cs="Times New Roman"/>
          <w:sz w:val="24"/>
          <w:szCs w:val="24"/>
        </w:rPr>
        <w:t xml:space="preserve">largely relied on </w:t>
      </w:r>
      <w:r w:rsidR="00B03A47">
        <w:rPr>
          <w:rFonts w:ascii="Times New Roman" w:hAnsi="Times New Roman" w:cs="Times New Roman"/>
          <w:sz w:val="24"/>
          <w:szCs w:val="24"/>
        </w:rPr>
        <w:t xml:space="preserve">the </w:t>
      </w:r>
      <w:r w:rsidRPr="00C024FA">
        <w:rPr>
          <w:rFonts w:ascii="Times New Roman" w:hAnsi="Times New Roman" w:cs="Times New Roman"/>
          <w:sz w:val="24"/>
          <w:szCs w:val="24"/>
        </w:rPr>
        <w:t>firm</w:t>
      </w:r>
      <w:r w:rsidR="00B03A47">
        <w:rPr>
          <w:rFonts w:ascii="Times New Roman" w:hAnsi="Times New Roman" w:cs="Times New Roman"/>
          <w:sz w:val="24"/>
          <w:szCs w:val="24"/>
        </w:rPr>
        <w:t>s</w:t>
      </w:r>
      <w:r w:rsidR="00D9533A">
        <w:rPr>
          <w:rFonts w:ascii="Times New Roman" w:hAnsi="Times New Roman" w:cs="Times New Roman"/>
          <w:sz w:val="24"/>
          <w:szCs w:val="24"/>
        </w:rPr>
        <w:t>’</w:t>
      </w:r>
      <w:r w:rsidRPr="00C024FA">
        <w:rPr>
          <w:rFonts w:ascii="Times New Roman" w:hAnsi="Times New Roman" w:cs="Times New Roman"/>
          <w:sz w:val="24"/>
          <w:szCs w:val="24"/>
        </w:rPr>
        <w:t xml:space="preserve"> ISIC code, establishment number, taxpayer identification number, phone number, and establishment name. </w:t>
      </w:r>
    </w:p>
    <w:p w14:paraId="05F0C38D" w14:textId="78C82DE2" w:rsidR="006F55B7" w:rsidRDefault="006F55B7" w:rsidP="0084733F">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 xml:space="preserve">In the final Ethiopia panel, about </w:t>
      </w:r>
      <w:r w:rsidR="00BD1A58">
        <w:rPr>
          <w:rFonts w:ascii="Times New Roman" w:hAnsi="Times New Roman" w:cs="Times New Roman"/>
          <w:sz w:val="24"/>
          <w:szCs w:val="24"/>
        </w:rPr>
        <w:t>15</w:t>
      </w:r>
      <w:r w:rsidRPr="00C024FA">
        <w:rPr>
          <w:rFonts w:ascii="Times New Roman" w:hAnsi="Times New Roman" w:cs="Times New Roman"/>
          <w:sz w:val="24"/>
          <w:szCs w:val="24"/>
        </w:rPr>
        <w:t xml:space="preserve"> percent of the sample is only observed once, accounting for about </w:t>
      </w:r>
      <w:r w:rsidR="00363FAE">
        <w:rPr>
          <w:rFonts w:ascii="Times New Roman" w:hAnsi="Times New Roman" w:cs="Times New Roman"/>
          <w:sz w:val="24"/>
          <w:szCs w:val="24"/>
        </w:rPr>
        <w:t xml:space="preserve">8 percent of both total value added and </w:t>
      </w:r>
      <w:r w:rsidRPr="00C024FA">
        <w:rPr>
          <w:rFonts w:ascii="Times New Roman" w:hAnsi="Times New Roman" w:cs="Times New Roman"/>
          <w:sz w:val="24"/>
          <w:szCs w:val="24"/>
        </w:rPr>
        <w:t>employmen</w:t>
      </w:r>
      <w:r w:rsidR="00363FAE">
        <w:rPr>
          <w:rFonts w:ascii="Times New Roman" w:hAnsi="Times New Roman" w:cs="Times New Roman"/>
          <w:sz w:val="24"/>
          <w:szCs w:val="24"/>
        </w:rPr>
        <w:t>t per year on average</w:t>
      </w:r>
      <w:r w:rsidRPr="00C024FA">
        <w:rPr>
          <w:rFonts w:ascii="Times New Roman" w:hAnsi="Times New Roman" w:cs="Times New Roman"/>
          <w:sz w:val="24"/>
          <w:szCs w:val="24"/>
        </w:rPr>
        <w:t xml:space="preserve">. This compares to </w:t>
      </w:r>
      <w:r w:rsidR="00363FAE">
        <w:rPr>
          <w:rFonts w:ascii="Times New Roman" w:hAnsi="Times New Roman" w:cs="Times New Roman"/>
          <w:sz w:val="24"/>
          <w:szCs w:val="24"/>
        </w:rPr>
        <w:t>13</w:t>
      </w:r>
      <w:r w:rsidRPr="00C024FA">
        <w:rPr>
          <w:rFonts w:ascii="Times New Roman" w:hAnsi="Times New Roman" w:cs="Times New Roman"/>
          <w:sz w:val="24"/>
          <w:szCs w:val="24"/>
        </w:rPr>
        <w:t xml:space="preserve"> percent of the panel in Tanzania, which account for </w:t>
      </w:r>
      <w:r w:rsidR="00363FAE">
        <w:rPr>
          <w:rFonts w:ascii="Times New Roman" w:hAnsi="Times New Roman" w:cs="Times New Roman"/>
          <w:sz w:val="24"/>
          <w:szCs w:val="24"/>
        </w:rPr>
        <w:t>1</w:t>
      </w:r>
      <w:r w:rsidRPr="00C024FA">
        <w:rPr>
          <w:rFonts w:ascii="Times New Roman" w:hAnsi="Times New Roman" w:cs="Times New Roman"/>
          <w:sz w:val="24"/>
          <w:szCs w:val="24"/>
        </w:rPr>
        <w:t>9 percent of total employment and 1</w:t>
      </w:r>
      <w:r w:rsidR="00363FAE">
        <w:rPr>
          <w:rFonts w:ascii="Times New Roman" w:hAnsi="Times New Roman" w:cs="Times New Roman"/>
          <w:sz w:val="24"/>
          <w:szCs w:val="24"/>
        </w:rPr>
        <w:t>7</w:t>
      </w:r>
      <w:r w:rsidRPr="00C024FA">
        <w:rPr>
          <w:rFonts w:ascii="Times New Roman" w:hAnsi="Times New Roman" w:cs="Times New Roman"/>
          <w:sz w:val="24"/>
          <w:szCs w:val="24"/>
        </w:rPr>
        <w:t xml:space="preserve"> percent of total value added</w:t>
      </w:r>
      <w:r w:rsidR="005310EC">
        <w:rPr>
          <w:rFonts w:ascii="Times New Roman" w:hAnsi="Times New Roman" w:cs="Times New Roman"/>
          <w:sz w:val="24"/>
          <w:szCs w:val="24"/>
        </w:rPr>
        <w:t xml:space="preserve"> per year on average</w:t>
      </w:r>
      <w:r w:rsidRPr="00C024FA">
        <w:rPr>
          <w:rFonts w:ascii="Times New Roman" w:hAnsi="Times New Roman" w:cs="Times New Roman"/>
          <w:sz w:val="24"/>
          <w:szCs w:val="24"/>
        </w:rPr>
        <w:t>.</w:t>
      </w:r>
    </w:p>
    <w:p w14:paraId="67462BE7" w14:textId="76734275" w:rsidR="00353210" w:rsidRPr="00353210" w:rsidRDefault="00353210" w:rsidP="00D9533A">
      <w:pPr>
        <w:pStyle w:val="ListParagraph"/>
        <w:numPr>
          <w:ilvl w:val="0"/>
          <w:numId w:val="16"/>
        </w:numPr>
        <w:spacing w:after="200" w:line="360" w:lineRule="auto"/>
        <w:rPr>
          <w:rFonts w:ascii="Times New Roman" w:hAnsi="Times New Roman" w:cs="Times New Roman"/>
          <w:i/>
          <w:iCs/>
          <w:sz w:val="24"/>
          <w:szCs w:val="24"/>
        </w:rPr>
      </w:pPr>
      <w:r w:rsidRPr="00353210">
        <w:rPr>
          <w:rFonts w:ascii="Times New Roman" w:hAnsi="Times New Roman" w:cs="Times New Roman"/>
          <w:i/>
          <w:iCs/>
          <w:sz w:val="24"/>
          <w:szCs w:val="24"/>
        </w:rPr>
        <w:t>Variable definitions and cleaning</w:t>
      </w:r>
    </w:p>
    <w:p w14:paraId="4D8A8D5A" w14:textId="77777777" w:rsidR="00480F1F" w:rsidRPr="00480F1F" w:rsidRDefault="006F55B7" w:rsidP="00C024FA">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After creating the merged ASIP and LMSM panels, we then went through a cleaning process to check the quality of the data and flag any problematic observations. We focused on several key variables needed for our analyses, including employment, the components of output and intermediate costs, wages, and capital stock.</w:t>
      </w:r>
      <w:r w:rsidR="00353210">
        <w:rPr>
          <w:rFonts w:ascii="Times New Roman" w:hAnsi="Times New Roman" w:cs="Times New Roman"/>
          <w:sz w:val="24"/>
          <w:szCs w:val="24"/>
        </w:rPr>
        <w:t xml:space="preserve"> We use output and intermediate costs to estimate value added, which is d</w:t>
      </w:r>
      <w:r w:rsidR="00353210" w:rsidRPr="00353210">
        <w:rPr>
          <w:rFonts w:ascii="Times New Roman" w:hAnsi="Times New Roman" w:cs="Times New Roman"/>
          <w:sz w:val="24"/>
          <w:szCs w:val="24"/>
        </w:rPr>
        <w:t xml:space="preserve">efined as the difference between total sales and total raw materials costs; in Ethiopia, we calculate it as the difference between total sales and total raw materials and utilities costs. Employment in Tanzania is defined as all persons engaged on a regular basis, which includes the number of employees on the permanent payroll, together with any temporary or seasonal workers who have been employed on a weekly or monthly basis for more than one month. In Ethiopia, employment is split into permanent and temporary/seasonal workers. We are missing seasonal/temporary workers for one year of the panel, 2009, so we limit </w:t>
      </w:r>
      <w:r w:rsidR="00353210" w:rsidRPr="00480F1F">
        <w:rPr>
          <w:rFonts w:ascii="Times New Roman" w:hAnsi="Times New Roman" w:cs="Times New Roman"/>
          <w:sz w:val="24"/>
          <w:szCs w:val="24"/>
        </w:rPr>
        <w:t>our analysis to permanent workers.</w:t>
      </w:r>
    </w:p>
    <w:p w14:paraId="575D8EDC" w14:textId="2355D987" w:rsidR="00480F1F" w:rsidRPr="00480F1F" w:rsidRDefault="00480F1F" w:rsidP="00480F1F">
      <w:pPr>
        <w:pStyle w:val="FootnoteText"/>
        <w:spacing w:after="240"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Pr="00480F1F">
        <w:rPr>
          <w:rFonts w:ascii="Times New Roman" w:hAnsi="Times New Roman" w:cs="Times New Roman"/>
          <w:sz w:val="24"/>
          <w:szCs w:val="24"/>
        </w:rPr>
        <w:t>However, we do conduct additional robustness checks (available upon request) that show the Ethiopia firm-level growth results are not significantly affected by the inclusion of seasonal/temporary workers in our employment and labor productivity measures. In these robustness checks, we estimate a full-time equivalent of seasonal/temporary workers by estimating the ratio of production worker wages to seasonal worker wages at the firm-level and applying that ratio to the number of seasonal/temporary workers. On average, we find that 5 seasonal/temporary workers are equivalent to 1 production worker in terms of wages.</w:t>
      </w:r>
    </w:p>
    <w:p w14:paraId="0DE27FA6" w14:textId="16902D5B" w:rsidR="00D24558" w:rsidRDefault="00D24558" w:rsidP="00480F1F">
      <w:pPr>
        <w:spacing w:after="24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We convert monetary variables—raw materials costs, sales, and value added—to real 2016 terms using manufacturing-specific deflators. For Tanzania, we estimate the deflator as the ratio of the WDI series of current to constant manufacturing value added. For Ethiopia we do not use the WDI series because we found that the current </w:t>
      </w:r>
      <w:r w:rsidR="002D7962">
        <w:rPr>
          <w:rFonts w:ascii="Times New Roman" w:hAnsi="Times New Roman" w:cs="Times New Roman"/>
          <w:sz w:val="24"/>
          <w:szCs w:val="24"/>
        </w:rPr>
        <w:t>value-added</w:t>
      </w:r>
      <w:r>
        <w:rPr>
          <w:rFonts w:ascii="Times New Roman" w:hAnsi="Times New Roman" w:cs="Times New Roman"/>
          <w:sz w:val="24"/>
          <w:szCs w:val="24"/>
        </w:rPr>
        <w:t xml:space="preserve"> series had not been updated fully after the country’s 2016 rebasing and the values before 2016 were </w:t>
      </w:r>
      <w:r w:rsidR="002D7962">
        <w:rPr>
          <w:rFonts w:ascii="Times New Roman" w:hAnsi="Times New Roman" w:cs="Times New Roman"/>
          <w:sz w:val="24"/>
          <w:szCs w:val="24"/>
        </w:rPr>
        <w:t xml:space="preserve">unrealistically </w:t>
      </w:r>
      <w:r>
        <w:rPr>
          <w:rFonts w:ascii="Times New Roman" w:hAnsi="Times New Roman" w:cs="Times New Roman"/>
          <w:sz w:val="24"/>
          <w:szCs w:val="24"/>
        </w:rPr>
        <w:t xml:space="preserve">low relative to the new levels. We instead calculate the deflator from the </w:t>
      </w:r>
      <w:r w:rsidR="002D7962">
        <w:rPr>
          <w:rFonts w:ascii="Times New Roman" w:hAnsi="Times New Roman" w:cs="Times New Roman"/>
          <w:sz w:val="24"/>
          <w:szCs w:val="24"/>
        </w:rPr>
        <w:t>value-added</w:t>
      </w:r>
      <w:r>
        <w:rPr>
          <w:rFonts w:ascii="Times New Roman" w:hAnsi="Times New Roman" w:cs="Times New Roman"/>
          <w:sz w:val="24"/>
          <w:szCs w:val="24"/>
        </w:rPr>
        <w:t xml:space="preserve"> series in current and constant </w:t>
      </w:r>
      <w:r w:rsidR="00CF4D5C">
        <w:rPr>
          <w:rFonts w:ascii="Times New Roman" w:hAnsi="Times New Roman" w:cs="Times New Roman"/>
          <w:sz w:val="24"/>
          <w:szCs w:val="24"/>
        </w:rPr>
        <w:t xml:space="preserve">terms </w:t>
      </w:r>
      <w:r>
        <w:rPr>
          <w:rFonts w:ascii="Times New Roman" w:hAnsi="Times New Roman" w:cs="Times New Roman"/>
          <w:sz w:val="24"/>
          <w:szCs w:val="24"/>
        </w:rPr>
        <w:t>in Ethiopia’s National Accounts (published by CSA). CSA provides value added series for small scale and cottage industries and large and medium scale manufacturing separately, so we estimate separate small-scale and large and medium-scale deflators. We use the large and medium-scale deflator for our analyses with the LMSM and the small-scale deflator for analyses with the small-scale industries (SSI) data.</w:t>
      </w:r>
    </w:p>
    <w:p w14:paraId="64D54D95" w14:textId="15FBF162" w:rsidR="006F55B7" w:rsidRPr="00C024FA" w:rsidRDefault="00353210" w:rsidP="00895D5F">
      <w:pPr>
        <w:spacing w:after="20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Cleaning of key variables included </w:t>
      </w:r>
      <w:r w:rsidR="006F55B7" w:rsidRPr="00C024FA">
        <w:rPr>
          <w:rFonts w:ascii="Times New Roman" w:hAnsi="Times New Roman" w:cs="Times New Roman"/>
          <w:sz w:val="24"/>
          <w:szCs w:val="24"/>
        </w:rPr>
        <w:t xml:space="preserve">correcting obvious inputting errors such as employment in the hundreds of thousands, and interpolating missing values for employment, sales, and raw materials costs where possible. In all analyses using the firm-level data, we focus on results from </w:t>
      </w:r>
      <w:proofErr w:type="spellStart"/>
      <w:r w:rsidR="006F55B7" w:rsidRPr="00C024FA">
        <w:rPr>
          <w:rFonts w:ascii="Times New Roman" w:hAnsi="Times New Roman" w:cs="Times New Roman"/>
          <w:sz w:val="24"/>
          <w:szCs w:val="24"/>
        </w:rPr>
        <w:t>Winsorized</w:t>
      </w:r>
      <w:proofErr w:type="spellEnd"/>
      <w:r w:rsidR="006F55B7" w:rsidRPr="00C024FA">
        <w:rPr>
          <w:rFonts w:ascii="Times New Roman" w:hAnsi="Times New Roman" w:cs="Times New Roman"/>
          <w:sz w:val="24"/>
          <w:szCs w:val="24"/>
        </w:rPr>
        <w:t xml:space="preserve"> samples</w:t>
      </w:r>
      <w:r w:rsidR="00EB27B9">
        <w:rPr>
          <w:rFonts w:ascii="Times New Roman" w:hAnsi="Times New Roman" w:cs="Times New Roman"/>
          <w:sz w:val="24"/>
          <w:szCs w:val="24"/>
        </w:rPr>
        <w:t>—variables are trimmed (with replacement) at the 1 and 99 percentiles and percentiles are measured by current employment size and year</w:t>
      </w:r>
      <w:r w:rsidR="006F55B7" w:rsidRPr="00C024FA">
        <w:rPr>
          <w:rFonts w:ascii="Times New Roman" w:hAnsi="Times New Roman" w:cs="Times New Roman"/>
          <w:sz w:val="24"/>
          <w:szCs w:val="24"/>
        </w:rPr>
        <w:t xml:space="preserve">. In addition, for our analyses of employment and labor productivity growth we present both firm-level results and sector-level results as checks on the reliability of the matching process and </w:t>
      </w:r>
      <w:r w:rsidR="00B03A47">
        <w:rPr>
          <w:rFonts w:ascii="Times New Roman" w:hAnsi="Times New Roman" w:cs="Times New Roman"/>
          <w:sz w:val="24"/>
          <w:szCs w:val="24"/>
        </w:rPr>
        <w:t xml:space="preserve">to account </w:t>
      </w:r>
      <w:r w:rsidR="006F55B7" w:rsidRPr="00C024FA">
        <w:rPr>
          <w:rFonts w:ascii="Times New Roman" w:hAnsi="Times New Roman" w:cs="Times New Roman"/>
          <w:sz w:val="24"/>
          <w:szCs w:val="24"/>
        </w:rPr>
        <w:t xml:space="preserve">for firm entry and exit. </w:t>
      </w:r>
    </w:p>
    <w:p w14:paraId="0A44235B" w14:textId="2F155EFB" w:rsidR="00742C6D" w:rsidRPr="00C024FA" w:rsidRDefault="00742C6D" w:rsidP="00D9533A">
      <w:pPr>
        <w:pStyle w:val="ListParagraph"/>
        <w:numPr>
          <w:ilvl w:val="0"/>
          <w:numId w:val="16"/>
        </w:numPr>
        <w:spacing w:line="360" w:lineRule="auto"/>
        <w:rPr>
          <w:rFonts w:ascii="Times New Roman" w:hAnsi="Times New Roman" w:cs="Times New Roman"/>
          <w:i/>
          <w:iCs/>
          <w:sz w:val="24"/>
          <w:szCs w:val="24"/>
        </w:rPr>
      </w:pPr>
      <w:bookmarkStart w:id="2" w:name="_Toc56003490"/>
      <w:r w:rsidRPr="00C024FA">
        <w:rPr>
          <w:rFonts w:ascii="Times New Roman" w:hAnsi="Times New Roman" w:cs="Times New Roman"/>
          <w:i/>
          <w:iCs/>
          <w:sz w:val="24"/>
          <w:szCs w:val="24"/>
        </w:rPr>
        <w:t xml:space="preserve">Calculation of capital-labor ratios </w:t>
      </w:r>
    </w:p>
    <w:p w14:paraId="6CA14972" w14:textId="31525767" w:rsidR="002A0D77" w:rsidRPr="00C024FA" w:rsidRDefault="00742C6D" w:rsidP="00C024FA">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 xml:space="preserve">We use firm level data for Ethiopia and Tanzania, restricting our analysis to firms in the sample for at least two years which allows us to check for coding errors and outliers. We define </w:t>
      </w:r>
      <w:r w:rsidRPr="00C024FA">
        <w:rPr>
          <w:rFonts w:ascii="Times New Roman" w:hAnsi="Times New Roman" w:cs="Times New Roman"/>
          <w:sz w:val="24"/>
          <w:szCs w:val="24"/>
        </w:rPr>
        <w:lastRenderedPageBreak/>
        <w:t>the capital stock as machinery and equipment (excluding transport and ICT equipment) and buildings and structures (excluding dwellings)</w:t>
      </w:r>
      <w:r w:rsidR="00C62179">
        <w:rPr>
          <w:rFonts w:ascii="Times New Roman" w:hAnsi="Times New Roman" w:cs="Times New Roman"/>
          <w:sz w:val="24"/>
          <w:szCs w:val="24"/>
        </w:rPr>
        <w:t xml:space="preserve">. These series are reported in nominal local currency </w:t>
      </w:r>
      <w:r w:rsidR="00CF4D5C">
        <w:rPr>
          <w:rFonts w:ascii="Times New Roman" w:hAnsi="Times New Roman" w:cs="Times New Roman"/>
          <w:sz w:val="24"/>
          <w:szCs w:val="24"/>
        </w:rPr>
        <w:t>units,</w:t>
      </w:r>
      <w:r w:rsidRPr="00C024FA">
        <w:rPr>
          <w:rFonts w:ascii="Times New Roman" w:hAnsi="Times New Roman" w:cs="Times New Roman"/>
          <w:sz w:val="24"/>
          <w:szCs w:val="24"/>
        </w:rPr>
        <w:t xml:space="preserve"> </w:t>
      </w:r>
      <w:r w:rsidR="00C62179">
        <w:rPr>
          <w:rFonts w:ascii="Times New Roman" w:hAnsi="Times New Roman" w:cs="Times New Roman"/>
          <w:sz w:val="24"/>
          <w:szCs w:val="24"/>
        </w:rPr>
        <w:t xml:space="preserve">and </w:t>
      </w:r>
      <w:r w:rsidR="00B56FEA">
        <w:rPr>
          <w:rFonts w:ascii="Times New Roman" w:hAnsi="Times New Roman" w:cs="Times New Roman"/>
          <w:sz w:val="24"/>
          <w:szCs w:val="24"/>
        </w:rPr>
        <w:t xml:space="preserve">we </w:t>
      </w:r>
      <w:r w:rsidR="00C62179">
        <w:rPr>
          <w:rFonts w:ascii="Times New Roman" w:hAnsi="Times New Roman" w:cs="Times New Roman"/>
          <w:sz w:val="24"/>
          <w:szCs w:val="24"/>
        </w:rPr>
        <w:t>apply different deflators to each of these two series</w:t>
      </w:r>
      <w:r w:rsidR="00B56FEA">
        <w:rPr>
          <w:rFonts w:ascii="Times New Roman" w:hAnsi="Times New Roman" w:cs="Times New Roman"/>
          <w:sz w:val="24"/>
          <w:szCs w:val="24"/>
        </w:rPr>
        <w:t xml:space="preserve"> to obtain values in constant 2010 local currency units.</w:t>
      </w:r>
      <w:r w:rsidRPr="00C024FA">
        <w:rPr>
          <w:rFonts w:ascii="Times New Roman" w:hAnsi="Times New Roman" w:cs="Times New Roman"/>
          <w:sz w:val="24"/>
          <w:szCs w:val="24"/>
        </w:rPr>
        <w:t xml:space="preserve"> We use a deflator of one for machinery and equipment and each country’s GDP deflator for buildings</w:t>
      </w:r>
      <w:r w:rsidR="00C62179">
        <w:rPr>
          <w:rFonts w:ascii="Times New Roman" w:hAnsi="Times New Roman" w:cs="Times New Roman"/>
          <w:sz w:val="24"/>
          <w:szCs w:val="24"/>
        </w:rPr>
        <w:t xml:space="preserve"> and structures</w:t>
      </w:r>
      <w:r w:rsidRPr="00C024FA">
        <w:rPr>
          <w:rFonts w:ascii="Times New Roman" w:hAnsi="Times New Roman" w:cs="Times New Roman"/>
          <w:sz w:val="24"/>
          <w:szCs w:val="24"/>
        </w:rPr>
        <w:t xml:space="preserve">. </w:t>
      </w:r>
      <w:r w:rsidR="002A0D77" w:rsidRPr="00C024FA">
        <w:rPr>
          <w:rFonts w:ascii="Times New Roman" w:hAnsi="Times New Roman" w:cs="Times New Roman"/>
          <w:sz w:val="24"/>
          <w:szCs w:val="24"/>
        </w:rPr>
        <w:t xml:space="preserve">The choice to use a deflator of one for machinery and equipment is based on the price indices for the </w:t>
      </w:r>
      <w:r w:rsidR="004872BE">
        <w:rPr>
          <w:rFonts w:ascii="Times New Roman" w:hAnsi="Times New Roman" w:cs="Times New Roman"/>
          <w:sz w:val="24"/>
          <w:szCs w:val="24"/>
        </w:rPr>
        <w:t>comparator</w:t>
      </w:r>
      <w:r w:rsidR="00EB27B9">
        <w:rPr>
          <w:rFonts w:ascii="Times New Roman" w:hAnsi="Times New Roman" w:cs="Times New Roman"/>
          <w:sz w:val="24"/>
          <w:szCs w:val="24"/>
        </w:rPr>
        <w:t xml:space="preserve"> </w:t>
      </w:r>
      <w:r w:rsidR="002A0D77" w:rsidRPr="00C024FA">
        <w:rPr>
          <w:rFonts w:ascii="Times New Roman" w:hAnsi="Times New Roman" w:cs="Times New Roman"/>
          <w:sz w:val="24"/>
          <w:szCs w:val="24"/>
        </w:rPr>
        <w:t>EU countries in the KLEMS database</w:t>
      </w:r>
      <w:r w:rsidR="00C32CE4">
        <w:rPr>
          <w:rFonts w:ascii="Times New Roman" w:hAnsi="Times New Roman" w:cs="Times New Roman"/>
          <w:sz w:val="24"/>
          <w:szCs w:val="24"/>
        </w:rPr>
        <w:t xml:space="preserve"> (</w:t>
      </w:r>
      <w:proofErr w:type="spellStart"/>
      <w:r w:rsidR="00C32CE4">
        <w:rPr>
          <w:rFonts w:ascii="Times New Roman" w:hAnsi="Times New Roman" w:cs="Times New Roman"/>
          <w:sz w:val="24"/>
          <w:szCs w:val="24"/>
        </w:rPr>
        <w:t>Stehrer</w:t>
      </w:r>
      <w:proofErr w:type="spellEnd"/>
      <w:r w:rsidR="00C32CE4">
        <w:rPr>
          <w:rFonts w:ascii="Times New Roman" w:hAnsi="Times New Roman" w:cs="Times New Roman"/>
          <w:sz w:val="24"/>
          <w:szCs w:val="24"/>
        </w:rPr>
        <w:t xml:space="preserve"> et al. 2019)</w:t>
      </w:r>
      <w:r w:rsidR="002A0D77" w:rsidRPr="00C024FA">
        <w:rPr>
          <w:rFonts w:ascii="Times New Roman" w:hAnsi="Times New Roman" w:cs="Times New Roman"/>
          <w:sz w:val="24"/>
          <w:szCs w:val="24"/>
        </w:rPr>
        <w:t xml:space="preserve">. Values of price indices for machinery and equipment (i.e., machinery and equipment excluding transport and ICT equipment) are very close to 100, the value for the base year 2010, for all years for most countries in the database. Taking </w:t>
      </w:r>
      <w:r w:rsidR="001437C4">
        <w:rPr>
          <w:rFonts w:ascii="Times New Roman" w:hAnsi="Times New Roman" w:cs="Times New Roman"/>
          <w:sz w:val="24"/>
          <w:szCs w:val="24"/>
        </w:rPr>
        <w:t xml:space="preserve">the </w:t>
      </w:r>
      <w:r w:rsidR="002A0D77" w:rsidRPr="00C024FA">
        <w:rPr>
          <w:rFonts w:ascii="Times New Roman" w:hAnsi="Times New Roman" w:cs="Times New Roman"/>
          <w:sz w:val="24"/>
          <w:szCs w:val="24"/>
        </w:rPr>
        <w:t xml:space="preserve">Czech Republic as an example. In the 23 years between 1995 and 2017, there are only seven years (1999-2001 prior </w:t>
      </w:r>
      <w:r w:rsidR="001437C4">
        <w:rPr>
          <w:rFonts w:ascii="Times New Roman" w:hAnsi="Times New Roman" w:cs="Times New Roman"/>
          <w:sz w:val="24"/>
          <w:szCs w:val="24"/>
        </w:rPr>
        <w:t xml:space="preserve">to </w:t>
      </w:r>
      <w:r w:rsidR="002A0D77" w:rsidRPr="00C024FA">
        <w:rPr>
          <w:rFonts w:ascii="Times New Roman" w:hAnsi="Times New Roman" w:cs="Times New Roman"/>
          <w:sz w:val="24"/>
          <w:szCs w:val="24"/>
        </w:rPr>
        <w:t xml:space="preserve">2010 and 2014-2017 </w:t>
      </w:r>
      <w:r w:rsidR="001437C4">
        <w:rPr>
          <w:rFonts w:ascii="Times New Roman" w:hAnsi="Times New Roman" w:cs="Times New Roman"/>
          <w:sz w:val="24"/>
          <w:szCs w:val="24"/>
        </w:rPr>
        <w:t xml:space="preserve">after </w:t>
      </w:r>
      <w:r w:rsidR="002A0D77" w:rsidRPr="00C024FA">
        <w:rPr>
          <w:rFonts w:ascii="Times New Roman" w:hAnsi="Times New Roman" w:cs="Times New Roman"/>
          <w:sz w:val="24"/>
          <w:szCs w:val="24"/>
        </w:rPr>
        <w:t xml:space="preserve">2010) where the index value is higher than 110 but the highest value is only 114 in 2016, while it is close to 100 for the remaining 16 years. As a robustness test, we also use </w:t>
      </w:r>
      <w:r w:rsidR="001437C4">
        <w:rPr>
          <w:rFonts w:ascii="Times New Roman" w:hAnsi="Times New Roman" w:cs="Times New Roman"/>
          <w:sz w:val="24"/>
          <w:szCs w:val="24"/>
        </w:rPr>
        <w:t xml:space="preserve">an </w:t>
      </w:r>
      <w:r w:rsidR="002A0D77" w:rsidRPr="00C024FA">
        <w:rPr>
          <w:rFonts w:ascii="Times New Roman" w:hAnsi="Times New Roman" w:cs="Times New Roman"/>
          <w:sz w:val="24"/>
          <w:szCs w:val="24"/>
        </w:rPr>
        <w:t>index value of gross capital formation as a deflator for both machinery and equipment and buildings and structures. The results are similar</w:t>
      </w:r>
      <w:r w:rsidR="001437C4">
        <w:rPr>
          <w:rFonts w:ascii="Times New Roman" w:hAnsi="Times New Roman" w:cs="Times New Roman"/>
          <w:sz w:val="24"/>
          <w:szCs w:val="24"/>
        </w:rPr>
        <w:t xml:space="preserve"> using these two methods as can be seen in </w:t>
      </w:r>
      <w:r w:rsidR="00820262">
        <w:rPr>
          <w:rFonts w:ascii="Times New Roman" w:hAnsi="Times New Roman" w:cs="Times New Roman"/>
          <w:sz w:val="24"/>
          <w:szCs w:val="24"/>
        </w:rPr>
        <w:t>figure 1.6</w:t>
      </w:r>
      <w:r w:rsidR="002A0D77" w:rsidRPr="00C024FA">
        <w:rPr>
          <w:rFonts w:ascii="Times New Roman" w:hAnsi="Times New Roman" w:cs="Times New Roman"/>
          <w:sz w:val="24"/>
          <w:szCs w:val="24"/>
        </w:rPr>
        <w:t>.</w:t>
      </w:r>
    </w:p>
    <w:p w14:paraId="5922F78A" w14:textId="1460C7B0" w:rsidR="00742C6D" w:rsidRPr="00C024FA" w:rsidRDefault="00742C6D" w:rsidP="00C024FA">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The capital stocks in constant 2010 local currency units are then converted to constant 2010 US dollar</w:t>
      </w:r>
      <w:r w:rsidR="00C62179">
        <w:rPr>
          <w:rFonts w:ascii="Times New Roman" w:hAnsi="Times New Roman" w:cs="Times New Roman"/>
          <w:sz w:val="24"/>
          <w:szCs w:val="24"/>
        </w:rPr>
        <w:t>s</w:t>
      </w:r>
      <w:r w:rsidRPr="00C024FA">
        <w:rPr>
          <w:rFonts w:ascii="Times New Roman" w:hAnsi="Times New Roman" w:cs="Times New Roman"/>
          <w:sz w:val="24"/>
          <w:szCs w:val="24"/>
        </w:rPr>
        <w:t xml:space="preserve"> using 2010 official market exchange rates. Finally, capital stocks are converted to 2010 Purchasing Power Parities (PPPs) using </w:t>
      </w:r>
      <w:r w:rsidR="00C62179">
        <w:rPr>
          <w:rFonts w:ascii="Times New Roman" w:hAnsi="Times New Roman" w:cs="Times New Roman"/>
          <w:sz w:val="24"/>
          <w:szCs w:val="24"/>
        </w:rPr>
        <w:t xml:space="preserve">the </w:t>
      </w:r>
      <w:r w:rsidRPr="00C024FA">
        <w:rPr>
          <w:rFonts w:ascii="Times New Roman" w:hAnsi="Times New Roman" w:cs="Times New Roman"/>
          <w:sz w:val="24"/>
          <w:szCs w:val="24"/>
        </w:rPr>
        <w:t xml:space="preserve">ICP price deflators available at </w:t>
      </w:r>
      <w:hyperlink r:id="rId8" w:history="1">
        <w:r w:rsidRPr="00C024FA">
          <w:rPr>
            <w:rStyle w:val="Hyperlink"/>
            <w:rFonts w:ascii="Times New Roman" w:hAnsi="Times New Roman" w:cs="Times New Roman"/>
            <w:sz w:val="24"/>
            <w:szCs w:val="24"/>
          </w:rPr>
          <w:t>https://www.worldbank.org/en/programs/icp</w:t>
        </w:r>
      </w:hyperlink>
      <w:r w:rsidRPr="00C024FA">
        <w:rPr>
          <w:rFonts w:ascii="Times New Roman" w:hAnsi="Times New Roman" w:cs="Times New Roman"/>
          <w:sz w:val="24"/>
          <w:szCs w:val="24"/>
        </w:rPr>
        <w:t xml:space="preserve"> (International Comparison Program) (World Bank 2020b). </w:t>
      </w:r>
    </w:p>
    <w:p w14:paraId="2D7F5BD9" w14:textId="6F7A4CAC" w:rsidR="00742C6D" w:rsidRPr="00C024FA" w:rsidRDefault="00742C6D" w:rsidP="00C024FA">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The PPP exchange rates for “Machinery and Equipment” and “Construction” are used in the conversion for each of the two types of capital. The 2010 PPP exchange rates are derived from the annual growth rate in the PPP exchange rates between 2011 and 2017, which are available in</w:t>
      </w:r>
      <w:r w:rsidR="004872BE">
        <w:rPr>
          <w:rFonts w:ascii="Times New Roman" w:hAnsi="Times New Roman" w:cs="Times New Roman"/>
          <w:sz w:val="24"/>
          <w:szCs w:val="24"/>
        </w:rPr>
        <w:t xml:space="preserve"> the</w:t>
      </w:r>
      <w:r w:rsidRPr="00C024FA">
        <w:rPr>
          <w:rFonts w:ascii="Times New Roman" w:hAnsi="Times New Roman" w:cs="Times New Roman"/>
          <w:sz w:val="24"/>
          <w:szCs w:val="24"/>
        </w:rPr>
        <w:t xml:space="preserve"> ICP database. The PPP exchange rates for machinery and equipment are consistently higher than the PPP exchange rates for construction in most countries; the difference is particularly large for low-income countries. In the cases of Ethiopia and Tanzania, the ratio of the PPP value of machinery and equipment to construction is 7.99 for Ethiopia and for Tanzania it is 8.23. Moreover, the 2011 PPP exchange rates for machinery and equipment are 30</w:t>
      </w:r>
      <w:r w:rsidR="00952655">
        <w:rPr>
          <w:rFonts w:ascii="Times New Roman" w:hAnsi="Times New Roman" w:cs="Times New Roman"/>
          <w:sz w:val="24"/>
          <w:szCs w:val="24"/>
        </w:rPr>
        <w:t xml:space="preserve"> percent</w:t>
      </w:r>
      <w:r w:rsidRPr="00C024FA">
        <w:rPr>
          <w:rFonts w:ascii="Times New Roman" w:hAnsi="Times New Roman" w:cs="Times New Roman"/>
          <w:sz w:val="24"/>
          <w:szCs w:val="24"/>
        </w:rPr>
        <w:t xml:space="preserve"> and 20</w:t>
      </w:r>
      <w:r w:rsidR="00952655">
        <w:rPr>
          <w:rFonts w:ascii="Times New Roman" w:hAnsi="Times New Roman" w:cs="Times New Roman"/>
          <w:sz w:val="24"/>
          <w:szCs w:val="24"/>
        </w:rPr>
        <w:t xml:space="preserve"> percent</w:t>
      </w:r>
      <w:r w:rsidRPr="00C024FA">
        <w:rPr>
          <w:rFonts w:ascii="Times New Roman" w:hAnsi="Times New Roman" w:cs="Times New Roman"/>
          <w:sz w:val="24"/>
          <w:szCs w:val="24"/>
        </w:rPr>
        <w:t xml:space="preserve"> higher than the market exchange rates in Ethiopia and Tanzania respectively. By </w:t>
      </w:r>
      <w:r w:rsidRPr="00C024FA">
        <w:rPr>
          <w:rFonts w:ascii="Times New Roman" w:hAnsi="Times New Roman" w:cs="Times New Roman"/>
          <w:sz w:val="24"/>
          <w:szCs w:val="24"/>
        </w:rPr>
        <w:lastRenderedPageBreak/>
        <w:t>contrast, the PPP exchange rates for construction are only 17</w:t>
      </w:r>
      <w:r w:rsidR="00952655">
        <w:rPr>
          <w:rFonts w:ascii="Times New Roman" w:hAnsi="Times New Roman" w:cs="Times New Roman"/>
          <w:sz w:val="24"/>
          <w:szCs w:val="24"/>
        </w:rPr>
        <w:t xml:space="preserve"> percent</w:t>
      </w:r>
      <w:r w:rsidRPr="00C024FA">
        <w:rPr>
          <w:rFonts w:ascii="Times New Roman" w:hAnsi="Times New Roman" w:cs="Times New Roman"/>
          <w:sz w:val="24"/>
          <w:szCs w:val="24"/>
        </w:rPr>
        <w:t xml:space="preserve"> and 14</w:t>
      </w:r>
      <w:r w:rsidR="00952655">
        <w:rPr>
          <w:rFonts w:ascii="Times New Roman" w:hAnsi="Times New Roman" w:cs="Times New Roman"/>
          <w:sz w:val="24"/>
          <w:szCs w:val="24"/>
        </w:rPr>
        <w:t xml:space="preserve"> percent</w:t>
      </w:r>
      <w:r w:rsidR="00952655" w:rsidRPr="00C024FA">
        <w:rPr>
          <w:rFonts w:ascii="Times New Roman" w:hAnsi="Times New Roman" w:cs="Times New Roman"/>
          <w:sz w:val="24"/>
          <w:szCs w:val="24"/>
        </w:rPr>
        <w:t xml:space="preserve"> </w:t>
      </w:r>
      <w:r w:rsidRPr="00C024FA">
        <w:rPr>
          <w:rFonts w:ascii="Times New Roman" w:hAnsi="Times New Roman" w:cs="Times New Roman"/>
          <w:sz w:val="24"/>
          <w:szCs w:val="24"/>
        </w:rPr>
        <w:t xml:space="preserve">of market exchange rates in these </w:t>
      </w:r>
      <w:r w:rsidR="004872BE">
        <w:rPr>
          <w:rFonts w:ascii="Times New Roman" w:hAnsi="Times New Roman" w:cs="Times New Roman"/>
          <w:sz w:val="24"/>
          <w:szCs w:val="24"/>
        </w:rPr>
        <w:t xml:space="preserve">same two </w:t>
      </w:r>
      <w:r w:rsidRPr="00C024FA">
        <w:rPr>
          <w:rFonts w:ascii="Times New Roman" w:hAnsi="Times New Roman" w:cs="Times New Roman"/>
          <w:sz w:val="24"/>
          <w:szCs w:val="24"/>
        </w:rPr>
        <w:t>countries respectively.</w:t>
      </w:r>
    </w:p>
    <w:p w14:paraId="09F37132" w14:textId="782CC206" w:rsidR="00742C6D" w:rsidRPr="00C024FA" w:rsidRDefault="00742C6D" w:rsidP="00C024FA">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For employment, we use the number of permanent persons employed.</w:t>
      </w:r>
      <w:r w:rsidR="00A5339D">
        <w:rPr>
          <w:rFonts w:ascii="Times New Roman" w:hAnsi="Times New Roman" w:cs="Times New Roman"/>
          <w:sz w:val="24"/>
          <w:szCs w:val="24"/>
        </w:rPr>
        <w:t xml:space="preserve"> This is to be consistent with our comparator country, the Czech Republic, as well as the other European countries in tables </w:t>
      </w:r>
      <w:r w:rsidR="00820262">
        <w:rPr>
          <w:rFonts w:ascii="Times New Roman" w:hAnsi="Times New Roman" w:cs="Times New Roman"/>
          <w:sz w:val="24"/>
          <w:szCs w:val="24"/>
        </w:rPr>
        <w:t>1.</w:t>
      </w:r>
      <w:r w:rsidR="00A5339D">
        <w:rPr>
          <w:rFonts w:ascii="Times New Roman" w:hAnsi="Times New Roman" w:cs="Times New Roman"/>
          <w:sz w:val="24"/>
          <w:szCs w:val="24"/>
        </w:rPr>
        <w:t xml:space="preserve">5 and </w:t>
      </w:r>
      <w:r w:rsidR="00820262">
        <w:rPr>
          <w:rFonts w:ascii="Times New Roman" w:hAnsi="Times New Roman" w:cs="Times New Roman"/>
          <w:sz w:val="24"/>
          <w:szCs w:val="24"/>
        </w:rPr>
        <w:t>1.</w:t>
      </w:r>
      <w:r w:rsidR="00A5339D">
        <w:rPr>
          <w:rFonts w:ascii="Times New Roman" w:hAnsi="Times New Roman" w:cs="Times New Roman"/>
          <w:sz w:val="24"/>
          <w:szCs w:val="24"/>
        </w:rPr>
        <w:t xml:space="preserve">6. Those data come from EU KLEMS, in which employment is defined as permanent workers. </w:t>
      </w:r>
      <w:r w:rsidRPr="00C024FA">
        <w:rPr>
          <w:rFonts w:ascii="Times New Roman" w:hAnsi="Times New Roman" w:cs="Times New Roman"/>
          <w:sz w:val="24"/>
          <w:szCs w:val="24"/>
        </w:rPr>
        <w:t xml:space="preserve">However, </w:t>
      </w:r>
      <w:r w:rsidR="004872BE">
        <w:rPr>
          <w:rFonts w:ascii="Times New Roman" w:hAnsi="Times New Roman" w:cs="Times New Roman"/>
          <w:sz w:val="24"/>
          <w:szCs w:val="24"/>
        </w:rPr>
        <w:t xml:space="preserve">the </w:t>
      </w:r>
      <w:r w:rsidRPr="00C024FA">
        <w:rPr>
          <w:rFonts w:ascii="Times New Roman" w:hAnsi="Times New Roman" w:cs="Times New Roman"/>
          <w:sz w:val="24"/>
          <w:szCs w:val="24"/>
        </w:rPr>
        <w:t>ASIP</w:t>
      </w:r>
      <w:r w:rsidR="004872BE">
        <w:rPr>
          <w:rFonts w:ascii="Times New Roman" w:hAnsi="Times New Roman" w:cs="Times New Roman"/>
          <w:sz w:val="24"/>
          <w:szCs w:val="24"/>
        </w:rPr>
        <w:t xml:space="preserve"> data</w:t>
      </w:r>
      <w:r w:rsidRPr="00C024FA">
        <w:rPr>
          <w:rFonts w:ascii="Times New Roman" w:hAnsi="Times New Roman" w:cs="Times New Roman"/>
          <w:sz w:val="24"/>
          <w:szCs w:val="24"/>
        </w:rPr>
        <w:t xml:space="preserve"> does not separate permanent and temporary employment, thus we use total persons employed, which </w:t>
      </w:r>
      <w:r w:rsidR="004872BE">
        <w:rPr>
          <w:rFonts w:ascii="Times New Roman" w:hAnsi="Times New Roman" w:cs="Times New Roman"/>
          <w:sz w:val="24"/>
          <w:szCs w:val="24"/>
        </w:rPr>
        <w:t xml:space="preserve">may </w:t>
      </w:r>
      <w:r w:rsidRPr="00C024FA">
        <w:rPr>
          <w:rFonts w:ascii="Times New Roman" w:hAnsi="Times New Roman" w:cs="Times New Roman"/>
          <w:sz w:val="24"/>
          <w:szCs w:val="24"/>
        </w:rPr>
        <w:t>cause us to underestimate capital intensity in Tanzania compared with Ethiopia and the compar</w:t>
      </w:r>
      <w:r w:rsidR="004872BE">
        <w:rPr>
          <w:rFonts w:ascii="Times New Roman" w:hAnsi="Times New Roman" w:cs="Times New Roman"/>
          <w:sz w:val="24"/>
          <w:szCs w:val="24"/>
        </w:rPr>
        <w:t>ator</w:t>
      </w:r>
      <w:r w:rsidRPr="00C024FA">
        <w:rPr>
          <w:rFonts w:ascii="Times New Roman" w:hAnsi="Times New Roman" w:cs="Times New Roman"/>
          <w:sz w:val="24"/>
          <w:szCs w:val="24"/>
        </w:rPr>
        <w:t xml:space="preserve"> EU countries.</w:t>
      </w:r>
      <w:r w:rsidRPr="00C024FA">
        <w:rPr>
          <w:rStyle w:val="FootnoteReference"/>
          <w:rFonts w:ascii="Times New Roman" w:hAnsi="Times New Roman" w:cs="Times New Roman"/>
          <w:sz w:val="24"/>
          <w:szCs w:val="24"/>
        </w:rPr>
        <w:footnoteReference w:id="1"/>
      </w:r>
    </w:p>
    <w:p w14:paraId="5B4A4B14" w14:textId="47260540" w:rsidR="00742C6D" w:rsidRPr="00C024FA" w:rsidRDefault="00742C6D" w:rsidP="00C024FA">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 xml:space="preserve">We divide the total </w:t>
      </w:r>
      <w:r w:rsidR="00042B87">
        <w:rPr>
          <w:rFonts w:ascii="Times New Roman" w:hAnsi="Times New Roman" w:cs="Times New Roman"/>
          <w:sz w:val="24"/>
          <w:szCs w:val="24"/>
        </w:rPr>
        <w:t xml:space="preserve">deflated </w:t>
      </w:r>
      <w:r w:rsidRPr="00C024FA">
        <w:rPr>
          <w:rFonts w:ascii="Times New Roman" w:hAnsi="Times New Roman" w:cs="Times New Roman"/>
          <w:sz w:val="24"/>
          <w:szCs w:val="24"/>
        </w:rPr>
        <w:t>capital stock - equal to the sum of the capital stock in machinery and equipment plus buildings – by the number of employees to get the capital-labor ratio for each year and then take the average over different periods. For the most recent period, it is 2010-2017 for Ethiopia and 2010-2016 for Tanzania</w:t>
      </w:r>
      <w:r w:rsidR="00CF4D5C">
        <w:rPr>
          <w:rFonts w:ascii="Times New Roman" w:hAnsi="Times New Roman" w:cs="Times New Roman"/>
          <w:sz w:val="24"/>
          <w:szCs w:val="24"/>
        </w:rPr>
        <w:t>.</w:t>
      </w:r>
    </w:p>
    <w:p w14:paraId="4C2F15C8" w14:textId="18A4302F" w:rsidR="00742C6D" w:rsidRPr="00C024FA" w:rsidRDefault="00742C6D" w:rsidP="00C024FA">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 xml:space="preserve">As in our other analyses, we define firm size in the following way: </w:t>
      </w:r>
      <w:bookmarkStart w:id="7" w:name="_Hlk55989724"/>
      <w:r w:rsidRPr="00C024FA">
        <w:rPr>
          <w:rFonts w:ascii="Times New Roman" w:hAnsi="Times New Roman" w:cs="Times New Roman"/>
          <w:sz w:val="24"/>
          <w:szCs w:val="24"/>
        </w:rPr>
        <w:t xml:space="preserve">firms with 10-49 employees are classified as small firms while firms with 50 or more employees are classified as large firms. </w:t>
      </w:r>
      <w:r w:rsidR="00582E18">
        <w:rPr>
          <w:rFonts w:ascii="Times New Roman" w:hAnsi="Times New Roman" w:cs="Times New Roman"/>
          <w:sz w:val="24"/>
          <w:szCs w:val="24"/>
        </w:rPr>
        <w:t>W</w:t>
      </w:r>
      <w:r w:rsidRPr="00C024FA">
        <w:rPr>
          <w:rFonts w:ascii="Times New Roman" w:hAnsi="Times New Roman" w:cs="Times New Roman"/>
          <w:sz w:val="24"/>
          <w:szCs w:val="24"/>
        </w:rPr>
        <w:t xml:space="preserve">e create new, time-invariant definitions for foreign and exporting firms in order to create aggregates from a consistent sample of firms. Foreign firms are defined as those with foreign ownership for the majority of years or at least one year with data available only for two years. Exporters are firms reporting exports in every year. </w:t>
      </w:r>
    </w:p>
    <w:p w14:paraId="4563797D" w14:textId="7C471FB6" w:rsidR="00742C6D" w:rsidRPr="00C024FA" w:rsidRDefault="00742C6D" w:rsidP="00C024FA">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 xml:space="preserve">Among the large firms, we further classify firms by capital intensity in the following way. First, we rank firms by </w:t>
      </w:r>
      <w:r w:rsidR="00042B87">
        <w:rPr>
          <w:rFonts w:ascii="Times New Roman" w:hAnsi="Times New Roman" w:cs="Times New Roman"/>
          <w:sz w:val="24"/>
          <w:szCs w:val="24"/>
        </w:rPr>
        <w:t xml:space="preserve">the </w:t>
      </w:r>
      <w:r w:rsidRPr="00C024FA">
        <w:rPr>
          <w:rFonts w:ascii="Times New Roman" w:hAnsi="Times New Roman" w:cs="Times New Roman"/>
          <w:sz w:val="24"/>
          <w:szCs w:val="24"/>
        </w:rPr>
        <w:t xml:space="preserve">capital – labor ratio (K/L) and then choose the top 10% </w:t>
      </w:r>
      <w:r w:rsidR="00042B87">
        <w:rPr>
          <w:rFonts w:ascii="Times New Roman" w:hAnsi="Times New Roman" w:cs="Times New Roman"/>
          <w:sz w:val="24"/>
          <w:szCs w:val="24"/>
        </w:rPr>
        <w:t xml:space="preserve">of </w:t>
      </w:r>
      <w:r w:rsidRPr="00C024FA">
        <w:rPr>
          <w:rFonts w:ascii="Times New Roman" w:hAnsi="Times New Roman" w:cs="Times New Roman"/>
          <w:sz w:val="24"/>
          <w:szCs w:val="24"/>
        </w:rPr>
        <w:t xml:space="preserve">firms according to </w:t>
      </w:r>
      <w:r w:rsidR="00E318EA">
        <w:rPr>
          <w:rFonts w:ascii="Times New Roman" w:hAnsi="Times New Roman" w:cs="Times New Roman"/>
          <w:sz w:val="24"/>
          <w:szCs w:val="24"/>
        </w:rPr>
        <w:t xml:space="preserve">this ranking </w:t>
      </w:r>
      <w:r w:rsidRPr="00C024FA">
        <w:rPr>
          <w:rFonts w:ascii="Times New Roman" w:hAnsi="Times New Roman" w:cs="Times New Roman"/>
          <w:sz w:val="24"/>
          <w:szCs w:val="24"/>
        </w:rPr>
        <w:t>for the initial year of each panel (1996 for Ethiopia and 2008 for Tanzania). In the next year, we add to th</w:t>
      </w:r>
      <w:r w:rsidR="00E318EA">
        <w:rPr>
          <w:rFonts w:ascii="Times New Roman" w:hAnsi="Times New Roman" w:cs="Times New Roman"/>
          <w:sz w:val="24"/>
          <w:szCs w:val="24"/>
        </w:rPr>
        <w:t>is list</w:t>
      </w:r>
      <w:r w:rsidRPr="00C024FA">
        <w:rPr>
          <w:rFonts w:ascii="Times New Roman" w:hAnsi="Times New Roman" w:cs="Times New Roman"/>
          <w:sz w:val="24"/>
          <w:szCs w:val="24"/>
        </w:rPr>
        <w:t xml:space="preserve"> </w:t>
      </w:r>
      <w:r w:rsidR="00E318EA">
        <w:rPr>
          <w:rFonts w:ascii="Times New Roman" w:hAnsi="Times New Roman" w:cs="Times New Roman"/>
          <w:sz w:val="24"/>
          <w:szCs w:val="24"/>
        </w:rPr>
        <w:t xml:space="preserve">new </w:t>
      </w:r>
      <w:r w:rsidRPr="00C024FA">
        <w:rPr>
          <w:rFonts w:ascii="Times New Roman" w:hAnsi="Times New Roman" w:cs="Times New Roman"/>
          <w:sz w:val="24"/>
          <w:szCs w:val="24"/>
        </w:rPr>
        <w:t xml:space="preserve">firms </w:t>
      </w:r>
      <w:r w:rsidR="00E318EA">
        <w:rPr>
          <w:rFonts w:ascii="Times New Roman" w:hAnsi="Times New Roman" w:cs="Times New Roman"/>
          <w:sz w:val="24"/>
          <w:szCs w:val="24"/>
        </w:rPr>
        <w:t xml:space="preserve">appearing in the top 10% of the </w:t>
      </w:r>
      <w:r w:rsidRPr="00C024FA">
        <w:rPr>
          <w:rFonts w:ascii="Times New Roman" w:hAnsi="Times New Roman" w:cs="Times New Roman"/>
          <w:sz w:val="24"/>
          <w:szCs w:val="24"/>
        </w:rPr>
        <w:t>K/L ra</w:t>
      </w:r>
      <w:r w:rsidR="00E318EA">
        <w:rPr>
          <w:rFonts w:ascii="Times New Roman" w:hAnsi="Times New Roman" w:cs="Times New Roman"/>
          <w:sz w:val="24"/>
          <w:szCs w:val="24"/>
        </w:rPr>
        <w:t xml:space="preserve">nking. </w:t>
      </w:r>
      <w:r w:rsidRPr="00C024FA">
        <w:rPr>
          <w:rFonts w:ascii="Times New Roman" w:hAnsi="Times New Roman" w:cs="Times New Roman"/>
          <w:sz w:val="24"/>
          <w:szCs w:val="24"/>
        </w:rPr>
        <w:t xml:space="preserve">Thus, once a firm is classified as in the top 10% according to capital intensity, it remains in that group for every year it is observed.  We follow the same procedure to classify the bottom 10% of firms, and the middle 80% is defined as the residual. Among the large firms, we </w:t>
      </w:r>
      <w:r w:rsidRPr="00C024FA">
        <w:rPr>
          <w:rFonts w:ascii="Times New Roman" w:hAnsi="Times New Roman" w:cs="Times New Roman"/>
          <w:sz w:val="24"/>
          <w:szCs w:val="24"/>
        </w:rPr>
        <w:lastRenderedPageBreak/>
        <w:t xml:space="preserve">further classify firms that enter the sample in 2010 or later as new entrants relative to firms that are in the sample prior to 2010. </w:t>
      </w:r>
    </w:p>
    <w:bookmarkEnd w:id="7"/>
    <w:p w14:paraId="14389677" w14:textId="42039010" w:rsidR="00742C6D" w:rsidRPr="00C024FA" w:rsidRDefault="00742C6D" w:rsidP="00C024FA">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 xml:space="preserve">In addition to reporting K/L ratios for the full sample, we also report K/L ratios for the following sector groups: (a) food products, </w:t>
      </w:r>
      <w:proofErr w:type="gramStart"/>
      <w:r w:rsidRPr="00C024FA">
        <w:rPr>
          <w:rFonts w:ascii="Times New Roman" w:hAnsi="Times New Roman" w:cs="Times New Roman"/>
          <w:sz w:val="24"/>
          <w:szCs w:val="24"/>
        </w:rPr>
        <w:t>beverages</w:t>
      </w:r>
      <w:proofErr w:type="gramEnd"/>
      <w:r w:rsidRPr="00C024FA">
        <w:rPr>
          <w:rFonts w:ascii="Times New Roman" w:hAnsi="Times New Roman" w:cs="Times New Roman"/>
          <w:sz w:val="24"/>
          <w:szCs w:val="24"/>
        </w:rPr>
        <w:t xml:space="preserve"> and tobacco; (b) rubber and plastics and non-metallic minerals</w:t>
      </w:r>
      <w:r w:rsidR="000125C5">
        <w:rPr>
          <w:rFonts w:ascii="Times New Roman" w:hAnsi="Times New Roman" w:cs="Times New Roman"/>
          <w:sz w:val="24"/>
          <w:szCs w:val="24"/>
        </w:rPr>
        <w:t>;</w:t>
      </w:r>
      <w:r w:rsidRPr="00C024FA">
        <w:rPr>
          <w:rFonts w:ascii="Times New Roman" w:hAnsi="Times New Roman" w:cs="Times New Roman"/>
          <w:sz w:val="24"/>
          <w:szCs w:val="24"/>
        </w:rPr>
        <w:t xml:space="preserve"> </w:t>
      </w:r>
      <w:r w:rsidR="00582E18" w:rsidRPr="00C024FA">
        <w:rPr>
          <w:rFonts w:ascii="Times New Roman" w:hAnsi="Times New Roman" w:cs="Times New Roman"/>
          <w:sz w:val="24"/>
          <w:szCs w:val="24"/>
        </w:rPr>
        <w:t>and</w:t>
      </w:r>
      <w:r w:rsidRPr="00C024FA">
        <w:rPr>
          <w:rFonts w:ascii="Times New Roman" w:hAnsi="Times New Roman" w:cs="Times New Roman"/>
          <w:sz w:val="24"/>
          <w:szCs w:val="24"/>
        </w:rPr>
        <w:t xml:space="preserve"> (c) textiles, wearing apparel, leather and related products. These groups are comparable to the sector </w:t>
      </w:r>
      <w:r w:rsidR="00D13D83">
        <w:rPr>
          <w:rFonts w:ascii="Times New Roman" w:hAnsi="Times New Roman" w:cs="Times New Roman"/>
          <w:sz w:val="24"/>
          <w:szCs w:val="24"/>
        </w:rPr>
        <w:t xml:space="preserve">classifications </w:t>
      </w:r>
      <w:r w:rsidRPr="00C024FA">
        <w:rPr>
          <w:rFonts w:ascii="Times New Roman" w:hAnsi="Times New Roman" w:cs="Times New Roman"/>
          <w:sz w:val="24"/>
          <w:szCs w:val="24"/>
        </w:rPr>
        <w:t>in the EU-KLEMS database.</w:t>
      </w:r>
    </w:p>
    <w:p w14:paraId="59F115D7" w14:textId="1B423307" w:rsidR="00742C6D" w:rsidRPr="00C024FA" w:rsidRDefault="00742C6D" w:rsidP="00C024FA">
      <w:pPr>
        <w:spacing w:after="200" w:line="360" w:lineRule="auto"/>
        <w:ind w:firstLine="720"/>
        <w:rPr>
          <w:rFonts w:ascii="Times New Roman" w:hAnsi="Times New Roman" w:cs="Times New Roman"/>
          <w:sz w:val="24"/>
          <w:szCs w:val="24"/>
        </w:rPr>
      </w:pPr>
      <w:r w:rsidRPr="00C024FA">
        <w:rPr>
          <w:rFonts w:ascii="Times New Roman" w:hAnsi="Times New Roman" w:cs="Times New Roman"/>
          <w:sz w:val="24"/>
          <w:szCs w:val="24"/>
        </w:rPr>
        <w:t>We chose these sectors because of their relative importance to Ethiopia and Tanzania</w:t>
      </w:r>
      <w:r w:rsidR="00582E18">
        <w:rPr>
          <w:rFonts w:ascii="Times New Roman" w:hAnsi="Times New Roman" w:cs="Times New Roman"/>
          <w:sz w:val="24"/>
          <w:szCs w:val="24"/>
        </w:rPr>
        <w:t xml:space="preserve"> and because textiles, wearing apparel and leather have historically been labor intensive</w:t>
      </w:r>
      <w:r w:rsidRPr="00C024FA">
        <w:rPr>
          <w:rFonts w:ascii="Times New Roman" w:hAnsi="Times New Roman" w:cs="Times New Roman"/>
          <w:sz w:val="24"/>
          <w:szCs w:val="24"/>
        </w:rPr>
        <w:t xml:space="preserve">. Measured by value-added, food products, beverages and tobacco </w:t>
      </w:r>
      <w:proofErr w:type="gramStart"/>
      <w:r w:rsidRPr="00C024FA">
        <w:rPr>
          <w:rFonts w:ascii="Times New Roman" w:hAnsi="Times New Roman" w:cs="Times New Roman"/>
          <w:sz w:val="24"/>
          <w:szCs w:val="24"/>
        </w:rPr>
        <w:t>is</w:t>
      </w:r>
      <w:proofErr w:type="gramEnd"/>
      <w:r w:rsidRPr="00C024FA">
        <w:rPr>
          <w:rFonts w:ascii="Times New Roman" w:hAnsi="Times New Roman" w:cs="Times New Roman"/>
          <w:sz w:val="24"/>
          <w:szCs w:val="24"/>
        </w:rPr>
        <w:t xml:space="preserve"> the largest sector in both countries </w:t>
      </w:r>
      <w:r w:rsidR="00D13D83">
        <w:rPr>
          <w:rFonts w:ascii="Times New Roman" w:hAnsi="Times New Roman" w:cs="Times New Roman"/>
          <w:sz w:val="24"/>
          <w:szCs w:val="24"/>
        </w:rPr>
        <w:t xml:space="preserve">accounting for </w:t>
      </w:r>
      <w:r w:rsidRPr="00C024FA">
        <w:rPr>
          <w:rFonts w:ascii="Times New Roman" w:hAnsi="Times New Roman" w:cs="Times New Roman"/>
          <w:sz w:val="24"/>
          <w:szCs w:val="24"/>
        </w:rPr>
        <w:t>41</w:t>
      </w:r>
      <w:r w:rsidR="00952655">
        <w:rPr>
          <w:rFonts w:ascii="Times New Roman" w:hAnsi="Times New Roman" w:cs="Times New Roman"/>
          <w:sz w:val="24"/>
          <w:szCs w:val="24"/>
        </w:rPr>
        <w:t xml:space="preserve"> percent</w:t>
      </w:r>
      <w:r w:rsidRPr="00C024FA">
        <w:rPr>
          <w:rFonts w:ascii="Times New Roman" w:hAnsi="Times New Roman" w:cs="Times New Roman"/>
          <w:sz w:val="24"/>
          <w:szCs w:val="24"/>
        </w:rPr>
        <w:t xml:space="preserve"> of total manufacturing value-added in Ethiopia and 56</w:t>
      </w:r>
      <w:r w:rsidR="00952655">
        <w:rPr>
          <w:rFonts w:ascii="Times New Roman" w:hAnsi="Times New Roman" w:cs="Times New Roman"/>
          <w:sz w:val="24"/>
          <w:szCs w:val="24"/>
        </w:rPr>
        <w:t xml:space="preserve"> percent</w:t>
      </w:r>
      <w:r w:rsidRPr="00C024FA">
        <w:rPr>
          <w:rFonts w:ascii="Times New Roman" w:hAnsi="Times New Roman" w:cs="Times New Roman"/>
          <w:sz w:val="24"/>
          <w:szCs w:val="24"/>
        </w:rPr>
        <w:t xml:space="preserve"> in Tanzania. Rubber and plastics products, and other non-metallic mineral products sector is also relatively large in both countries </w:t>
      </w:r>
      <w:r w:rsidR="00D13D83">
        <w:rPr>
          <w:rFonts w:ascii="Times New Roman" w:hAnsi="Times New Roman" w:cs="Times New Roman"/>
          <w:sz w:val="24"/>
          <w:szCs w:val="24"/>
        </w:rPr>
        <w:t>accounting for</w:t>
      </w:r>
      <w:r w:rsidRPr="00C024FA">
        <w:rPr>
          <w:rFonts w:ascii="Times New Roman" w:hAnsi="Times New Roman" w:cs="Times New Roman"/>
          <w:sz w:val="24"/>
          <w:szCs w:val="24"/>
        </w:rPr>
        <w:t xml:space="preserve"> 17</w:t>
      </w:r>
      <w:r w:rsidR="00952655">
        <w:rPr>
          <w:rFonts w:ascii="Times New Roman" w:hAnsi="Times New Roman" w:cs="Times New Roman"/>
          <w:sz w:val="24"/>
          <w:szCs w:val="24"/>
        </w:rPr>
        <w:t xml:space="preserve"> percent</w:t>
      </w:r>
      <w:r w:rsidRPr="00C024FA">
        <w:rPr>
          <w:rFonts w:ascii="Times New Roman" w:hAnsi="Times New Roman" w:cs="Times New Roman"/>
          <w:sz w:val="24"/>
          <w:szCs w:val="24"/>
        </w:rPr>
        <w:t xml:space="preserve"> of total manufacturing value-added in Ethiopia and 16</w:t>
      </w:r>
      <w:r w:rsidR="00952655">
        <w:rPr>
          <w:rFonts w:ascii="Times New Roman" w:hAnsi="Times New Roman" w:cs="Times New Roman"/>
          <w:sz w:val="24"/>
          <w:szCs w:val="24"/>
        </w:rPr>
        <w:t xml:space="preserve"> percent</w:t>
      </w:r>
      <w:r w:rsidRPr="00C024FA">
        <w:rPr>
          <w:rFonts w:ascii="Times New Roman" w:hAnsi="Times New Roman" w:cs="Times New Roman"/>
          <w:sz w:val="24"/>
          <w:szCs w:val="24"/>
        </w:rPr>
        <w:t xml:space="preserve"> in Tanzania. Textiles, wearing apparel, leather and related products, account for 10</w:t>
      </w:r>
      <w:r w:rsidR="00952655">
        <w:rPr>
          <w:rFonts w:ascii="Times New Roman" w:hAnsi="Times New Roman" w:cs="Times New Roman"/>
          <w:sz w:val="24"/>
          <w:szCs w:val="24"/>
        </w:rPr>
        <w:t xml:space="preserve"> percent</w:t>
      </w:r>
      <w:r w:rsidRPr="00C024FA">
        <w:rPr>
          <w:rFonts w:ascii="Times New Roman" w:hAnsi="Times New Roman" w:cs="Times New Roman"/>
          <w:sz w:val="24"/>
          <w:szCs w:val="24"/>
        </w:rPr>
        <w:t xml:space="preserve"> of total manufacturing value-added in Ethiopia and 4</w:t>
      </w:r>
      <w:r w:rsidR="00952655">
        <w:rPr>
          <w:rFonts w:ascii="Times New Roman" w:hAnsi="Times New Roman" w:cs="Times New Roman"/>
          <w:sz w:val="24"/>
          <w:szCs w:val="24"/>
        </w:rPr>
        <w:t xml:space="preserve"> percent</w:t>
      </w:r>
      <w:r w:rsidRPr="00C024FA">
        <w:rPr>
          <w:rFonts w:ascii="Times New Roman" w:hAnsi="Times New Roman" w:cs="Times New Roman"/>
          <w:sz w:val="24"/>
          <w:szCs w:val="24"/>
        </w:rPr>
        <w:t xml:space="preserve"> in Tanzania.</w:t>
      </w:r>
    </w:p>
    <w:p w14:paraId="3E800650" w14:textId="5B766820" w:rsidR="00B019FF" w:rsidRDefault="00A3205E" w:rsidP="00A3205E">
      <w:pPr>
        <w:spacing w:line="360" w:lineRule="auto"/>
        <w:ind w:firstLine="360"/>
        <w:rPr>
          <w:rFonts w:ascii="Times New Roman" w:hAnsi="Times New Roman" w:cs="Times New Roman"/>
          <w:sz w:val="24"/>
          <w:szCs w:val="24"/>
        </w:rPr>
      </w:pPr>
      <w:r w:rsidRPr="00A3205E">
        <w:rPr>
          <w:rFonts w:ascii="Times New Roman" w:hAnsi="Times New Roman" w:cs="Times New Roman"/>
          <w:sz w:val="24"/>
          <w:szCs w:val="24"/>
        </w:rPr>
        <w:t xml:space="preserve">In </w:t>
      </w:r>
      <w:r w:rsidR="00820262">
        <w:rPr>
          <w:rFonts w:ascii="Times New Roman" w:hAnsi="Times New Roman" w:cs="Times New Roman"/>
          <w:sz w:val="24"/>
          <w:szCs w:val="24"/>
        </w:rPr>
        <w:t>t</w:t>
      </w:r>
      <w:r w:rsidRPr="00A3205E">
        <w:rPr>
          <w:rFonts w:ascii="Times New Roman" w:hAnsi="Times New Roman" w:cs="Times New Roman"/>
          <w:sz w:val="24"/>
          <w:szCs w:val="24"/>
        </w:rPr>
        <w:t xml:space="preserve">ables </w:t>
      </w:r>
      <w:r w:rsidR="00820262">
        <w:rPr>
          <w:rFonts w:ascii="Times New Roman" w:hAnsi="Times New Roman" w:cs="Times New Roman"/>
          <w:sz w:val="24"/>
          <w:szCs w:val="24"/>
        </w:rPr>
        <w:t>1.</w:t>
      </w:r>
      <w:r w:rsidR="002E563E">
        <w:rPr>
          <w:rFonts w:ascii="Times New Roman" w:hAnsi="Times New Roman" w:cs="Times New Roman"/>
          <w:sz w:val="24"/>
          <w:szCs w:val="24"/>
        </w:rPr>
        <w:t>5</w:t>
      </w:r>
      <w:r w:rsidR="000125C5" w:rsidRPr="00A3205E">
        <w:rPr>
          <w:rFonts w:ascii="Times New Roman" w:hAnsi="Times New Roman" w:cs="Times New Roman"/>
          <w:sz w:val="24"/>
          <w:szCs w:val="24"/>
        </w:rPr>
        <w:t xml:space="preserve"> </w:t>
      </w:r>
      <w:r w:rsidRPr="00A3205E">
        <w:rPr>
          <w:rFonts w:ascii="Times New Roman" w:hAnsi="Times New Roman" w:cs="Times New Roman"/>
          <w:sz w:val="24"/>
          <w:szCs w:val="24"/>
        </w:rPr>
        <w:t xml:space="preserve">and </w:t>
      </w:r>
      <w:r w:rsidR="00820262">
        <w:rPr>
          <w:rFonts w:ascii="Times New Roman" w:hAnsi="Times New Roman" w:cs="Times New Roman"/>
          <w:sz w:val="24"/>
          <w:szCs w:val="24"/>
        </w:rPr>
        <w:t>1.</w:t>
      </w:r>
      <w:r w:rsidR="002E563E">
        <w:rPr>
          <w:rFonts w:ascii="Times New Roman" w:hAnsi="Times New Roman" w:cs="Times New Roman"/>
          <w:sz w:val="24"/>
          <w:szCs w:val="24"/>
        </w:rPr>
        <w:t>6</w:t>
      </w:r>
      <w:r w:rsidRPr="00A3205E">
        <w:rPr>
          <w:rFonts w:ascii="Times New Roman" w:hAnsi="Times New Roman" w:cs="Times New Roman"/>
          <w:sz w:val="24"/>
          <w:szCs w:val="24"/>
        </w:rPr>
        <w:t>, we report 2010-2017 average K/L ratios in thousands of 2010 constant USD and PPP for Ethiopia and Tanzania plus six EU countries for total manufacturing and three manufacturing sectors respectively. The conversion of the ratios for the six EU countries follows the same procedure used for Ethiopia and Tanzania described above. Four of the six EU countries are lower income than the richest EU countries and have sizable populations and manufacturing sectors. The remaining two countries – the Netherlands and the UK – are high income countries and among the largest foreign investors in Africa</w:t>
      </w:r>
      <w:bookmarkStart w:id="8" w:name="_Toc56003494"/>
      <w:bookmarkEnd w:id="2"/>
    </w:p>
    <w:p w14:paraId="7A5F5C60" w14:textId="77777777" w:rsidR="008C6E7A" w:rsidRDefault="008C6E7A" w:rsidP="00A3205E">
      <w:pPr>
        <w:spacing w:line="360" w:lineRule="auto"/>
        <w:ind w:firstLine="360"/>
        <w:rPr>
          <w:rFonts w:ascii="Times New Roman" w:hAnsi="Times New Roman" w:cs="Times New Roman"/>
          <w:sz w:val="24"/>
          <w:szCs w:val="24"/>
        </w:rPr>
      </w:pPr>
    </w:p>
    <w:p w14:paraId="0FB7AC8E" w14:textId="7377CD1D" w:rsidR="008C6E7A" w:rsidRPr="00D9533A" w:rsidRDefault="00D74AB9" w:rsidP="00D9533A">
      <w:pPr>
        <w:pStyle w:val="ListParagraph"/>
        <w:numPr>
          <w:ilvl w:val="0"/>
          <w:numId w:val="6"/>
        </w:numPr>
        <w:spacing w:before="240" w:after="360" w:line="240" w:lineRule="auto"/>
        <w:contextualSpacing w:val="0"/>
        <w:rPr>
          <w:rFonts w:ascii="Times New Roman" w:hAnsi="Times New Roman" w:cs="Times New Roman"/>
          <w:b/>
          <w:bCs/>
          <w:sz w:val="24"/>
          <w:szCs w:val="24"/>
        </w:rPr>
      </w:pPr>
      <w:r w:rsidRPr="00D9533A">
        <w:rPr>
          <w:rFonts w:ascii="Times New Roman" w:hAnsi="Times New Roman" w:cs="Times New Roman"/>
          <w:sz w:val="24"/>
          <w:szCs w:val="24"/>
        </w:rPr>
        <w:br w:type="page"/>
      </w:r>
      <w:r w:rsidR="008C6E7A" w:rsidRPr="00D9533A">
        <w:rPr>
          <w:rFonts w:ascii="Times New Roman" w:hAnsi="Times New Roman" w:cs="Times New Roman"/>
          <w:b/>
          <w:bCs/>
          <w:sz w:val="24"/>
          <w:szCs w:val="24"/>
        </w:rPr>
        <w:lastRenderedPageBreak/>
        <w:t>Auxiliary Results</w:t>
      </w:r>
    </w:p>
    <w:p w14:paraId="51936916" w14:textId="5554EFA8" w:rsidR="008C6E7A" w:rsidRDefault="00AD7BAC" w:rsidP="00D9533A">
      <w:pPr>
        <w:pStyle w:val="ListParagraph"/>
        <w:numPr>
          <w:ilvl w:val="0"/>
          <w:numId w:val="9"/>
        </w:numPr>
        <w:spacing w:before="240" w:line="240" w:lineRule="auto"/>
        <w:rPr>
          <w:rFonts w:ascii="Times New Roman" w:hAnsi="Times New Roman" w:cs="Times New Roman"/>
          <w:i/>
          <w:iCs/>
          <w:sz w:val="24"/>
          <w:szCs w:val="24"/>
        </w:rPr>
      </w:pPr>
      <w:r>
        <w:rPr>
          <w:rFonts w:ascii="Times New Roman" w:hAnsi="Times New Roman" w:cs="Times New Roman"/>
          <w:i/>
          <w:iCs/>
          <w:sz w:val="24"/>
          <w:szCs w:val="24"/>
        </w:rPr>
        <w:t>Main estimation with interactions</w:t>
      </w:r>
    </w:p>
    <w:p w14:paraId="0CAD2F4B" w14:textId="0A98C6F0" w:rsidR="009F646D" w:rsidRDefault="009F646D" w:rsidP="00D417B0">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In section </w:t>
      </w:r>
      <w:r w:rsidR="00206C87">
        <w:rPr>
          <w:rFonts w:ascii="Times New Roman" w:hAnsi="Times New Roman" w:cs="Times New Roman"/>
          <w:sz w:val="24"/>
          <w:szCs w:val="24"/>
        </w:rPr>
        <w:t>4</w:t>
      </w:r>
      <w:r w:rsidR="000E4691">
        <w:rPr>
          <w:rFonts w:ascii="Times New Roman" w:hAnsi="Times New Roman" w:cs="Times New Roman"/>
          <w:sz w:val="24"/>
          <w:szCs w:val="24"/>
        </w:rPr>
        <w:t xml:space="preserve"> </w:t>
      </w:r>
      <w:r>
        <w:rPr>
          <w:rFonts w:ascii="Times New Roman" w:hAnsi="Times New Roman" w:cs="Times New Roman"/>
          <w:sz w:val="24"/>
          <w:szCs w:val="24"/>
        </w:rPr>
        <w:t xml:space="preserve">of the main </w:t>
      </w:r>
      <w:r w:rsidR="00405C04">
        <w:rPr>
          <w:rFonts w:ascii="Times New Roman" w:hAnsi="Times New Roman" w:cs="Times New Roman"/>
          <w:sz w:val="24"/>
          <w:szCs w:val="24"/>
        </w:rPr>
        <w:t>text,</w:t>
      </w:r>
      <w:r>
        <w:rPr>
          <w:rFonts w:ascii="Times New Roman" w:hAnsi="Times New Roman" w:cs="Times New Roman"/>
          <w:sz w:val="24"/>
          <w:szCs w:val="24"/>
        </w:rPr>
        <w:t xml:space="preserve"> we </w:t>
      </w:r>
      <w:r w:rsidR="00405C04">
        <w:rPr>
          <w:rFonts w:ascii="Times New Roman" w:hAnsi="Times New Roman" w:cs="Times New Roman"/>
          <w:sz w:val="24"/>
          <w:szCs w:val="24"/>
        </w:rPr>
        <w:t xml:space="preserve">estimate the </w:t>
      </w:r>
      <w:r>
        <w:rPr>
          <w:rFonts w:ascii="Times New Roman" w:hAnsi="Times New Roman" w:cs="Times New Roman"/>
          <w:sz w:val="24"/>
          <w:szCs w:val="24"/>
        </w:rPr>
        <w:t>following</w:t>
      </w:r>
      <w:r w:rsidR="00405C04">
        <w:rPr>
          <w:rFonts w:ascii="Times New Roman" w:hAnsi="Times New Roman" w:cs="Times New Roman"/>
          <w:sz w:val="24"/>
          <w:szCs w:val="24"/>
        </w:rPr>
        <w:t xml:space="preserve"> equation</w:t>
      </w:r>
      <w:r>
        <w:rPr>
          <w:rFonts w:ascii="Times New Roman" w:hAnsi="Times New Roman" w:cs="Times New Roman"/>
          <w:sz w:val="24"/>
          <w:szCs w:val="24"/>
        </w:rPr>
        <w:t xml:space="preserve">: </w:t>
      </w:r>
    </w:p>
    <w:p w14:paraId="27FA5FD4" w14:textId="2977F61E" w:rsidR="009F646D" w:rsidRDefault="009F646D" w:rsidP="00D417B0">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(2)                  </w:t>
      </w:r>
      <m:oMath>
        <m:func>
          <m:funcPr>
            <m:ctrlPr>
              <w:rPr>
                <w:rFonts w:ascii="Cambria Math" w:hAnsi="Cambria Math" w:cs="Times New Roman"/>
                <w:sz w:val="24"/>
                <w:szCs w:val="24"/>
              </w:rPr>
            </m:ctrlPr>
          </m:funcPr>
          <m:fName>
            <m:r>
              <m:rPr>
                <m:sty m:val="p"/>
              </m:rPr>
              <w:rPr>
                <w:rFonts w:ascii="Cambria Math" w:hAnsi="Cambria Math" w:cs="Times New Roman"/>
                <w:sz w:val="24"/>
                <w:szCs w:val="24"/>
              </w:rPr>
              <m:t>ln</m:t>
            </m:r>
          </m:fName>
          <m:e>
            <m:d>
              <m:dPr>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it</m:t>
                    </m:r>
                  </m:sub>
                </m:sSub>
                <m:ctrlPr>
                  <w:rPr>
                    <w:rFonts w:ascii="Cambria Math" w:hAnsi="Cambria Math" w:cs="Times New Roman"/>
                    <w:i/>
                    <w:sz w:val="24"/>
                    <w:szCs w:val="24"/>
                  </w:rPr>
                </m:ctrlPr>
              </m:e>
            </m:d>
          </m:e>
        </m:func>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year</m:t>
            </m:r>
          </m:sub>
        </m:sSub>
        <m:d>
          <m:dPr>
            <m:ctrlPr>
              <w:rPr>
                <w:rFonts w:ascii="Cambria Math" w:hAnsi="Cambria Math" w:cs="Times New Roman"/>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year</m:t>
                </m:r>
              </m:e>
              <m:sub>
                <m:r>
                  <w:rPr>
                    <w:rFonts w:ascii="Cambria Math" w:hAnsi="Cambria Math" w:cs="Times New Roman"/>
                    <w:sz w:val="24"/>
                    <w:szCs w:val="24"/>
                  </w:rPr>
                  <m:t>t</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1</m:t>
            </m:r>
          </m:sub>
        </m:sSub>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year</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large firm</m:t>
                </m:r>
              </m:e>
              <m:sub>
                <m:r>
                  <w:rPr>
                    <w:rFonts w:ascii="Cambria Math" w:hAnsi="Cambria Math" w:cs="Times New Roman"/>
                    <w:sz w:val="24"/>
                    <w:szCs w:val="24"/>
                  </w:rPr>
                  <m:t>i</m:t>
                </m:r>
              </m:sub>
            </m:sSub>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it</m:t>
            </m:r>
          </m:sub>
        </m:sSub>
      </m:oMath>
    </w:p>
    <w:p w14:paraId="138C86B0" w14:textId="5DA080B3" w:rsidR="009F646D" w:rsidRDefault="009F646D" w:rsidP="00D417B0">
      <w:pPr>
        <w:spacing w:line="360" w:lineRule="auto"/>
        <w:rPr>
          <w:rFonts w:ascii="Times New Roman" w:hAnsi="Times New Roman" w:cs="Times New Roman"/>
          <w:sz w:val="24"/>
          <w:szCs w:val="24"/>
        </w:rPr>
      </w:pPr>
      <w:r w:rsidRPr="008F78A6">
        <w:rPr>
          <w:rFonts w:ascii="Times New Roman" w:hAnsi="Times New Roman" w:cs="Times New Roman"/>
          <w:sz w:val="24"/>
          <w:szCs w:val="24"/>
        </w:rPr>
        <w:t xml:space="preserve">where </w:t>
      </w:r>
      <m:oMath>
        <m:r>
          <w:rPr>
            <w:rFonts w:ascii="Cambria Math" w:hAnsi="Cambria Math" w:cs="Times New Roman"/>
            <w:sz w:val="24"/>
            <w:szCs w:val="24"/>
          </w:rPr>
          <m:t>i</m:t>
        </m:r>
      </m:oMath>
      <w:r w:rsidRPr="008F78A6">
        <w:rPr>
          <w:rFonts w:ascii="Times New Roman" w:hAnsi="Times New Roman" w:cs="Times New Roman"/>
          <w:sz w:val="24"/>
          <w:szCs w:val="24"/>
        </w:rPr>
        <w:t xml:space="preserve"> references firm,  </w:t>
      </w:r>
      <m:oMath>
        <m:r>
          <w:rPr>
            <w:rFonts w:ascii="Cambria Math" w:hAnsi="Cambria Math" w:cs="Times New Roman"/>
            <w:sz w:val="24"/>
            <w:szCs w:val="24"/>
          </w:rPr>
          <m:t>t</m:t>
        </m:r>
      </m:oMath>
      <w:r w:rsidRPr="008F78A6">
        <w:rPr>
          <w:rFonts w:ascii="Times New Roman" w:hAnsi="Times New Roman" w:cs="Times New Roman"/>
          <w:sz w:val="24"/>
          <w:szCs w:val="24"/>
        </w:rPr>
        <w:t xml:space="preserve"> year, </w:t>
      </w:r>
      <w:r w:rsidRPr="008F78A6">
        <w:rPr>
          <w:rFonts w:ascii="Times New Roman" w:eastAsiaTheme="minorEastAsia" w:hAnsi="Times New Roman" w:cs="Times New Roman"/>
          <w:sz w:val="24"/>
          <w:szCs w:val="24"/>
        </w:rPr>
        <w:t xml:space="preserve">and </w:t>
      </w:r>
      <m:oMath>
        <m:r>
          <w:rPr>
            <w:rFonts w:ascii="Cambria Math" w:eastAsiaTheme="minorEastAsia" w:hAnsi="Cambria Math" w:cs="Times New Roman"/>
            <w:sz w:val="24"/>
            <w:szCs w:val="24"/>
          </w:rPr>
          <m:t>f</m:t>
        </m:r>
      </m:oMath>
      <w:r w:rsidRPr="008F78A6">
        <w:rPr>
          <w:rFonts w:ascii="Times New Roman" w:eastAsiaTheme="minorEastAsia" w:hAnsi="Times New Roman" w:cs="Times New Roman"/>
          <w:sz w:val="24"/>
          <w:szCs w:val="24"/>
        </w:rPr>
        <w:t xml:space="preserve"> are firm fixed effects</w:t>
      </w:r>
      <w:r w:rsidRPr="008F78A6">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it</m:t>
            </m:r>
          </m:sub>
        </m:sSub>
      </m:oMath>
      <w:r w:rsidRPr="008F78A6">
        <w:rPr>
          <w:rFonts w:ascii="Times New Roman" w:hAnsi="Times New Roman" w:cs="Times New Roman"/>
          <w:sz w:val="24"/>
          <w:szCs w:val="24"/>
        </w:rPr>
        <w:t xml:space="preserve"> is the firm’s value</w:t>
      </w:r>
      <w:r>
        <w:rPr>
          <w:rFonts w:ascii="Times New Roman" w:hAnsi="Times New Roman" w:cs="Times New Roman"/>
          <w:sz w:val="24"/>
          <w:szCs w:val="24"/>
        </w:rPr>
        <w:t>-</w:t>
      </w:r>
      <w:r w:rsidRPr="008F78A6">
        <w:rPr>
          <w:rFonts w:ascii="Times New Roman" w:hAnsi="Times New Roman" w:cs="Times New Roman"/>
          <w:sz w:val="24"/>
          <w:szCs w:val="24"/>
        </w:rPr>
        <w:t>added per worker or employment</w:t>
      </w:r>
      <w:r>
        <w:rPr>
          <w:rFonts w:ascii="Times New Roman" w:hAnsi="Times New Roman" w:cs="Times New Roman"/>
          <w:sz w:val="24"/>
          <w:szCs w:val="24"/>
        </w:rPr>
        <w:t xml:space="preserve">. In addition to looking at differences between growth in large and small firms, we also run iterations of equation 2 that compare exporters and non-exporters, foreign and domestic firms, and public and private firms. Unlike the firm size variable, these alternate firm characteristics are allowed to vary over time. These results are all presented in figure </w:t>
      </w:r>
      <w:r w:rsidR="00DC2FE2">
        <w:rPr>
          <w:rFonts w:ascii="Times New Roman" w:hAnsi="Times New Roman" w:cs="Times New Roman"/>
          <w:sz w:val="24"/>
          <w:szCs w:val="24"/>
        </w:rPr>
        <w:t>4</w:t>
      </w:r>
      <w:r>
        <w:rPr>
          <w:rFonts w:ascii="Times New Roman" w:hAnsi="Times New Roman" w:cs="Times New Roman"/>
          <w:sz w:val="24"/>
          <w:szCs w:val="24"/>
        </w:rPr>
        <w:t xml:space="preserve"> in the main text.</w:t>
      </w:r>
    </w:p>
    <w:p w14:paraId="3957C5E6" w14:textId="60DF4A3F" w:rsidR="009F646D" w:rsidRPr="00D417B0" w:rsidRDefault="009F646D" w:rsidP="00D417B0">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We also tested a version of equation 2 that includes the interaction of all four firm characteristics with the time trend—large/small, exporter/non-exporter, foreign/domestic, and public/private. These results are presented in </w:t>
      </w:r>
      <w:r w:rsidR="00820262">
        <w:rPr>
          <w:rFonts w:ascii="Times New Roman" w:hAnsi="Times New Roman" w:cs="Times New Roman"/>
          <w:sz w:val="24"/>
          <w:szCs w:val="24"/>
        </w:rPr>
        <w:t>t</w:t>
      </w:r>
      <w:r>
        <w:rPr>
          <w:rFonts w:ascii="Times New Roman" w:hAnsi="Times New Roman" w:cs="Times New Roman"/>
          <w:sz w:val="24"/>
          <w:szCs w:val="24"/>
        </w:rPr>
        <w:t xml:space="preserve">able </w:t>
      </w:r>
      <w:r w:rsidR="00820262">
        <w:rPr>
          <w:rFonts w:ascii="Times New Roman" w:hAnsi="Times New Roman" w:cs="Times New Roman"/>
          <w:sz w:val="24"/>
          <w:szCs w:val="24"/>
        </w:rPr>
        <w:t>2.</w:t>
      </w:r>
      <w:r w:rsidR="0085145C">
        <w:rPr>
          <w:rFonts w:ascii="Times New Roman" w:hAnsi="Times New Roman" w:cs="Times New Roman"/>
          <w:sz w:val="24"/>
          <w:szCs w:val="24"/>
        </w:rPr>
        <w:t xml:space="preserve">1 and confirm the results plotted in figure </w:t>
      </w:r>
      <w:r w:rsidR="00DC2FE2">
        <w:rPr>
          <w:rFonts w:ascii="Times New Roman" w:hAnsi="Times New Roman" w:cs="Times New Roman"/>
          <w:sz w:val="24"/>
          <w:szCs w:val="24"/>
        </w:rPr>
        <w:t>4</w:t>
      </w:r>
      <w:r>
        <w:rPr>
          <w:rFonts w:ascii="Times New Roman" w:hAnsi="Times New Roman" w:cs="Times New Roman"/>
          <w:sz w:val="24"/>
          <w:szCs w:val="24"/>
        </w:rPr>
        <w:t>.</w:t>
      </w:r>
      <w:r w:rsidR="0085145C">
        <w:rPr>
          <w:rFonts w:ascii="Times New Roman" w:hAnsi="Times New Roman" w:cs="Times New Roman"/>
          <w:sz w:val="24"/>
          <w:szCs w:val="24"/>
        </w:rPr>
        <w:t xml:space="preserve"> In Tanzania, large firms have significantly higher labor productivity growth, while employment growth is close to zero across all firm types. In Ethiopia, labor productivity is positive and similar across small and large firms, while employment growth is positive across both sizes but slightly higher in smaller firms. </w:t>
      </w:r>
      <w:r>
        <w:rPr>
          <w:rFonts w:ascii="Times New Roman" w:hAnsi="Times New Roman" w:cs="Times New Roman"/>
          <w:sz w:val="24"/>
          <w:szCs w:val="24"/>
        </w:rPr>
        <w:t xml:space="preserve">  </w:t>
      </w:r>
    </w:p>
    <w:p w14:paraId="7E1586AB" w14:textId="5C73CDC0" w:rsidR="00AD7BAC" w:rsidRDefault="00AD7BAC" w:rsidP="008C6E7A">
      <w:pPr>
        <w:pStyle w:val="ListParagraph"/>
        <w:numPr>
          <w:ilvl w:val="0"/>
          <w:numId w:val="9"/>
        </w:numPr>
        <w:spacing w:line="240" w:lineRule="auto"/>
        <w:rPr>
          <w:rFonts w:ascii="Times New Roman" w:hAnsi="Times New Roman" w:cs="Times New Roman"/>
          <w:i/>
          <w:iCs/>
          <w:sz w:val="24"/>
          <w:szCs w:val="24"/>
        </w:rPr>
      </w:pPr>
      <w:r>
        <w:rPr>
          <w:rFonts w:ascii="Times New Roman" w:hAnsi="Times New Roman" w:cs="Times New Roman"/>
          <w:i/>
          <w:iCs/>
          <w:sz w:val="24"/>
          <w:szCs w:val="24"/>
        </w:rPr>
        <w:t xml:space="preserve">Ethiopia with 100+ employment cut-off </w:t>
      </w:r>
    </w:p>
    <w:p w14:paraId="61A93403" w14:textId="2104A636" w:rsidR="0085145C" w:rsidRDefault="003E2612">
      <w:pPr>
        <w:spacing w:line="360" w:lineRule="auto"/>
        <w:rPr>
          <w:rFonts w:ascii="Times New Roman" w:hAnsi="Times New Roman" w:cs="Times New Roman"/>
          <w:sz w:val="24"/>
          <w:szCs w:val="24"/>
        </w:rPr>
      </w:pPr>
      <w:r>
        <w:rPr>
          <w:rFonts w:ascii="Times New Roman" w:hAnsi="Times New Roman" w:cs="Times New Roman"/>
          <w:sz w:val="24"/>
          <w:szCs w:val="24"/>
        </w:rPr>
        <w:tab/>
      </w:r>
      <w:r w:rsidR="0085145C">
        <w:rPr>
          <w:rFonts w:ascii="Times New Roman" w:hAnsi="Times New Roman" w:cs="Times New Roman"/>
          <w:sz w:val="24"/>
          <w:szCs w:val="24"/>
        </w:rPr>
        <w:t xml:space="preserve">In section </w:t>
      </w:r>
      <w:r w:rsidR="00206C87">
        <w:rPr>
          <w:rFonts w:ascii="Times New Roman" w:hAnsi="Times New Roman" w:cs="Times New Roman"/>
          <w:sz w:val="24"/>
          <w:szCs w:val="24"/>
        </w:rPr>
        <w:t>4</w:t>
      </w:r>
      <w:r w:rsidR="000E4691">
        <w:rPr>
          <w:rFonts w:ascii="Times New Roman" w:hAnsi="Times New Roman" w:cs="Times New Roman"/>
          <w:sz w:val="24"/>
          <w:szCs w:val="24"/>
        </w:rPr>
        <w:t xml:space="preserve"> </w:t>
      </w:r>
      <w:r w:rsidR="0085145C">
        <w:rPr>
          <w:rFonts w:ascii="Times New Roman" w:hAnsi="Times New Roman" w:cs="Times New Roman"/>
          <w:sz w:val="24"/>
          <w:szCs w:val="24"/>
        </w:rPr>
        <w:t xml:space="preserve">of the main </w:t>
      </w:r>
      <w:r w:rsidR="00405C04">
        <w:rPr>
          <w:rFonts w:ascii="Times New Roman" w:hAnsi="Times New Roman" w:cs="Times New Roman"/>
          <w:sz w:val="24"/>
          <w:szCs w:val="24"/>
        </w:rPr>
        <w:t>text,</w:t>
      </w:r>
      <w:r w:rsidR="0085145C">
        <w:rPr>
          <w:rFonts w:ascii="Times New Roman" w:hAnsi="Times New Roman" w:cs="Times New Roman"/>
          <w:sz w:val="24"/>
          <w:szCs w:val="24"/>
        </w:rPr>
        <w:t xml:space="preserve"> we split firms into size groups with the cutoff of 50 workers for much of the analysis. This is based o</w:t>
      </w:r>
      <w:r w:rsidR="00405C04">
        <w:rPr>
          <w:rFonts w:ascii="Times New Roman" w:hAnsi="Times New Roman" w:cs="Times New Roman"/>
          <w:sz w:val="24"/>
          <w:szCs w:val="24"/>
        </w:rPr>
        <w:t>n</w:t>
      </w:r>
      <w:r w:rsidR="00C670AE">
        <w:rPr>
          <w:rFonts w:ascii="Times New Roman" w:hAnsi="Times New Roman" w:cs="Times New Roman"/>
          <w:sz w:val="24"/>
          <w:szCs w:val="24"/>
        </w:rPr>
        <w:t xml:space="preserve"> </w:t>
      </w:r>
      <w:r w:rsidR="00820262">
        <w:rPr>
          <w:rFonts w:ascii="Times New Roman" w:hAnsi="Times New Roman" w:cs="Times New Roman"/>
          <w:sz w:val="24"/>
          <w:szCs w:val="24"/>
        </w:rPr>
        <w:t>figure</w:t>
      </w:r>
      <w:r w:rsidR="0085145C">
        <w:rPr>
          <w:rFonts w:ascii="Times New Roman" w:hAnsi="Times New Roman" w:cs="Times New Roman"/>
          <w:sz w:val="24"/>
          <w:szCs w:val="24"/>
        </w:rPr>
        <w:t xml:space="preserve"> </w:t>
      </w:r>
      <w:r w:rsidR="00820262">
        <w:rPr>
          <w:rFonts w:ascii="Times New Roman" w:hAnsi="Times New Roman" w:cs="Times New Roman"/>
          <w:sz w:val="24"/>
          <w:szCs w:val="24"/>
        </w:rPr>
        <w:t>1.5</w:t>
      </w:r>
      <w:r w:rsidR="0085145C">
        <w:rPr>
          <w:rFonts w:ascii="Times New Roman" w:hAnsi="Times New Roman" w:cs="Times New Roman"/>
          <w:sz w:val="24"/>
          <w:szCs w:val="24"/>
        </w:rPr>
        <w:t>, which shows some dichotomy between the 10-49 and 50+ groups; however, this is more pronounced in the case of Tanzania. In Ethiopia, the pattern is slightly less clear and so we test a version of our main firm and sector-level results using a cutoff of 100 workers, resulting in small firms with 10-99 workers and large firms with 100+. These alternate results are presented graphically in</w:t>
      </w:r>
      <w:r w:rsidR="00820262">
        <w:rPr>
          <w:rFonts w:ascii="Times New Roman" w:hAnsi="Times New Roman" w:cs="Times New Roman"/>
          <w:sz w:val="24"/>
          <w:szCs w:val="24"/>
        </w:rPr>
        <w:t xml:space="preserve"> figure 2.1 </w:t>
      </w:r>
      <w:r w:rsidR="0085145C">
        <w:rPr>
          <w:rFonts w:ascii="Times New Roman" w:hAnsi="Times New Roman" w:cs="Times New Roman"/>
          <w:sz w:val="24"/>
          <w:szCs w:val="24"/>
        </w:rPr>
        <w:t>and show that our results for Ethiopia are similar regardless of the size cutoff used.</w:t>
      </w:r>
    </w:p>
    <w:p w14:paraId="4FAA55A8" w14:textId="77867400" w:rsidR="00FB1BD2" w:rsidRPr="00D417B0" w:rsidRDefault="00FB1BD2" w:rsidP="00D417B0">
      <w:pPr>
        <w:pStyle w:val="ListParagraph"/>
        <w:numPr>
          <w:ilvl w:val="0"/>
          <w:numId w:val="9"/>
        </w:numPr>
        <w:spacing w:line="240" w:lineRule="auto"/>
        <w:rPr>
          <w:rFonts w:ascii="Times New Roman" w:hAnsi="Times New Roman" w:cs="Times New Roman"/>
          <w:i/>
          <w:iCs/>
          <w:sz w:val="24"/>
          <w:szCs w:val="24"/>
        </w:rPr>
      </w:pPr>
      <w:r w:rsidRPr="00D417B0">
        <w:rPr>
          <w:rFonts w:ascii="Times New Roman" w:hAnsi="Times New Roman" w:cs="Times New Roman"/>
          <w:i/>
          <w:iCs/>
          <w:sz w:val="24"/>
          <w:szCs w:val="24"/>
        </w:rPr>
        <w:t xml:space="preserve">Ethiopia </w:t>
      </w:r>
      <w:r>
        <w:rPr>
          <w:rFonts w:ascii="Times New Roman" w:hAnsi="Times New Roman" w:cs="Times New Roman"/>
          <w:i/>
          <w:iCs/>
          <w:sz w:val="24"/>
          <w:szCs w:val="24"/>
        </w:rPr>
        <w:t>sector-level growth with industrial park employment</w:t>
      </w:r>
      <w:r w:rsidRPr="00D417B0">
        <w:rPr>
          <w:rFonts w:ascii="Times New Roman" w:hAnsi="Times New Roman" w:cs="Times New Roman"/>
          <w:i/>
          <w:iCs/>
          <w:sz w:val="24"/>
          <w:szCs w:val="24"/>
        </w:rPr>
        <w:t xml:space="preserve"> </w:t>
      </w:r>
    </w:p>
    <w:p w14:paraId="6AE433F6" w14:textId="177B9A5A" w:rsidR="00FB1BD2" w:rsidRDefault="003E2612">
      <w:pPr>
        <w:spacing w:line="360" w:lineRule="auto"/>
        <w:rPr>
          <w:rFonts w:ascii="Times New Roman" w:hAnsi="Times New Roman" w:cs="Times New Roman"/>
          <w:sz w:val="24"/>
          <w:szCs w:val="24"/>
        </w:rPr>
      </w:pPr>
      <w:r>
        <w:rPr>
          <w:rFonts w:ascii="Times New Roman" w:hAnsi="Times New Roman" w:cs="Times New Roman"/>
          <w:sz w:val="24"/>
          <w:szCs w:val="24"/>
        </w:rPr>
        <w:tab/>
      </w:r>
      <w:r w:rsidR="00FB1BD2">
        <w:rPr>
          <w:rFonts w:ascii="Times New Roman" w:hAnsi="Times New Roman" w:cs="Times New Roman"/>
          <w:sz w:val="24"/>
          <w:szCs w:val="24"/>
        </w:rPr>
        <w:t xml:space="preserve">In section </w:t>
      </w:r>
      <w:r w:rsidR="00206C87">
        <w:rPr>
          <w:rFonts w:ascii="Times New Roman" w:hAnsi="Times New Roman" w:cs="Times New Roman"/>
          <w:sz w:val="24"/>
          <w:szCs w:val="24"/>
        </w:rPr>
        <w:t>4</w:t>
      </w:r>
      <w:r w:rsidR="000E4691">
        <w:rPr>
          <w:rFonts w:ascii="Times New Roman" w:hAnsi="Times New Roman" w:cs="Times New Roman"/>
          <w:sz w:val="24"/>
          <w:szCs w:val="24"/>
        </w:rPr>
        <w:t xml:space="preserve"> </w:t>
      </w:r>
      <w:r w:rsidR="00FB1BD2">
        <w:rPr>
          <w:rFonts w:ascii="Times New Roman" w:hAnsi="Times New Roman" w:cs="Times New Roman"/>
          <w:sz w:val="24"/>
          <w:szCs w:val="24"/>
        </w:rPr>
        <w:t xml:space="preserve">of the main </w:t>
      </w:r>
      <w:r w:rsidR="00FF55E5">
        <w:rPr>
          <w:rFonts w:ascii="Times New Roman" w:hAnsi="Times New Roman" w:cs="Times New Roman"/>
          <w:sz w:val="24"/>
          <w:szCs w:val="24"/>
        </w:rPr>
        <w:t>text,</w:t>
      </w:r>
      <w:r w:rsidR="00FB1BD2">
        <w:rPr>
          <w:rFonts w:ascii="Times New Roman" w:hAnsi="Times New Roman" w:cs="Times New Roman"/>
          <w:sz w:val="24"/>
          <w:szCs w:val="24"/>
        </w:rPr>
        <w:t xml:space="preserve"> we discuss our concerns about the LMSM coverage of activity in Ethiopia’s industrial parks. Some of the firms operating in industrial parks are present </w:t>
      </w:r>
      <w:r w:rsidR="00FB1BD2">
        <w:rPr>
          <w:rFonts w:ascii="Times New Roman" w:hAnsi="Times New Roman" w:cs="Times New Roman"/>
          <w:sz w:val="24"/>
          <w:szCs w:val="24"/>
        </w:rPr>
        <w:lastRenderedPageBreak/>
        <w:t xml:space="preserve">in the LMSM data, but a majority are not. Therefore, using a list of industrial parks and their operating firms’ employment as of 2019, we estimated the maximum potential missing employment in each year. We focused on the three parks that were open during the LMSM panel period – Eastern IP (open since 2013), Bole </w:t>
      </w:r>
      <w:proofErr w:type="spellStart"/>
      <w:r w:rsidR="00FB1BD2">
        <w:rPr>
          <w:rFonts w:ascii="Times New Roman" w:hAnsi="Times New Roman" w:cs="Times New Roman"/>
          <w:sz w:val="24"/>
          <w:szCs w:val="24"/>
        </w:rPr>
        <w:t>Lemi</w:t>
      </w:r>
      <w:proofErr w:type="spellEnd"/>
      <w:r w:rsidR="00FB1BD2">
        <w:rPr>
          <w:rFonts w:ascii="Times New Roman" w:hAnsi="Times New Roman" w:cs="Times New Roman"/>
          <w:sz w:val="24"/>
          <w:szCs w:val="24"/>
        </w:rPr>
        <w:t xml:space="preserve"> (open in 2016 and 2017), and Hawassa (open in 2017). We assume that all firms in the 2019 list were present since the park opened and assume that their employment in 2019 was constant across years—the most generous assumptions possible in terms of capturing all potential missing employment. </w:t>
      </w:r>
    </w:p>
    <w:p w14:paraId="69114924" w14:textId="638946B4" w:rsidR="00FB1BD2" w:rsidRDefault="00FB1BD2" w:rsidP="00D417B0">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We then re-estimate our sector-level employment growth regressions, including the contribution of employment from the industrial parks. These results, along with the comparable original results, are presented in </w:t>
      </w:r>
      <w:r w:rsidR="00820262">
        <w:rPr>
          <w:rFonts w:ascii="Times New Roman" w:hAnsi="Times New Roman" w:cs="Times New Roman"/>
          <w:sz w:val="24"/>
          <w:szCs w:val="24"/>
        </w:rPr>
        <w:t>t</w:t>
      </w:r>
      <w:r>
        <w:rPr>
          <w:rFonts w:ascii="Times New Roman" w:hAnsi="Times New Roman" w:cs="Times New Roman"/>
          <w:sz w:val="24"/>
          <w:szCs w:val="24"/>
        </w:rPr>
        <w:t xml:space="preserve">able </w:t>
      </w:r>
      <w:r w:rsidR="00820262">
        <w:rPr>
          <w:rFonts w:ascii="Times New Roman" w:hAnsi="Times New Roman" w:cs="Times New Roman"/>
          <w:sz w:val="24"/>
          <w:szCs w:val="24"/>
        </w:rPr>
        <w:t>2.</w:t>
      </w:r>
      <w:r>
        <w:rPr>
          <w:rFonts w:ascii="Times New Roman" w:hAnsi="Times New Roman" w:cs="Times New Roman"/>
          <w:sz w:val="24"/>
          <w:szCs w:val="24"/>
        </w:rPr>
        <w:t xml:space="preserve">2. The estimates of growth including the contribution of industrial parks are very similar to our prior findings, and do not change our conclusions. </w:t>
      </w:r>
    </w:p>
    <w:p w14:paraId="4D82B71B" w14:textId="78E6769C" w:rsidR="00F8045C" w:rsidRDefault="00F8045C" w:rsidP="00F8045C">
      <w:pPr>
        <w:pStyle w:val="ListParagraph"/>
        <w:numPr>
          <w:ilvl w:val="0"/>
          <w:numId w:val="9"/>
        </w:numPr>
        <w:spacing w:line="360" w:lineRule="auto"/>
        <w:rPr>
          <w:rFonts w:ascii="Times New Roman" w:hAnsi="Times New Roman" w:cs="Times New Roman"/>
          <w:i/>
          <w:iCs/>
          <w:sz w:val="24"/>
          <w:szCs w:val="24"/>
        </w:rPr>
      </w:pPr>
      <w:r w:rsidRPr="00F8045C">
        <w:rPr>
          <w:rFonts w:ascii="Times New Roman" w:hAnsi="Times New Roman" w:cs="Times New Roman"/>
          <w:i/>
          <w:iCs/>
          <w:sz w:val="24"/>
          <w:szCs w:val="24"/>
        </w:rPr>
        <w:t>Ethiopia tests with seasonal and temporary workers</w:t>
      </w:r>
    </w:p>
    <w:p w14:paraId="4B484356" w14:textId="16E3B276" w:rsidR="004F1528" w:rsidRDefault="00F8045C" w:rsidP="00F8045C">
      <w:pPr>
        <w:spacing w:line="360" w:lineRule="auto"/>
        <w:rPr>
          <w:rFonts w:ascii="Times New Roman" w:hAnsi="Times New Roman" w:cs="Times New Roman"/>
          <w:sz w:val="24"/>
          <w:szCs w:val="24"/>
        </w:rPr>
      </w:pPr>
      <w:r>
        <w:rPr>
          <w:rFonts w:ascii="Times New Roman" w:hAnsi="Times New Roman" w:cs="Times New Roman"/>
          <w:sz w:val="24"/>
          <w:szCs w:val="24"/>
        </w:rPr>
        <w:tab/>
        <w:t>Our definition of employment for Ethiopia using the LMSM data represents permanent workers.</w:t>
      </w:r>
      <w:r w:rsidRPr="00F8045C">
        <w:rPr>
          <w:rFonts w:ascii="Times New Roman" w:hAnsi="Times New Roman" w:cs="Times New Roman"/>
          <w:sz w:val="24"/>
          <w:szCs w:val="24"/>
        </w:rPr>
        <w:t xml:space="preserve"> </w:t>
      </w:r>
      <w:r>
        <w:rPr>
          <w:rFonts w:ascii="Times New Roman" w:hAnsi="Times New Roman" w:cs="Times New Roman"/>
          <w:sz w:val="24"/>
          <w:szCs w:val="24"/>
        </w:rPr>
        <w:t xml:space="preserve">While the LMSM does ask about seasonal and temporary employment, we don’t use the seasonal and temporary component in our main analysis because the data are missing for 2009. </w:t>
      </w:r>
      <w:r w:rsidR="004F1528">
        <w:rPr>
          <w:rFonts w:ascii="Times New Roman" w:hAnsi="Times New Roman" w:cs="Times New Roman"/>
          <w:sz w:val="24"/>
          <w:szCs w:val="24"/>
        </w:rPr>
        <w:t xml:space="preserve">Furthermore, the process that CSA used to convert firm reporting of seasonal/temporary workers to full-time equivalents is exposed to potential enumerator error. CSA’s enumerator manual indicates </w:t>
      </w:r>
      <w:r w:rsidR="004F1528" w:rsidRPr="004F1528">
        <w:rPr>
          <w:rFonts w:ascii="Times New Roman" w:hAnsi="Times New Roman" w:cs="Times New Roman"/>
          <w:sz w:val="24"/>
          <w:szCs w:val="24"/>
        </w:rPr>
        <w:t xml:space="preserve">that to get to person/months, </w:t>
      </w:r>
      <w:r w:rsidR="004F1528">
        <w:rPr>
          <w:rFonts w:ascii="Times New Roman" w:hAnsi="Times New Roman" w:cs="Times New Roman"/>
          <w:sz w:val="24"/>
          <w:szCs w:val="24"/>
        </w:rPr>
        <w:t xml:space="preserve">enumerators should </w:t>
      </w:r>
      <w:r w:rsidR="004F1528" w:rsidRPr="004F1528">
        <w:rPr>
          <w:rFonts w:ascii="Times New Roman" w:hAnsi="Times New Roman" w:cs="Times New Roman"/>
          <w:sz w:val="24"/>
          <w:szCs w:val="24"/>
        </w:rPr>
        <w:t xml:space="preserve">multiply the number of months worked </w:t>
      </w:r>
      <w:r w:rsidR="004F1528">
        <w:rPr>
          <w:rFonts w:ascii="Times New Roman" w:hAnsi="Times New Roman" w:cs="Times New Roman"/>
          <w:sz w:val="24"/>
          <w:szCs w:val="24"/>
        </w:rPr>
        <w:t>by</w:t>
      </w:r>
      <w:r w:rsidR="004F1528" w:rsidRPr="004F1528">
        <w:rPr>
          <w:rFonts w:ascii="Times New Roman" w:hAnsi="Times New Roman" w:cs="Times New Roman"/>
          <w:sz w:val="24"/>
          <w:szCs w:val="24"/>
        </w:rPr>
        <w:t xml:space="preserve"> the number of workers</w:t>
      </w:r>
      <w:r w:rsidR="004F1528">
        <w:rPr>
          <w:rFonts w:ascii="Times New Roman" w:hAnsi="Times New Roman" w:cs="Times New Roman"/>
          <w:sz w:val="24"/>
          <w:szCs w:val="24"/>
        </w:rPr>
        <w:t>, then divide the product by 12 to be comparable with other work types. CSA</w:t>
      </w:r>
      <w:r w:rsidR="004F1528" w:rsidRPr="004F1528">
        <w:rPr>
          <w:rFonts w:ascii="Times New Roman" w:hAnsi="Times New Roman" w:cs="Times New Roman"/>
          <w:sz w:val="24"/>
          <w:szCs w:val="24"/>
        </w:rPr>
        <w:t xml:space="preserve"> caution</w:t>
      </w:r>
      <w:r w:rsidR="004F1528">
        <w:rPr>
          <w:rFonts w:ascii="Times New Roman" w:hAnsi="Times New Roman" w:cs="Times New Roman"/>
          <w:sz w:val="24"/>
          <w:szCs w:val="24"/>
        </w:rPr>
        <w:t>s</w:t>
      </w:r>
      <w:r w:rsidR="004F1528" w:rsidRPr="004F1528">
        <w:rPr>
          <w:rFonts w:ascii="Times New Roman" w:hAnsi="Times New Roman" w:cs="Times New Roman"/>
          <w:sz w:val="24"/>
          <w:szCs w:val="24"/>
        </w:rPr>
        <w:t xml:space="preserve"> not to take the average and instead compute the product for each of the workers (as workers tenure varies over time). </w:t>
      </w:r>
    </w:p>
    <w:p w14:paraId="41BBB56D" w14:textId="04E9C24B" w:rsidR="003F40EE" w:rsidRDefault="003F40EE" w:rsidP="00F8045C">
      <w:pPr>
        <w:spacing w:line="360" w:lineRule="auto"/>
        <w:rPr>
          <w:rFonts w:ascii="Times New Roman" w:hAnsi="Times New Roman" w:cs="Times New Roman"/>
          <w:sz w:val="24"/>
          <w:szCs w:val="24"/>
        </w:rPr>
      </w:pPr>
      <w:r w:rsidRPr="003F40EE">
        <w:rPr>
          <w:rFonts w:ascii="Times New Roman" w:hAnsi="Times New Roman" w:cs="Times New Roman"/>
          <w:sz w:val="24"/>
          <w:szCs w:val="24"/>
        </w:rPr>
        <w:tab/>
        <w:t>As a check on the number of full time equivalent temporary workers in the LMSM data, we turn to the World Bank Enterprise Survey data for Ethiopia for the year 2015</w:t>
      </w:r>
      <w:r>
        <w:rPr>
          <w:rFonts w:ascii="Times New Roman" w:hAnsi="Times New Roman" w:cs="Times New Roman"/>
          <w:sz w:val="24"/>
          <w:szCs w:val="24"/>
        </w:rPr>
        <w:t xml:space="preserve">, </w:t>
      </w:r>
      <w:r w:rsidRPr="003F40EE">
        <w:rPr>
          <w:rFonts w:ascii="Times New Roman" w:hAnsi="Times New Roman" w:cs="Times New Roman"/>
          <w:sz w:val="24"/>
          <w:szCs w:val="24"/>
        </w:rPr>
        <w:t xml:space="preserve">which reports on operating data for the year 2014. The WBES questionnaire does not ask for enumerators to do any calculations. Instead, two pieces of information are collected by the WBES team – the number of temporary workers and the average number of months worked by temporary workers. With these two pieces of information, we can compute the full-time equivalent number of temporary workers. A comparison of the WBES and LMSM data is provided in </w:t>
      </w:r>
      <w:r>
        <w:rPr>
          <w:rFonts w:ascii="Times New Roman" w:hAnsi="Times New Roman" w:cs="Times New Roman"/>
          <w:sz w:val="24"/>
          <w:szCs w:val="24"/>
        </w:rPr>
        <w:t xml:space="preserve">table </w:t>
      </w:r>
      <w:r w:rsidR="00820262">
        <w:rPr>
          <w:rFonts w:ascii="Times New Roman" w:hAnsi="Times New Roman" w:cs="Times New Roman"/>
          <w:sz w:val="24"/>
          <w:szCs w:val="24"/>
        </w:rPr>
        <w:t>2.</w:t>
      </w:r>
      <w:r>
        <w:rPr>
          <w:rFonts w:ascii="Times New Roman" w:hAnsi="Times New Roman" w:cs="Times New Roman"/>
          <w:sz w:val="24"/>
          <w:szCs w:val="24"/>
        </w:rPr>
        <w:t>3</w:t>
      </w:r>
      <w:r w:rsidRPr="003F40EE">
        <w:rPr>
          <w:rFonts w:ascii="Times New Roman" w:hAnsi="Times New Roman" w:cs="Times New Roman"/>
          <w:sz w:val="24"/>
          <w:szCs w:val="24"/>
        </w:rPr>
        <w:t>.</w:t>
      </w:r>
      <w:r>
        <w:rPr>
          <w:rFonts w:ascii="Times New Roman" w:hAnsi="Times New Roman" w:cs="Times New Roman"/>
          <w:sz w:val="24"/>
          <w:szCs w:val="24"/>
        </w:rPr>
        <w:t xml:space="preserve"> The average number of </w:t>
      </w:r>
      <w:r w:rsidRPr="003F40EE">
        <w:rPr>
          <w:rFonts w:ascii="Times New Roman" w:hAnsi="Times New Roman" w:cs="Times New Roman"/>
          <w:sz w:val="24"/>
          <w:szCs w:val="24"/>
        </w:rPr>
        <w:t xml:space="preserve">full time equivalent temporary </w:t>
      </w:r>
      <w:r>
        <w:rPr>
          <w:rFonts w:ascii="Times New Roman" w:hAnsi="Times New Roman" w:cs="Times New Roman"/>
          <w:sz w:val="24"/>
          <w:szCs w:val="24"/>
        </w:rPr>
        <w:t xml:space="preserve">workers hired by a firm in 2014 is just </w:t>
      </w:r>
      <w:r w:rsidR="00BD5DBE">
        <w:rPr>
          <w:rFonts w:ascii="Times New Roman" w:hAnsi="Times New Roman" w:cs="Times New Roman"/>
          <w:sz w:val="24"/>
          <w:szCs w:val="24"/>
        </w:rPr>
        <w:t>37</w:t>
      </w:r>
      <w:r>
        <w:rPr>
          <w:rFonts w:ascii="Times New Roman" w:hAnsi="Times New Roman" w:cs="Times New Roman"/>
          <w:sz w:val="24"/>
          <w:szCs w:val="24"/>
        </w:rPr>
        <w:t xml:space="preserve"> according to the WBES but 74 according to the LMSM. Furthermore, </w:t>
      </w:r>
      <w:r w:rsidRPr="003F40EE">
        <w:rPr>
          <w:rFonts w:ascii="Times New Roman" w:hAnsi="Times New Roman" w:cs="Times New Roman"/>
          <w:sz w:val="24"/>
          <w:szCs w:val="24"/>
        </w:rPr>
        <w:t xml:space="preserve">full time equivalent </w:t>
      </w:r>
      <w:r w:rsidRPr="003F40EE">
        <w:rPr>
          <w:rFonts w:ascii="Times New Roman" w:hAnsi="Times New Roman" w:cs="Times New Roman"/>
          <w:sz w:val="24"/>
          <w:szCs w:val="24"/>
        </w:rPr>
        <w:lastRenderedPageBreak/>
        <w:t xml:space="preserve">temporary </w:t>
      </w:r>
      <w:r>
        <w:rPr>
          <w:rFonts w:ascii="Times New Roman" w:hAnsi="Times New Roman" w:cs="Times New Roman"/>
          <w:sz w:val="24"/>
          <w:szCs w:val="24"/>
        </w:rPr>
        <w:t xml:space="preserve">workers represent just </w:t>
      </w:r>
      <w:r w:rsidR="00BD5DBE">
        <w:rPr>
          <w:rFonts w:ascii="Times New Roman" w:hAnsi="Times New Roman" w:cs="Times New Roman"/>
          <w:sz w:val="24"/>
          <w:szCs w:val="24"/>
        </w:rPr>
        <w:t>47</w:t>
      </w:r>
      <w:r>
        <w:rPr>
          <w:rFonts w:ascii="Times New Roman" w:hAnsi="Times New Roman" w:cs="Times New Roman"/>
          <w:sz w:val="24"/>
          <w:szCs w:val="24"/>
        </w:rPr>
        <w:t xml:space="preserve"> percent of the share of total employment in the average WBES firm, but 65 percent on average for firms in the LMSM. The differences in this comparison give us some concern that the reporting for </w:t>
      </w:r>
      <w:r w:rsidRPr="003F40EE">
        <w:rPr>
          <w:rFonts w:ascii="Times New Roman" w:hAnsi="Times New Roman" w:cs="Times New Roman"/>
          <w:sz w:val="24"/>
          <w:szCs w:val="24"/>
        </w:rPr>
        <w:t xml:space="preserve">full time equivalent temporary </w:t>
      </w:r>
      <w:r>
        <w:rPr>
          <w:rFonts w:ascii="Times New Roman" w:hAnsi="Times New Roman" w:cs="Times New Roman"/>
          <w:sz w:val="24"/>
          <w:szCs w:val="24"/>
        </w:rPr>
        <w:t xml:space="preserve">workers may be subject to errors. Nonetheless, in this section we confirm that including </w:t>
      </w:r>
      <w:r w:rsidR="00BD1A58">
        <w:rPr>
          <w:rFonts w:ascii="Times New Roman" w:hAnsi="Times New Roman" w:cs="Times New Roman"/>
          <w:sz w:val="24"/>
          <w:szCs w:val="24"/>
        </w:rPr>
        <w:t>seasonal/temporary</w:t>
      </w:r>
      <w:r>
        <w:rPr>
          <w:rFonts w:ascii="Times New Roman" w:hAnsi="Times New Roman" w:cs="Times New Roman"/>
          <w:sz w:val="24"/>
          <w:szCs w:val="24"/>
        </w:rPr>
        <w:t xml:space="preserve"> workers </w:t>
      </w:r>
      <w:r w:rsidR="00BD1A58">
        <w:rPr>
          <w:rFonts w:ascii="Times New Roman" w:hAnsi="Times New Roman" w:cs="Times New Roman"/>
          <w:sz w:val="24"/>
          <w:szCs w:val="24"/>
        </w:rPr>
        <w:t xml:space="preserve">from the LMSM data </w:t>
      </w:r>
      <w:r>
        <w:rPr>
          <w:rFonts w:ascii="Times New Roman" w:hAnsi="Times New Roman" w:cs="Times New Roman"/>
          <w:sz w:val="24"/>
          <w:szCs w:val="24"/>
        </w:rPr>
        <w:t xml:space="preserve">does not change our conclusions. </w:t>
      </w:r>
    </w:p>
    <w:p w14:paraId="10DF7136" w14:textId="64FC392F" w:rsidR="00071425" w:rsidRPr="00F8045C" w:rsidRDefault="004F1528" w:rsidP="00F8045C">
      <w:pPr>
        <w:spacing w:line="360" w:lineRule="auto"/>
        <w:rPr>
          <w:rFonts w:ascii="Times New Roman" w:hAnsi="Times New Roman" w:cs="Times New Roman"/>
          <w:sz w:val="24"/>
          <w:szCs w:val="24"/>
        </w:rPr>
      </w:pPr>
      <w:r>
        <w:rPr>
          <w:rFonts w:ascii="Times New Roman" w:hAnsi="Times New Roman" w:cs="Times New Roman"/>
          <w:sz w:val="24"/>
          <w:szCs w:val="24"/>
        </w:rPr>
        <w:tab/>
      </w:r>
      <w:r w:rsidR="003F40EE">
        <w:rPr>
          <w:rFonts w:ascii="Times New Roman" w:hAnsi="Times New Roman" w:cs="Times New Roman"/>
          <w:sz w:val="24"/>
          <w:szCs w:val="24"/>
        </w:rPr>
        <w:t xml:space="preserve">We </w:t>
      </w:r>
      <w:r w:rsidR="00BD1A58">
        <w:rPr>
          <w:rFonts w:ascii="Times New Roman" w:hAnsi="Times New Roman" w:cs="Times New Roman"/>
          <w:sz w:val="24"/>
          <w:szCs w:val="24"/>
        </w:rPr>
        <w:t xml:space="preserve">therefore </w:t>
      </w:r>
      <w:r w:rsidR="003F40EE">
        <w:rPr>
          <w:rFonts w:ascii="Times New Roman" w:hAnsi="Times New Roman" w:cs="Times New Roman"/>
          <w:sz w:val="24"/>
          <w:szCs w:val="24"/>
        </w:rPr>
        <w:t>t</w:t>
      </w:r>
      <w:r w:rsidR="00F8045C">
        <w:rPr>
          <w:rFonts w:ascii="Times New Roman" w:hAnsi="Times New Roman" w:cs="Times New Roman"/>
          <w:sz w:val="24"/>
          <w:szCs w:val="24"/>
        </w:rPr>
        <w:t xml:space="preserve">est our firm and sector-level growth results using an alternate definition of employment that includes </w:t>
      </w:r>
      <w:r>
        <w:rPr>
          <w:rFonts w:ascii="Times New Roman" w:hAnsi="Times New Roman" w:cs="Times New Roman"/>
          <w:sz w:val="24"/>
          <w:szCs w:val="24"/>
        </w:rPr>
        <w:t xml:space="preserve">the CSA estimate of </w:t>
      </w:r>
      <w:r w:rsidR="00F8045C">
        <w:rPr>
          <w:rFonts w:ascii="Times New Roman" w:hAnsi="Times New Roman" w:cs="Times New Roman"/>
          <w:sz w:val="24"/>
          <w:szCs w:val="24"/>
        </w:rPr>
        <w:t xml:space="preserve">temporary and seasonal workers in addition to permanent. </w:t>
      </w:r>
      <w:r w:rsidR="00071425">
        <w:rPr>
          <w:rFonts w:ascii="Times New Roman" w:hAnsi="Times New Roman" w:cs="Times New Roman"/>
          <w:sz w:val="24"/>
          <w:szCs w:val="24"/>
        </w:rPr>
        <w:t xml:space="preserve">The results are presented in </w:t>
      </w:r>
      <w:r w:rsidR="00820262">
        <w:rPr>
          <w:rFonts w:ascii="Times New Roman" w:hAnsi="Times New Roman" w:cs="Times New Roman"/>
          <w:sz w:val="24"/>
          <w:szCs w:val="24"/>
        </w:rPr>
        <w:t>figure 2.</w:t>
      </w:r>
      <w:r w:rsidR="00071425">
        <w:rPr>
          <w:rFonts w:ascii="Times New Roman" w:hAnsi="Times New Roman" w:cs="Times New Roman"/>
          <w:sz w:val="24"/>
          <w:szCs w:val="24"/>
        </w:rPr>
        <w:t xml:space="preserve">2 and are largely consistent with our main findings. At the firm-level, productivity growth is positive across all firm types. Within-firm employment growth is significantly lower when we include seasonal and temporary workers, however, and no longer positive in small firms. At the sector-level, growth in employment is positive overall but is significantly higher in firms with 10-49 workers than those with 50 or more, whereas sector-level productivity growth remains similar across firm size. For SSI firms (those with less than 10 workers), the results including seasonal workers are almost identical to those without; labor productivity growth is near zero while employment growth is around 17 percent. </w:t>
      </w:r>
    </w:p>
    <w:p w14:paraId="37479895" w14:textId="0F4AA97D" w:rsidR="00AD7BAC" w:rsidRPr="00D417B0" w:rsidRDefault="00AD7BAC" w:rsidP="00D417B0">
      <w:pPr>
        <w:pStyle w:val="ListParagraph"/>
        <w:numPr>
          <w:ilvl w:val="0"/>
          <w:numId w:val="9"/>
        </w:numPr>
        <w:spacing w:line="240" w:lineRule="auto"/>
        <w:rPr>
          <w:rFonts w:ascii="Times New Roman" w:hAnsi="Times New Roman" w:cs="Times New Roman"/>
          <w:i/>
          <w:iCs/>
          <w:sz w:val="24"/>
          <w:szCs w:val="24"/>
        </w:rPr>
      </w:pPr>
      <w:r w:rsidRPr="008C6E7A">
        <w:rPr>
          <w:rFonts w:ascii="Times New Roman" w:hAnsi="Times New Roman" w:cs="Times New Roman"/>
          <w:i/>
          <w:iCs/>
          <w:sz w:val="24"/>
          <w:szCs w:val="24"/>
        </w:rPr>
        <w:t>Payroll share in value added in other countries</w:t>
      </w:r>
    </w:p>
    <w:p w14:paraId="5C3FDB38" w14:textId="094A12E4" w:rsidR="00495BBA" w:rsidRDefault="009F646D" w:rsidP="001A26F9">
      <w:pPr>
        <w:spacing w:before="240" w:line="360" w:lineRule="auto"/>
        <w:rPr>
          <w:rFonts w:ascii="Times New Roman" w:hAnsi="Times New Roman" w:cs="Times New Roman"/>
          <w:sz w:val="24"/>
          <w:szCs w:val="24"/>
        </w:rPr>
      </w:pPr>
      <w:r>
        <w:rPr>
          <w:rFonts w:ascii="Times New Roman" w:hAnsi="Times New Roman" w:cs="Times New Roman"/>
          <w:sz w:val="24"/>
          <w:szCs w:val="24"/>
        </w:rPr>
        <w:tab/>
      </w:r>
      <w:r w:rsidR="00BA72F6">
        <w:rPr>
          <w:rFonts w:ascii="Times New Roman" w:hAnsi="Times New Roman" w:cs="Times New Roman"/>
          <w:sz w:val="24"/>
          <w:szCs w:val="24"/>
        </w:rPr>
        <w:t xml:space="preserve">In section </w:t>
      </w:r>
      <w:r w:rsidR="00206C87">
        <w:rPr>
          <w:rFonts w:ascii="Times New Roman" w:hAnsi="Times New Roman" w:cs="Times New Roman"/>
          <w:sz w:val="24"/>
          <w:szCs w:val="24"/>
        </w:rPr>
        <w:t>5</w:t>
      </w:r>
      <w:r w:rsidR="000E4691">
        <w:rPr>
          <w:rFonts w:ascii="Times New Roman" w:hAnsi="Times New Roman" w:cs="Times New Roman"/>
          <w:sz w:val="24"/>
          <w:szCs w:val="24"/>
        </w:rPr>
        <w:t xml:space="preserve"> </w:t>
      </w:r>
      <w:r w:rsidR="00BA72F6">
        <w:rPr>
          <w:rFonts w:ascii="Times New Roman" w:hAnsi="Times New Roman" w:cs="Times New Roman"/>
          <w:sz w:val="24"/>
          <w:szCs w:val="24"/>
        </w:rPr>
        <w:t xml:space="preserve">of the main </w:t>
      </w:r>
      <w:r w:rsidR="00FF55E5">
        <w:rPr>
          <w:rFonts w:ascii="Times New Roman" w:hAnsi="Times New Roman" w:cs="Times New Roman"/>
          <w:sz w:val="24"/>
          <w:szCs w:val="24"/>
        </w:rPr>
        <w:t>text,</w:t>
      </w:r>
      <w:r w:rsidR="00BA72F6">
        <w:rPr>
          <w:rFonts w:ascii="Times New Roman" w:hAnsi="Times New Roman" w:cs="Times New Roman"/>
          <w:sz w:val="24"/>
          <w:szCs w:val="24"/>
        </w:rPr>
        <w:t xml:space="preserve"> we argue that high labor costs are not a sufficient explanation for the low employment generation of formal manufacturing, given that the share of total payroll costs in value added is relatively low, at less than 15 percent in either country. </w:t>
      </w:r>
      <w:r w:rsidR="00495BBA">
        <w:rPr>
          <w:rFonts w:ascii="Times New Roman" w:hAnsi="Times New Roman" w:cs="Times New Roman"/>
          <w:sz w:val="24"/>
          <w:szCs w:val="24"/>
        </w:rPr>
        <w:t xml:space="preserve">In </w:t>
      </w:r>
      <w:r w:rsidR="00820262">
        <w:rPr>
          <w:rFonts w:ascii="Times New Roman" w:hAnsi="Times New Roman" w:cs="Times New Roman"/>
          <w:sz w:val="24"/>
          <w:szCs w:val="24"/>
        </w:rPr>
        <w:t>t</w:t>
      </w:r>
      <w:r w:rsidR="00495BBA">
        <w:rPr>
          <w:rFonts w:ascii="Times New Roman" w:hAnsi="Times New Roman" w:cs="Times New Roman"/>
          <w:sz w:val="24"/>
          <w:szCs w:val="24"/>
        </w:rPr>
        <w:t xml:space="preserve">able </w:t>
      </w:r>
      <w:r w:rsidR="00820262">
        <w:rPr>
          <w:rFonts w:ascii="Times New Roman" w:hAnsi="Times New Roman" w:cs="Times New Roman"/>
          <w:sz w:val="24"/>
          <w:szCs w:val="24"/>
        </w:rPr>
        <w:t>2.4</w:t>
      </w:r>
      <w:r w:rsidR="00FB1BD2">
        <w:rPr>
          <w:rFonts w:ascii="Times New Roman" w:hAnsi="Times New Roman" w:cs="Times New Roman"/>
          <w:sz w:val="24"/>
          <w:szCs w:val="24"/>
        </w:rPr>
        <w:t xml:space="preserve"> </w:t>
      </w:r>
      <w:r w:rsidR="00495BBA">
        <w:rPr>
          <w:rFonts w:ascii="Times New Roman" w:hAnsi="Times New Roman" w:cs="Times New Roman"/>
          <w:sz w:val="24"/>
          <w:szCs w:val="24"/>
        </w:rPr>
        <w:t xml:space="preserve">we provide additional support for this finding—using the UNIDO Indstat2 database, which covers formal manufacturing, we report the average ratio of payroll to value added as recorded in the database. We report both the global average in 2018 for the sample of countries that have available data, as well as a breakdown by region. </w:t>
      </w:r>
    </w:p>
    <w:p w14:paraId="420D954B" w14:textId="19F54323" w:rsidR="008C6E7A" w:rsidRDefault="003E2612" w:rsidP="00495BBA">
      <w:pPr>
        <w:spacing w:line="360" w:lineRule="auto"/>
        <w:rPr>
          <w:rFonts w:ascii="Times New Roman" w:hAnsi="Times New Roman" w:cs="Times New Roman"/>
          <w:sz w:val="24"/>
          <w:szCs w:val="24"/>
        </w:rPr>
      </w:pPr>
      <w:r>
        <w:rPr>
          <w:rFonts w:ascii="Times New Roman" w:hAnsi="Times New Roman" w:cs="Times New Roman"/>
          <w:sz w:val="24"/>
          <w:szCs w:val="24"/>
        </w:rPr>
        <w:tab/>
      </w:r>
      <w:r w:rsidR="00495BBA">
        <w:rPr>
          <w:rFonts w:ascii="Times New Roman" w:hAnsi="Times New Roman" w:cs="Times New Roman"/>
          <w:sz w:val="24"/>
          <w:szCs w:val="24"/>
        </w:rPr>
        <w:t>Sub-Saharan Africa has the second-lowest average payroll share in value added—</w:t>
      </w:r>
      <w:r w:rsidR="00BD7CE4">
        <w:rPr>
          <w:rFonts w:ascii="Times New Roman" w:hAnsi="Times New Roman" w:cs="Times New Roman"/>
          <w:sz w:val="24"/>
          <w:szCs w:val="24"/>
        </w:rPr>
        <w:t xml:space="preserve">20 </w:t>
      </w:r>
      <w:r w:rsidR="00495BBA">
        <w:rPr>
          <w:rFonts w:ascii="Times New Roman" w:hAnsi="Times New Roman" w:cs="Times New Roman"/>
          <w:sz w:val="24"/>
          <w:szCs w:val="24"/>
        </w:rPr>
        <w:t>percent—of any region</w:t>
      </w:r>
      <w:r w:rsidR="00BD7CE4">
        <w:rPr>
          <w:rFonts w:ascii="Times New Roman" w:hAnsi="Times New Roman" w:cs="Times New Roman"/>
          <w:sz w:val="24"/>
          <w:szCs w:val="24"/>
        </w:rPr>
        <w:t xml:space="preserve"> (when we exclude South Africa, Botswana, and Mauritius)</w:t>
      </w:r>
      <w:r w:rsidR="00495BBA">
        <w:rPr>
          <w:rFonts w:ascii="Times New Roman" w:hAnsi="Times New Roman" w:cs="Times New Roman"/>
          <w:sz w:val="24"/>
          <w:szCs w:val="24"/>
        </w:rPr>
        <w:t xml:space="preserve">, </w:t>
      </w:r>
      <w:r w:rsidR="00BD7CE4">
        <w:rPr>
          <w:rFonts w:ascii="Times New Roman" w:hAnsi="Times New Roman" w:cs="Times New Roman"/>
          <w:sz w:val="24"/>
          <w:szCs w:val="24"/>
        </w:rPr>
        <w:t>just below the average share in</w:t>
      </w:r>
      <w:r w:rsidR="00495BBA">
        <w:rPr>
          <w:rFonts w:ascii="Times New Roman" w:hAnsi="Times New Roman" w:cs="Times New Roman"/>
          <w:sz w:val="24"/>
          <w:szCs w:val="24"/>
        </w:rPr>
        <w:t xml:space="preserve"> Central and Southern Asia (21 percent). The average ratio is slightly higher but similar—in the range of 26-27 percent—in Eastern and South-eastern Asia</w:t>
      </w:r>
      <w:r w:rsidR="00BD7CE4">
        <w:rPr>
          <w:rFonts w:ascii="Times New Roman" w:hAnsi="Times New Roman" w:cs="Times New Roman"/>
          <w:sz w:val="24"/>
          <w:szCs w:val="24"/>
        </w:rPr>
        <w:t xml:space="preserve"> and </w:t>
      </w:r>
      <w:r w:rsidR="00495BBA">
        <w:rPr>
          <w:rFonts w:ascii="Times New Roman" w:hAnsi="Times New Roman" w:cs="Times New Roman"/>
          <w:sz w:val="24"/>
          <w:szCs w:val="24"/>
        </w:rPr>
        <w:t>Latin America and the Caribbean</w:t>
      </w:r>
      <w:r w:rsidR="00BD7CE4">
        <w:rPr>
          <w:rFonts w:ascii="Times New Roman" w:hAnsi="Times New Roman" w:cs="Times New Roman"/>
          <w:sz w:val="24"/>
          <w:szCs w:val="24"/>
        </w:rPr>
        <w:t xml:space="preserve">. </w:t>
      </w:r>
      <w:r w:rsidR="00495BBA">
        <w:rPr>
          <w:rFonts w:ascii="Times New Roman" w:hAnsi="Times New Roman" w:cs="Times New Roman"/>
          <w:sz w:val="24"/>
          <w:szCs w:val="24"/>
        </w:rPr>
        <w:t xml:space="preserve">Meanwhile in the wealthiest regions, North America and Europe and Australia and New Zealand, the payroll </w:t>
      </w:r>
      <w:proofErr w:type="gramStart"/>
      <w:r w:rsidR="00495BBA">
        <w:rPr>
          <w:rFonts w:ascii="Times New Roman" w:hAnsi="Times New Roman" w:cs="Times New Roman"/>
          <w:sz w:val="24"/>
          <w:szCs w:val="24"/>
        </w:rPr>
        <w:t>share</w:t>
      </w:r>
      <w:proofErr w:type="gramEnd"/>
      <w:r w:rsidR="00495BBA">
        <w:rPr>
          <w:rFonts w:ascii="Times New Roman" w:hAnsi="Times New Roman" w:cs="Times New Roman"/>
          <w:sz w:val="24"/>
          <w:szCs w:val="24"/>
        </w:rPr>
        <w:t xml:space="preserve"> in value added is significantly higher—on </w:t>
      </w:r>
      <w:r w:rsidR="00495BBA">
        <w:rPr>
          <w:rFonts w:ascii="Times New Roman" w:hAnsi="Times New Roman" w:cs="Times New Roman"/>
          <w:sz w:val="24"/>
          <w:szCs w:val="24"/>
        </w:rPr>
        <w:lastRenderedPageBreak/>
        <w:t xml:space="preserve">average 46 and 52 percent, respectively. These results suggest that the low payroll shares in value added identified in Tanzania and Ethiopia are in line with estimates from other countries in the region, as well as other low-income regions of the world.  </w:t>
      </w:r>
      <w:r w:rsidR="008C6E7A">
        <w:rPr>
          <w:rFonts w:ascii="Times New Roman" w:hAnsi="Times New Roman" w:cs="Times New Roman"/>
          <w:sz w:val="24"/>
          <w:szCs w:val="24"/>
        </w:rPr>
        <w:br w:type="page"/>
      </w:r>
    </w:p>
    <w:p w14:paraId="572A00D0" w14:textId="77777777" w:rsidR="00206C87" w:rsidRPr="00206C87" w:rsidRDefault="00206C87" w:rsidP="00C32CE4">
      <w:pPr>
        <w:spacing w:after="200" w:line="276" w:lineRule="auto"/>
        <w:ind w:left="720" w:hanging="720"/>
        <w:rPr>
          <w:rFonts w:ascii="Times New Roman" w:hAnsi="Times New Roman" w:cs="Times New Roman"/>
          <w:b/>
          <w:bCs/>
          <w:sz w:val="24"/>
          <w:szCs w:val="24"/>
        </w:rPr>
      </w:pPr>
      <w:r w:rsidRPr="00206C87">
        <w:rPr>
          <w:rFonts w:ascii="Times New Roman" w:hAnsi="Times New Roman" w:cs="Times New Roman"/>
          <w:b/>
          <w:bCs/>
          <w:sz w:val="24"/>
          <w:szCs w:val="24"/>
        </w:rPr>
        <w:lastRenderedPageBreak/>
        <w:t>References</w:t>
      </w:r>
    </w:p>
    <w:p w14:paraId="38D89186"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bookmarkStart w:id="9" w:name="_Hlk112773348"/>
      <w:r w:rsidRPr="00C43D68">
        <w:rPr>
          <w:rFonts w:ascii="Times New Roman" w:hAnsi="Times New Roman" w:cs="Times New Roman"/>
          <w:color w:val="222222"/>
          <w:sz w:val="24"/>
          <w:szCs w:val="24"/>
          <w:shd w:val="clear" w:color="auto" w:fill="FFFFFF"/>
          <w:lang w:val="da-DK"/>
        </w:rPr>
        <w:t xml:space="preserve">Abebe, G., McMillan, M.S. and Serafinelli, M., 2022. </w:t>
      </w:r>
      <w:r w:rsidRPr="00C43D68">
        <w:rPr>
          <w:rFonts w:ascii="Times New Roman" w:hAnsi="Times New Roman" w:cs="Times New Roman"/>
          <w:i/>
          <w:iCs/>
          <w:color w:val="222222"/>
          <w:sz w:val="24"/>
          <w:szCs w:val="24"/>
          <w:shd w:val="clear" w:color="auto" w:fill="FFFFFF"/>
        </w:rPr>
        <w:t>Foreign direct investment and knowledge diffusion in poor locations: Evidence from Ethiopia</w:t>
      </w:r>
      <w:r w:rsidRPr="00C43D68">
        <w:rPr>
          <w:rFonts w:ascii="Times New Roman" w:hAnsi="Times New Roman" w:cs="Times New Roman"/>
          <w:color w:val="222222"/>
          <w:sz w:val="24"/>
          <w:szCs w:val="24"/>
          <w:shd w:val="clear" w:color="auto" w:fill="FFFFFF"/>
        </w:rPr>
        <w:t xml:space="preserve"> (No. w24461). Forthcoming, Journal of Development Economics. </w:t>
      </w:r>
    </w:p>
    <w:p w14:paraId="67539B97"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CSA (Central Statistical Agency), 2001. </w:t>
      </w:r>
      <w:r w:rsidRPr="00C43D68">
        <w:rPr>
          <w:rFonts w:ascii="Times New Roman" w:hAnsi="Times New Roman" w:cs="Times New Roman"/>
          <w:i/>
          <w:iCs/>
          <w:color w:val="222222"/>
          <w:sz w:val="24"/>
          <w:szCs w:val="24"/>
          <w:shd w:val="clear" w:color="auto" w:fill="FFFFFF"/>
        </w:rPr>
        <w:t>Report on Large and Medium Scale Manufacturing and Electricity Industries Survey, 2000-2001</w:t>
      </w:r>
      <w:r w:rsidRPr="00C43D68">
        <w:rPr>
          <w:rFonts w:ascii="Times New Roman" w:hAnsi="Times New Roman" w:cs="Times New Roman"/>
          <w:color w:val="222222"/>
          <w:sz w:val="24"/>
          <w:szCs w:val="24"/>
          <w:shd w:val="clear" w:color="auto" w:fill="FFFFFF"/>
        </w:rPr>
        <w:t>, Addis Ababa, Ethiopia, February 2001.</w:t>
      </w:r>
    </w:p>
    <w:p w14:paraId="0D84EEDD"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_______________, 2003. </w:t>
      </w:r>
      <w:r w:rsidRPr="00C43D68">
        <w:rPr>
          <w:rFonts w:ascii="Times New Roman" w:hAnsi="Times New Roman" w:cs="Times New Roman"/>
          <w:i/>
          <w:iCs/>
          <w:color w:val="222222"/>
          <w:sz w:val="24"/>
          <w:szCs w:val="24"/>
          <w:shd w:val="clear" w:color="auto" w:fill="FFFFFF"/>
        </w:rPr>
        <w:t>Report on Small Scale Manufacturing Industry Survey 2002</w:t>
      </w:r>
      <w:r w:rsidRPr="00C43D68">
        <w:rPr>
          <w:rFonts w:ascii="Times New Roman" w:hAnsi="Times New Roman" w:cs="Times New Roman"/>
          <w:color w:val="222222"/>
          <w:sz w:val="24"/>
          <w:szCs w:val="24"/>
          <w:shd w:val="clear" w:color="auto" w:fill="FFFFFF"/>
        </w:rPr>
        <w:t xml:space="preserve">, Addis Ababa, Ethiopia, September 2003. </w:t>
      </w:r>
      <w:hyperlink r:id="rId9" w:history="1">
        <w:r w:rsidRPr="00C43D68">
          <w:rPr>
            <w:rFonts w:ascii="Times New Roman" w:hAnsi="Times New Roman" w:cs="Times New Roman"/>
            <w:color w:val="222222"/>
            <w:sz w:val="24"/>
            <w:szCs w:val="24"/>
            <w:shd w:val="clear" w:color="auto" w:fill="FFFFFF"/>
          </w:rPr>
          <w:t>https://www.statsethiopia.gov.et/wp-content/uploads/2019/06/Small-Scale-Manufacturing-Survey-Report-2002.pdf</w:t>
        </w:r>
      </w:hyperlink>
    </w:p>
    <w:p w14:paraId="3FCC4331"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 _______________, 2004. </w:t>
      </w:r>
      <w:r w:rsidRPr="00C43D68">
        <w:rPr>
          <w:rFonts w:ascii="Times New Roman" w:hAnsi="Times New Roman" w:cs="Times New Roman"/>
          <w:i/>
          <w:iCs/>
          <w:color w:val="222222"/>
          <w:sz w:val="24"/>
          <w:szCs w:val="24"/>
          <w:shd w:val="clear" w:color="auto" w:fill="FFFFFF"/>
        </w:rPr>
        <w:t>Report on Large and Medium Scale Manufacturing and Electricity Industries Survey, 2003-2004</w:t>
      </w:r>
      <w:r w:rsidRPr="00C43D68">
        <w:rPr>
          <w:rFonts w:ascii="Times New Roman" w:hAnsi="Times New Roman" w:cs="Times New Roman"/>
          <w:color w:val="222222"/>
          <w:sz w:val="24"/>
          <w:szCs w:val="24"/>
          <w:shd w:val="clear" w:color="auto" w:fill="FFFFFF"/>
        </w:rPr>
        <w:t>, Addis Ababa, Ethiopia, November 2004.</w:t>
      </w:r>
    </w:p>
    <w:p w14:paraId="1A3A7D67"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_______________, 2006. </w:t>
      </w:r>
      <w:r w:rsidRPr="00C43D68">
        <w:rPr>
          <w:rFonts w:ascii="Times New Roman" w:hAnsi="Times New Roman" w:cs="Times New Roman"/>
          <w:i/>
          <w:iCs/>
          <w:color w:val="222222"/>
          <w:sz w:val="24"/>
          <w:szCs w:val="24"/>
          <w:shd w:val="clear" w:color="auto" w:fill="FFFFFF"/>
        </w:rPr>
        <w:t>Report on Small Scale Manufacturing Industry Survey 2006</w:t>
      </w:r>
      <w:r w:rsidRPr="00C43D68">
        <w:rPr>
          <w:rFonts w:ascii="Times New Roman" w:hAnsi="Times New Roman" w:cs="Times New Roman"/>
          <w:color w:val="222222"/>
          <w:sz w:val="24"/>
          <w:szCs w:val="24"/>
          <w:shd w:val="clear" w:color="auto" w:fill="FFFFFF"/>
        </w:rPr>
        <w:t xml:space="preserve">, Addis Ababa, Ethiopia, December 2006. </w:t>
      </w:r>
      <w:hyperlink r:id="rId10" w:history="1">
        <w:r w:rsidRPr="00C43D68">
          <w:rPr>
            <w:rFonts w:ascii="Times New Roman" w:hAnsi="Times New Roman" w:cs="Times New Roman"/>
            <w:color w:val="222222"/>
            <w:sz w:val="24"/>
            <w:szCs w:val="24"/>
            <w:shd w:val="clear" w:color="auto" w:fill="FFFFFF"/>
          </w:rPr>
          <w:t>https://www.statsethiopia.gov.et/wp-content/uploads/2019/06/Small-Scale-Manufacturing-Survey-Report-2006.pdf</w:t>
        </w:r>
      </w:hyperlink>
    </w:p>
    <w:p w14:paraId="50E9A0A6"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_______________, 2008. </w:t>
      </w:r>
      <w:r w:rsidRPr="00C43D68">
        <w:rPr>
          <w:rFonts w:ascii="Times New Roman" w:hAnsi="Times New Roman" w:cs="Times New Roman"/>
          <w:i/>
          <w:iCs/>
          <w:color w:val="222222"/>
          <w:sz w:val="24"/>
          <w:szCs w:val="24"/>
          <w:shd w:val="clear" w:color="auto" w:fill="FFFFFF"/>
        </w:rPr>
        <w:t>Report on Large and Medium Scale Manufacturing and Electricity Industries Survey, 2007-2008</w:t>
      </w:r>
      <w:r w:rsidRPr="00C43D68">
        <w:rPr>
          <w:rFonts w:ascii="Times New Roman" w:hAnsi="Times New Roman" w:cs="Times New Roman"/>
          <w:color w:val="222222"/>
          <w:sz w:val="24"/>
          <w:szCs w:val="24"/>
          <w:shd w:val="clear" w:color="auto" w:fill="FFFFFF"/>
        </w:rPr>
        <w:t>, Addis Ababa, Ethiopia, November 2008.</w:t>
      </w:r>
    </w:p>
    <w:p w14:paraId="2DC4DE0B"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_______________, 2010a. </w:t>
      </w:r>
      <w:r w:rsidRPr="00C43D68">
        <w:rPr>
          <w:rFonts w:ascii="Times New Roman" w:hAnsi="Times New Roman" w:cs="Times New Roman"/>
          <w:i/>
          <w:iCs/>
          <w:color w:val="222222"/>
          <w:sz w:val="24"/>
          <w:szCs w:val="24"/>
          <w:shd w:val="clear" w:color="auto" w:fill="FFFFFF"/>
        </w:rPr>
        <w:t>Report on Small Scale Manufacturing Industry Survey 2008</w:t>
      </w:r>
      <w:r w:rsidRPr="00C43D68">
        <w:rPr>
          <w:rFonts w:ascii="Times New Roman" w:hAnsi="Times New Roman" w:cs="Times New Roman"/>
          <w:color w:val="222222"/>
          <w:sz w:val="24"/>
          <w:szCs w:val="24"/>
          <w:shd w:val="clear" w:color="auto" w:fill="FFFFFF"/>
        </w:rPr>
        <w:t xml:space="preserve">, Addis Ababa, Ethiopia, April 2010. </w:t>
      </w:r>
      <w:hyperlink r:id="rId11" w:history="1">
        <w:r w:rsidRPr="00C43D68">
          <w:rPr>
            <w:rFonts w:ascii="Times New Roman" w:hAnsi="Times New Roman" w:cs="Times New Roman"/>
            <w:color w:val="222222"/>
            <w:sz w:val="24"/>
            <w:szCs w:val="24"/>
            <w:shd w:val="clear" w:color="auto" w:fill="FFFFFF"/>
          </w:rPr>
          <w:t>https://www.statsethiopia.gov.et/wp-content/uploads/2019/06/Small-Scale-Manufacturing-Survey-Report-2008.pdf</w:t>
        </w:r>
      </w:hyperlink>
    </w:p>
    <w:p w14:paraId="74870863"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_______________, 2010b. </w:t>
      </w:r>
      <w:r w:rsidRPr="00C43D68">
        <w:rPr>
          <w:rFonts w:ascii="Times New Roman" w:hAnsi="Times New Roman" w:cs="Times New Roman"/>
          <w:i/>
          <w:iCs/>
          <w:color w:val="222222"/>
          <w:sz w:val="24"/>
          <w:szCs w:val="24"/>
          <w:shd w:val="clear" w:color="auto" w:fill="FFFFFF"/>
        </w:rPr>
        <w:t>Report on Small Scale Manufacturing Industry Survey 2010</w:t>
      </w:r>
      <w:r w:rsidRPr="00C43D68">
        <w:rPr>
          <w:rFonts w:ascii="Times New Roman" w:hAnsi="Times New Roman" w:cs="Times New Roman"/>
          <w:color w:val="222222"/>
          <w:sz w:val="24"/>
          <w:szCs w:val="24"/>
          <w:shd w:val="clear" w:color="auto" w:fill="FFFFFF"/>
        </w:rPr>
        <w:t xml:space="preserve">, Addis Ababa, Ethiopia, 2010. </w:t>
      </w:r>
      <w:hyperlink r:id="rId12" w:history="1">
        <w:r w:rsidRPr="00C43D68">
          <w:rPr>
            <w:rFonts w:ascii="Times New Roman" w:hAnsi="Times New Roman" w:cs="Times New Roman"/>
            <w:color w:val="222222"/>
            <w:sz w:val="24"/>
            <w:szCs w:val="24"/>
            <w:shd w:val="clear" w:color="auto" w:fill="FFFFFF"/>
          </w:rPr>
          <w:t>https://www.statsethiopia.gov.et/wp-content/uploads/2019/06/Small-Scale-Manufacturing-Survey-Report-2010.pdf</w:t>
        </w:r>
      </w:hyperlink>
    </w:p>
    <w:p w14:paraId="7B59A73C"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_______________, 2011a. </w:t>
      </w:r>
      <w:r w:rsidRPr="00C43D68">
        <w:rPr>
          <w:rFonts w:ascii="Times New Roman" w:hAnsi="Times New Roman" w:cs="Times New Roman"/>
          <w:i/>
          <w:iCs/>
          <w:color w:val="222222"/>
          <w:sz w:val="24"/>
          <w:szCs w:val="24"/>
          <w:shd w:val="clear" w:color="auto" w:fill="FFFFFF"/>
        </w:rPr>
        <w:t>Large and Medium Scale Manufacturing and Electricity Industries Survey, 1999-2000, Study Documentation</w:t>
      </w:r>
      <w:r w:rsidRPr="00C43D68">
        <w:rPr>
          <w:rFonts w:ascii="Times New Roman" w:hAnsi="Times New Roman" w:cs="Times New Roman"/>
          <w:color w:val="222222"/>
          <w:sz w:val="24"/>
          <w:szCs w:val="24"/>
          <w:shd w:val="clear" w:color="auto" w:fill="FFFFFF"/>
        </w:rPr>
        <w:t>, Addis Ababa, Ethiopia, January 2011.</w:t>
      </w:r>
    </w:p>
    <w:p w14:paraId="3971B0F1"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_______________, 2011b. </w:t>
      </w:r>
      <w:r w:rsidRPr="00C43D68">
        <w:rPr>
          <w:rFonts w:ascii="Times New Roman" w:hAnsi="Times New Roman" w:cs="Times New Roman"/>
          <w:i/>
          <w:iCs/>
          <w:color w:val="222222"/>
          <w:sz w:val="24"/>
          <w:szCs w:val="24"/>
          <w:shd w:val="clear" w:color="auto" w:fill="FFFFFF"/>
        </w:rPr>
        <w:t>Large and Medium Scale Manufacturing and Electricity Industries Survey, 2002-2003, Study Documentation</w:t>
      </w:r>
      <w:r w:rsidRPr="00C43D68">
        <w:rPr>
          <w:rFonts w:ascii="Times New Roman" w:hAnsi="Times New Roman" w:cs="Times New Roman"/>
          <w:color w:val="222222"/>
          <w:sz w:val="24"/>
          <w:szCs w:val="24"/>
          <w:shd w:val="clear" w:color="auto" w:fill="FFFFFF"/>
        </w:rPr>
        <w:t>, Addis Ababa, Ethiopia, January 2011.</w:t>
      </w:r>
    </w:p>
    <w:p w14:paraId="599DE909"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_______________, 2011c. </w:t>
      </w:r>
      <w:r w:rsidRPr="00C43D68">
        <w:rPr>
          <w:rFonts w:ascii="Times New Roman" w:hAnsi="Times New Roman" w:cs="Times New Roman"/>
          <w:i/>
          <w:iCs/>
          <w:color w:val="222222"/>
          <w:sz w:val="24"/>
          <w:szCs w:val="24"/>
          <w:shd w:val="clear" w:color="auto" w:fill="FFFFFF"/>
        </w:rPr>
        <w:t>Report on Large and Medium Scale Manufacturing and Electricity Industries Survey, 2009-2010</w:t>
      </w:r>
      <w:r w:rsidRPr="00C43D68">
        <w:rPr>
          <w:rFonts w:ascii="Times New Roman" w:hAnsi="Times New Roman" w:cs="Times New Roman"/>
          <w:color w:val="222222"/>
          <w:sz w:val="24"/>
          <w:szCs w:val="24"/>
          <w:shd w:val="clear" w:color="auto" w:fill="FFFFFF"/>
        </w:rPr>
        <w:t>, Addis Ababa, Ethiopia, August 2011.</w:t>
      </w:r>
    </w:p>
    <w:p w14:paraId="1A01F628"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_______________, 2014a. Ethiopia Socioeconomic Survey, Wave 1 (ESS1) 2011-2012. Public Use Dataset. Ref: DDI_ETH_2011_ERSS_v01_M_WB. </w:t>
      </w:r>
    </w:p>
    <w:p w14:paraId="584D27FC"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lastRenderedPageBreak/>
        <w:t xml:space="preserve">_______________, 2014b. </w:t>
      </w:r>
      <w:r w:rsidRPr="00C43D68">
        <w:rPr>
          <w:rFonts w:ascii="Times New Roman" w:hAnsi="Times New Roman" w:cs="Times New Roman"/>
          <w:i/>
          <w:iCs/>
          <w:color w:val="222222"/>
          <w:sz w:val="24"/>
          <w:szCs w:val="24"/>
          <w:shd w:val="clear" w:color="auto" w:fill="FFFFFF"/>
        </w:rPr>
        <w:t>Report on Small Scale Manufacturing Industry Survey 2014</w:t>
      </w:r>
      <w:r w:rsidRPr="00C43D68">
        <w:rPr>
          <w:rFonts w:ascii="Times New Roman" w:hAnsi="Times New Roman" w:cs="Times New Roman"/>
          <w:color w:val="222222"/>
          <w:sz w:val="24"/>
          <w:szCs w:val="24"/>
          <w:shd w:val="clear" w:color="auto" w:fill="FFFFFF"/>
        </w:rPr>
        <w:t xml:space="preserve">, Addis Ababa, Ethiopia, 2014. </w:t>
      </w:r>
      <w:hyperlink r:id="rId13" w:history="1">
        <w:r w:rsidRPr="00C43D68">
          <w:rPr>
            <w:rFonts w:ascii="Times New Roman" w:hAnsi="Times New Roman" w:cs="Times New Roman"/>
            <w:color w:val="222222"/>
            <w:sz w:val="24"/>
            <w:szCs w:val="24"/>
            <w:shd w:val="clear" w:color="auto" w:fill="FFFFFF"/>
          </w:rPr>
          <w:t>https://www.statsethiopia.gov.et/wp-content/uploads/2019/06/Small-Scale-Manufacturing-Survey-Report-2014.pdf</w:t>
        </w:r>
      </w:hyperlink>
    </w:p>
    <w:p w14:paraId="2303C504"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_______________, 2017. Ethiopia Socioeconomic Survey, Wave 3 (ESS3) 2015-2016. Public Use Dataset. Ref: ETH_2015_ESS_v02_M.</w:t>
      </w:r>
    </w:p>
    <w:p w14:paraId="62A9F574"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_______________, 2020. </w:t>
      </w:r>
      <w:r w:rsidRPr="00C43D68">
        <w:rPr>
          <w:rFonts w:ascii="Times New Roman" w:hAnsi="Times New Roman" w:cs="Times New Roman"/>
          <w:color w:val="333333"/>
          <w:sz w:val="24"/>
          <w:szCs w:val="24"/>
          <w:shd w:val="clear" w:color="auto" w:fill="FFFFFF"/>
        </w:rPr>
        <w:t>Ethiopia Socioeconomic Survey 2013-2014, Ref. ETH_2013_ESS_v02_M.</w:t>
      </w:r>
    </w:p>
    <w:p w14:paraId="2D3A5C87"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de Vries, G., L. </w:t>
      </w:r>
      <w:proofErr w:type="spellStart"/>
      <w:r w:rsidRPr="00C43D68">
        <w:rPr>
          <w:rFonts w:ascii="Times New Roman" w:hAnsi="Times New Roman" w:cs="Times New Roman"/>
          <w:color w:val="222222"/>
          <w:sz w:val="24"/>
          <w:szCs w:val="24"/>
          <w:shd w:val="clear" w:color="auto" w:fill="FFFFFF"/>
        </w:rPr>
        <w:t>Arfelt</w:t>
      </w:r>
      <w:proofErr w:type="spellEnd"/>
      <w:r w:rsidRPr="00C43D68">
        <w:rPr>
          <w:rFonts w:ascii="Times New Roman" w:hAnsi="Times New Roman" w:cs="Times New Roman"/>
          <w:color w:val="222222"/>
          <w:sz w:val="24"/>
          <w:szCs w:val="24"/>
          <w:shd w:val="clear" w:color="auto" w:fill="FFFFFF"/>
        </w:rPr>
        <w:t xml:space="preserve">, D. Drees, M. </w:t>
      </w:r>
      <w:proofErr w:type="spellStart"/>
      <w:r w:rsidRPr="00C43D68">
        <w:rPr>
          <w:rFonts w:ascii="Times New Roman" w:hAnsi="Times New Roman" w:cs="Times New Roman"/>
          <w:color w:val="222222"/>
          <w:sz w:val="24"/>
          <w:szCs w:val="24"/>
          <w:shd w:val="clear" w:color="auto" w:fill="FFFFFF"/>
        </w:rPr>
        <w:t>Godemann</w:t>
      </w:r>
      <w:proofErr w:type="spellEnd"/>
      <w:r w:rsidRPr="00C43D68">
        <w:rPr>
          <w:rFonts w:ascii="Times New Roman" w:hAnsi="Times New Roman" w:cs="Times New Roman"/>
          <w:color w:val="222222"/>
          <w:sz w:val="24"/>
          <w:szCs w:val="24"/>
          <w:shd w:val="clear" w:color="auto" w:fill="FFFFFF"/>
        </w:rPr>
        <w:t>, C. Hamilton, B. Jessen-</w:t>
      </w:r>
      <w:proofErr w:type="spellStart"/>
      <w:r w:rsidRPr="00C43D68">
        <w:rPr>
          <w:rFonts w:ascii="Times New Roman" w:hAnsi="Times New Roman" w:cs="Times New Roman"/>
          <w:color w:val="222222"/>
          <w:sz w:val="24"/>
          <w:szCs w:val="24"/>
          <w:shd w:val="clear" w:color="auto" w:fill="FFFFFF"/>
        </w:rPr>
        <w:t>Thiesen</w:t>
      </w:r>
      <w:proofErr w:type="spellEnd"/>
      <w:r w:rsidRPr="00C43D68">
        <w:rPr>
          <w:rFonts w:ascii="Times New Roman" w:hAnsi="Times New Roman" w:cs="Times New Roman"/>
          <w:color w:val="222222"/>
          <w:sz w:val="24"/>
          <w:szCs w:val="24"/>
          <w:shd w:val="clear" w:color="auto" w:fill="FFFFFF"/>
        </w:rPr>
        <w:t xml:space="preserve">, A. I. Kaya, H. Kruse, E. </w:t>
      </w:r>
      <w:proofErr w:type="gramStart"/>
      <w:r w:rsidRPr="00C43D68">
        <w:rPr>
          <w:rFonts w:ascii="Times New Roman" w:hAnsi="Times New Roman" w:cs="Times New Roman"/>
          <w:color w:val="222222"/>
          <w:sz w:val="24"/>
          <w:szCs w:val="24"/>
          <w:shd w:val="clear" w:color="auto" w:fill="FFFFFF"/>
        </w:rPr>
        <w:t>Mensah</w:t>
      </w:r>
      <w:proofErr w:type="gramEnd"/>
      <w:r w:rsidRPr="00C43D68">
        <w:rPr>
          <w:rFonts w:ascii="Times New Roman" w:hAnsi="Times New Roman" w:cs="Times New Roman"/>
          <w:color w:val="222222"/>
          <w:sz w:val="24"/>
          <w:szCs w:val="24"/>
          <w:shd w:val="clear" w:color="auto" w:fill="FFFFFF"/>
        </w:rPr>
        <w:t xml:space="preserve"> and P. </w:t>
      </w:r>
      <w:proofErr w:type="spellStart"/>
      <w:r w:rsidRPr="00C43D68">
        <w:rPr>
          <w:rFonts w:ascii="Times New Roman" w:hAnsi="Times New Roman" w:cs="Times New Roman"/>
          <w:color w:val="222222"/>
          <w:sz w:val="24"/>
          <w:szCs w:val="24"/>
          <w:shd w:val="clear" w:color="auto" w:fill="FFFFFF"/>
        </w:rPr>
        <w:t>Woltjer</w:t>
      </w:r>
      <w:proofErr w:type="spellEnd"/>
      <w:r w:rsidRPr="00C43D68">
        <w:rPr>
          <w:rFonts w:ascii="Times New Roman" w:hAnsi="Times New Roman" w:cs="Times New Roman"/>
          <w:color w:val="222222"/>
          <w:sz w:val="24"/>
          <w:szCs w:val="24"/>
          <w:shd w:val="clear" w:color="auto" w:fill="FFFFFF"/>
        </w:rPr>
        <w:t>. 2021. "The Economic Transformation Database (ETD): Content, Sources, and Methods". WIDER Technical Note 2/2021.’ DOI: 10.35188/UNU-WIDER/WTN/2021-2</w:t>
      </w:r>
    </w:p>
    <w:p w14:paraId="32FC6469"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proofErr w:type="spellStart"/>
      <w:r w:rsidRPr="00C43D68">
        <w:rPr>
          <w:rFonts w:ascii="Times New Roman" w:hAnsi="Times New Roman" w:cs="Times New Roman"/>
          <w:color w:val="222222"/>
          <w:sz w:val="24"/>
          <w:szCs w:val="24"/>
          <w:shd w:val="clear" w:color="auto" w:fill="FFFFFF"/>
        </w:rPr>
        <w:t>Loening</w:t>
      </w:r>
      <w:proofErr w:type="spellEnd"/>
      <w:r w:rsidRPr="00C43D68">
        <w:rPr>
          <w:rFonts w:ascii="Times New Roman" w:hAnsi="Times New Roman" w:cs="Times New Roman"/>
          <w:color w:val="222222"/>
          <w:sz w:val="24"/>
          <w:szCs w:val="24"/>
          <w:shd w:val="clear" w:color="auto" w:fill="FFFFFF"/>
        </w:rPr>
        <w:t xml:space="preserve">, J.L., Rijkers, B. and Söderbom, M., 2008. </w:t>
      </w:r>
      <w:r w:rsidRPr="00C43D68">
        <w:rPr>
          <w:rFonts w:ascii="Times New Roman" w:hAnsi="Times New Roman" w:cs="Times New Roman"/>
          <w:i/>
          <w:iCs/>
          <w:color w:val="222222"/>
          <w:sz w:val="24"/>
          <w:szCs w:val="24"/>
          <w:shd w:val="clear" w:color="auto" w:fill="FFFFFF"/>
        </w:rPr>
        <w:t>Nonfarm microenterprise performance and the investment climate: evidence from rural Ethiopia</w:t>
      </w:r>
      <w:r w:rsidRPr="00C43D68">
        <w:rPr>
          <w:rFonts w:ascii="Times New Roman" w:hAnsi="Times New Roman" w:cs="Times New Roman"/>
          <w:color w:val="222222"/>
          <w:sz w:val="24"/>
          <w:szCs w:val="24"/>
          <w:shd w:val="clear" w:color="auto" w:fill="FFFFFF"/>
        </w:rPr>
        <w:t>. World Bank Policy Research Working Paper, (4577).</w:t>
      </w:r>
    </w:p>
    <w:p w14:paraId="17A4E0EC" w14:textId="77777777" w:rsidR="00D9533A" w:rsidRPr="00C43D68" w:rsidRDefault="00D9533A" w:rsidP="00D9533A">
      <w:pPr>
        <w:spacing w:after="200" w:line="276" w:lineRule="auto"/>
        <w:ind w:left="720" w:hanging="720"/>
        <w:rPr>
          <w:rFonts w:ascii="Times New Roman" w:hAnsi="Times New Roman" w:cs="Times New Roman"/>
          <w:color w:val="333333"/>
          <w:sz w:val="24"/>
          <w:szCs w:val="24"/>
          <w:shd w:val="clear" w:color="auto" w:fill="FFFFFF"/>
        </w:rPr>
      </w:pPr>
      <w:bookmarkStart w:id="10" w:name="_Hlk58428180"/>
      <w:r w:rsidRPr="00C43D68">
        <w:rPr>
          <w:rFonts w:ascii="Times New Roman" w:hAnsi="Times New Roman" w:cs="Times New Roman"/>
          <w:color w:val="333333"/>
          <w:sz w:val="24"/>
          <w:szCs w:val="24"/>
          <w:shd w:val="clear" w:color="auto" w:fill="FFFFFF"/>
        </w:rPr>
        <w:t xml:space="preserve">NBS (National Bureau of Statistics), 2009. </w:t>
      </w:r>
      <w:r w:rsidRPr="00C43D68">
        <w:rPr>
          <w:rFonts w:ascii="Times New Roman" w:hAnsi="Times New Roman" w:cs="Times New Roman"/>
          <w:i/>
          <w:iCs/>
          <w:color w:val="333333"/>
          <w:sz w:val="24"/>
          <w:szCs w:val="24"/>
          <w:shd w:val="clear" w:color="auto" w:fill="FFFFFF"/>
        </w:rPr>
        <w:t>National Panel Survey 2008-2009, Wave 1</w:t>
      </w:r>
      <w:r w:rsidRPr="00C43D68">
        <w:rPr>
          <w:rFonts w:ascii="Times New Roman" w:hAnsi="Times New Roman" w:cs="Times New Roman"/>
          <w:color w:val="333333"/>
          <w:sz w:val="24"/>
          <w:szCs w:val="24"/>
          <w:shd w:val="clear" w:color="auto" w:fill="FFFFFF"/>
        </w:rPr>
        <w:t xml:space="preserve">. </w:t>
      </w:r>
      <w:r w:rsidRPr="00C43D68">
        <w:rPr>
          <w:rFonts w:ascii="Times New Roman" w:hAnsi="Times New Roman" w:cs="Times New Roman"/>
          <w:color w:val="222222"/>
          <w:sz w:val="24"/>
          <w:szCs w:val="24"/>
          <w:shd w:val="clear" w:color="auto" w:fill="FFFFFF"/>
        </w:rPr>
        <w:t>The United Republic of Tanzania,</w:t>
      </w:r>
      <w:r w:rsidRPr="00C43D68">
        <w:rPr>
          <w:rFonts w:ascii="Times New Roman" w:hAnsi="Times New Roman" w:cs="Times New Roman"/>
          <w:color w:val="333333"/>
          <w:sz w:val="24"/>
          <w:szCs w:val="24"/>
          <w:shd w:val="clear" w:color="auto" w:fill="FFFFFF"/>
        </w:rPr>
        <w:t xml:space="preserve"> National Bureau of Statistics. Downloaded from </w:t>
      </w:r>
      <w:hyperlink r:id="rId14" w:tgtFrame="_blank" w:history="1">
        <w:r w:rsidRPr="00C43D68">
          <w:rPr>
            <w:rStyle w:val="Hyperlink"/>
            <w:rFonts w:ascii="Times New Roman" w:hAnsi="Times New Roman" w:cs="Times New Roman"/>
            <w:color w:val="0071BC"/>
            <w:sz w:val="24"/>
            <w:szCs w:val="24"/>
            <w:shd w:val="clear" w:color="auto" w:fill="FFFFFF"/>
          </w:rPr>
          <w:t>http://microdata.worldbank.org</w:t>
        </w:r>
      </w:hyperlink>
      <w:r w:rsidRPr="00C43D68">
        <w:rPr>
          <w:rFonts w:ascii="Times New Roman" w:hAnsi="Times New Roman" w:cs="Times New Roman"/>
          <w:color w:val="333333"/>
          <w:sz w:val="24"/>
          <w:szCs w:val="24"/>
          <w:shd w:val="clear" w:color="auto" w:fill="FFFFFF"/>
        </w:rPr>
        <w:t> in August 2020</w:t>
      </w:r>
    </w:p>
    <w:bookmarkEnd w:id="10"/>
    <w:p w14:paraId="2B5569DE"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 2010a. </w:t>
      </w:r>
      <w:r w:rsidRPr="00C43D68">
        <w:rPr>
          <w:rFonts w:ascii="Times New Roman" w:hAnsi="Times New Roman" w:cs="Times New Roman"/>
          <w:i/>
          <w:iCs/>
          <w:color w:val="222222"/>
          <w:sz w:val="24"/>
          <w:szCs w:val="24"/>
          <w:shd w:val="clear" w:color="auto" w:fill="FFFFFF"/>
        </w:rPr>
        <w:t>Annual Survey of Industrial Production and Performance, 2008: Analytic Report</w:t>
      </w:r>
      <w:r w:rsidRPr="00C43D68">
        <w:rPr>
          <w:rFonts w:ascii="Times New Roman" w:hAnsi="Times New Roman" w:cs="Times New Roman"/>
          <w:color w:val="222222"/>
          <w:sz w:val="24"/>
          <w:szCs w:val="24"/>
          <w:shd w:val="clear" w:color="auto" w:fill="FFFFFF"/>
        </w:rPr>
        <w:t>. The United Republic of Tanzania, Ministry of Industry, Trade and Marketing, National Bureau of Statistics, and Confederation of Tanzania Industries, September 2010.    </w:t>
      </w:r>
    </w:p>
    <w:p w14:paraId="06CB42F7"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 2010b. </w:t>
      </w:r>
      <w:r w:rsidRPr="00C43D68">
        <w:rPr>
          <w:rFonts w:ascii="Times New Roman" w:hAnsi="Times New Roman" w:cs="Times New Roman"/>
          <w:i/>
          <w:iCs/>
          <w:color w:val="222222"/>
          <w:sz w:val="24"/>
          <w:szCs w:val="24"/>
          <w:shd w:val="clear" w:color="auto" w:fill="FFFFFF"/>
        </w:rPr>
        <w:t>Annual Survey of Industrial Production and Performance, 2008: Statistical Report</w:t>
      </w:r>
      <w:r w:rsidRPr="00C43D68">
        <w:rPr>
          <w:rFonts w:ascii="Times New Roman" w:hAnsi="Times New Roman" w:cs="Times New Roman"/>
          <w:color w:val="222222"/>
          <w:sz w:val="24"/>
          <w:szCs w:val="24"/>
          <w:shd w:val="clear" w:color="auto" w:fill="FFFFFF"/>
        </w:rPr>
        <w:t>. The United Republic of Tanzania, Ministry of Industry, Trade and Marketing, National Bureau of Statistics, and Confederation of Tanzania Industries, September 2010.    </w:t>
      </w:r>
    </w:p>
    <w:p w14:paraId="3ED4C4FD" w14:textId="77777777" w:rsidR="00D9533A" w:rsidRPr="00C43D68" w:rsidRDefault="00D9533A" w:rsidP="00D9533A">
      <w:pPr>
        <w:spacing w:after="200" w:line="276" w:lineRule="auto"/>
        <w:ind w:left="720" w:hanging="720"/>
        <w:rPr>
          <w:rFonts w:ascii="Times New Roman" w:hAnsi="Times New Roman" w:cs="Times New Roman"/>
          <w:sz w:val="24"/>
          <w:szCs w:val="24"/>
        </w:rPr>
      </w:pPr>
      <w:bookmarkStart w:id="11" w:name="_Hlk58428249"/>
      <w:r w:rsidRPr="00C43D68">
        <w:rPr>
          <w:rFonts w:ascii="Times New Roman" w:hAnsi="Times New Roman" w:cs="Times New Roman"/>
          <w:color w:val="222222"/>
          <w:sz w:val="24"/>
          <w:szCs w:val="24"/>
          <w:shd w:val="clear" w:color="auto" w:fill="FFFFFF"/>
        </w:rPr>
        <w:t xml:space="preserve">____________, </w:t>
      </w:r>
      <w:r w:rsidRPr="00C43D68">
        <w:rPr>
          <w:rFonts w:ascii="Times New Roman" w:hAnsi="Times New Roman" w:cs="Times New Roman"/>
          <w:color w:val="333333"/>
          <w:sz w:val="24"/>
          <w:szCs w:val="24"/>
          <w:shd w:val="clear" w:color="auto" w:fill="FFFFFF"/>
        </w:rPr>
        <w:t xml:space="preserve">2011. </w:t>
      </w:r>
      <w:r w:rsidRPr="00C43D68">
        <w:rPr>
          <w:rFonts w:ascii="Times New Roman" w:hAnsi="Times New Roman" w:cs="Times New Roman"/>
          <w:i/>
          <w:iCs/>
          <w:color w:val="333333"/>
          <w:sz w:val="24"/>
          <w:szCs w:val="24"/>
          <w:shd w:val="clear" w:color="auto" w:fill="FFFFFF"/>
        </w:rPr>
        <w:t>National Panel Survey Report 2010-2011, Wave 2</w:t>
      </w:r>
      <w:r w:rsidRPr="00C43D68">
        <w:rPr>
          <w:rFonts w:ascii="Times New Roman" w:hAnsi="Times New Roman" w:cs="Times New Roman"/>
          <w:color w:val="333333"/>
          <w:sz w:val="24"/>
          <w:szCs w:val="24"/>
          <w:shd w:val="clear" w:color="auto" w:fill="FFFFFF"/>
        </w:rPr>
        <w:t xml:space="preserve">. </w:t>
      </w:r>
      <w:r w:rsidRPr="00C43D68">
        <w:rPr>
          <w:rFonts w:ascii="Times New Roman" w:hAnsi="Times New Roman" w:cs="Times New Roman"/>
          <w:color w:val="222222"/>
          <w:sz w:val="24"/>
          <w:szCs w:val="24"/>
          <w:shd w:val="clear" w:color="auto" w:fill="FFFFFF"/>
        </w:rPr>
        <w:t>The United Republic of Tanzania,</w:t>
      </w:r>
      <w:r w:rsidRPr="00C43D68">
        <w:rPr>
          <w:rFonts w:ascii="Times New Roman" w:hAnsi="Times New Roman" w:cs="Times New Roman"/>
          <w:color w:val="333333"/>
          <w:sz w:val="24"/>
          <w:szCs w:val="24"/>
          <w:shd w:val="clear" w:color="auto" w:fill="FFFFFF"/>
        </w:rPr>
        <w:t xml:space="preserve"> National Bureau of Statistics. Downloaded from </w:t>
      </w:r>
      <w:hyperlink r:id="rId15" w:tgtFrame="_blank" w:history="1">
        <w:r w:rsidRPr="00C43D68">
          <w:rPr>
            <w:rStyle w:val="Hyperlink"/>
            <w:rFonts w:ascii="Times New Roman" w:hAnsi="Times New Roman" w:cs="Times New Roman"/>
            <w:color w:val="0071BC"/>
            <w:sz w:val="24"/>
            <w:szCs w:val="24"/>
            <w:shd w:val="clear" w:color="auto" w:fill="FFFFFF"/>
          </w:rPr>
          <w:t>http://microdata.worldbank.org</w:t>
        </w:r>
      </w:hyperlink>
      <w:r w:rsidRPr="00C43D68">
        <w:rPr>
          <w:rFonts w:ascii="Times New Roman" w:hAnsi="Times New Roman" w:cs="Times New Roman"/>
          <w:color w:val="333333"/>
          <w:sz w:val="24"/>
          <w:szCs w:val="24"/>
          <w:shd w:val="clear" w:color="auto" w:fill="FFFFFF"/>
        </w:rPr>
        <w:t> in August 2020</w:t>
      </w:r>
    </w:p>
    <w:bookmarkEnd w:id="11"/>
    <w:p w14:paraId="0395EDCA"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 2012. </w:t>
      </w:r>
      <w:r w:rsidRPr="00C43D68">
        <w:rPr>
          <w:rFonts w:ascii="Times New Roman" w:hAnsi="Times New Roman" w:cs="Times New Roman"/>
          <w:i/>
          <w:iCs/>
          <w:color w:val="222222"/>
          <w:sz w:val="24"/>
          <w:szCs w:val="24"/>
          <w:shd w:val="clear" w:color="auto" w:fill="FFFFFF"/>
        </w:rPr>
        <w:t>Annual Survey of Industrial Production, 2009: Statistical Report</w:t>
      </w:r>
      <w:r w:rsidRPr="00C43D68">
        <w:rPr>
          <w:rFonts w:ascii="Times New Roman" w:hAnsi="Times New Roman" w:cs="Times New Roman"/>
          <w:color w:val="222222"/>
          <w:sz w:val="24"/>
          <w:szCs w:val="24"/>
          <w:shd w:val="clear" w:color="auto" w:fill="FFFFFF"/>
        </w:rPr>
        <w:t>. The United Republic of Tanzania, Ministry of Industry, Trade and Marketing, National Bureau of Statistics, and Confederation of Tanzania Industries, May 2012.    </w:t>
      </w:r>
    </w:p>
    <w:p w14:paraId="29D003A0" w14:textId="77777777" w:rsidR="00D9533A" w:rsidRPr="00C43D68" w:rsidRDefault="00D9533A" w:rsidP="00D9533A">
      <w:pPr>
        <w:spacing w:after="200" w:line="276" w:lineRule="auto"/>
        <w:ind w:left="720" w:hanging="720"/>
        <w:rPr>
          <w:rFonts w:ascii="Times New Roman" w:hAnsi="Times New Roman" w:cs="Times New Roman"/>
          <w:color w:val="333333"/>
          <w:sz w:val="24"/>
          <w:szCs w:val="24"/>
          <w:shd w:val="clear" w:color="auto" w:fill="FFFFFF"/>
        </w:rPr>
      </w:pPr>
      <w:bookmarkStart w:id="12" w:name="_Hlk58428299"/>
      <w:r w:rsidRPr="00C43D68">
        <w:rPr>
          <w:rFonts w:ascii="Times New Roman" w:hAnsi="Times New Roman" w:cs="Times New Roman"/>
          <w:color w:val="222222"/>
          <w:sz w:val="24"/>
          <w:szCs w:val="24"/>
          <w:shd w:val="clear" w:color="auto" w:fill="FFFFFF"/>
        </w:rPr>
        <w:t xml:space="preserve">____________, </w:t>
      </w:r>
      <w:r w:rsidRPr="00C43D68">
        <w:rPr>
          <w:rFonts w:ascii="Times New Roman" w:hAnsi="Times New Roman" w:cs="Times New Roman"/>
          <w:color w:val="333333"/>
          <w:sz w:val="24"/>
          <w:szCs w:val="24"/>
          <w:shd w:val="clear" w:color="auto" w:fill="FFFFFF"/>
        </w:rPr>
        <w:t xml:space="preserve">2013. </w:t>
      </w:r>
      <w:r w:rsidRPr="00C43D68">
        <w:rPr>
          <w:rFonts w:ascii="Times New Roman" w:hAnsi="Times New Roman" w:cs="Times New Roman"/>
          <w:i/>
          <w:iCs/>
          <w:color w:val="333333"/>
          <w:sz w:val="24"/>
          <w:szCs w:val="24"/>
          <w:shd w:val="clear" w:color="auto" w:fill="FFFFFF"/>
        </w:rPr>
        <w:t>National Panel Survey Report 2012-2013, Wave 3</w:t>
      </w:r>
      <w:r w:rsidRPr="00C43D68">
        <w:rPr>
          <w:rFonts w:ascii="Times New Roman" w:hAnsi="Times New Roman" w:cs="Times New Roman"/>
          <w:color w:val="333333"/>
          <w:sz w:val="24"/>
          <w:szCs w:val="24"/>
          <w:shd w:val="clear" w:color="auto" w:fill="FFFFFF"/>
        </w:rPr>
        <w:t xml:space="preserve">. </w:t>
      </w:r>
      <w:r w:rsidRPr="00C43D68">
        <w:rPr>
          <w:rFonts w:ascii="Times New Roman" w:hAnsi="Times New Roman" w:cs="Times New Roman"/>
          <w:color w:val="222222"/>
          <w:sz w:val="24"/>
          <w:szCs w:val="24"/>
          <w:shd w:val="clear" w:color="auto" w:fill="FFFFFF"/>
        </w:rPr>
        <w:t>The United Republic of Tanzania,</w:t>
      </w:r>
      <w:r w:rsidRPr="00C43D68">
        <w:rPr>
          <w:rFonts w:ascii="Times New Roman" w:hAnsi="Times New Roman" w:cs="Times New Roman"/>
          <w:color w:val="333333"/>
          <w:sz w:val="24"/>
          <w:szCs w:val="24"/>
          <w:shd w:val="clear" w:color="auto" w:fill="FFFFFF"/>
        </w:rPr>
        <w:t xml:space="preserve"> National Bureau of Statistics. Downloaded from </w:t>
      </w:r>
      <w:hyperlink r:id="rId16" w:tgtFrame="_blank" w:history="1">
        <w:r w:rsidRPr="00C43D68">
          <w:rPr>
            <w:rStyle w:val="Hyperlink"/>
            <w:rFonts w:ascii="Times New Roman" w:hAnsi="Times New Roman" w:cs="Times New Roman"/>
            <w:color w:val="0071BC"/>
            <w:sz w:val="24"/>
            <w:szCs w:val="24"/>
            <w:shd w:val="clear" w:color="auto" w:fill="FFFFFF"/>
          </w:rPr>
          <w:t>http://microdata.worldbank.org</w:t>
        </w:r>
      </w:hyperlink>
      <w:r w:rsidRPr="00C43D68">
        <w:rPr>
          <w:rFonts w:ascii="Times New Roman" w:hAnsi="Times New Roman" w:cs="Times New Roman"/>
          <w:color w:val="333333"/>
          <w:sz w:val="24"/>
          <w:szCs w:val="24"/>
          <w:shd w:val="clear" w:color="auto" w:fill="FFFFFF"/>
        </w:rPr>
        <w:t> in August 2020</w:t>
      </w:r>
    </w:p>
    <w:p w14:paraId="2C27CF2B" w14:textId="77777777" w:rsidR="00D9533A" w:rsidRPr="00C43D68" w:rsidRDefault="00D9533A" w:rsidP="00D9533A">
      <w:pPr>
        <w:spacing w:after="200" w:line="276" w:lineRule="auto"/>
        <w:ind w:left="720" w:hanging="720"/>
        <w:rPr>
          <w:rFonts w:ascii="Times New Roman" w:hAnsi="Times New Roman" w:cs="Times New Roman"/>
          <w:color w:val="333333"/>
          <w:sz w:val="24"/>
          <w:szCs w:val="24"/>
          <w:shd w:val="clear" w:color="auto" w:fill="FFFFFF"/>
        </w:rPr>
      </w:pPr>
      <w:r w:rsidRPr="00C43D68">
        <w:rPr>
          <w:rFonts w:ascii="Times New Roman" w:hAnsi="Times New Roman" w:cs="Times New Roman"/>
          <w:color w:val="222222"/>
          <w:sz w:val="24"/>
          <w:szCs w:val="24"/>
          <w:shd w:val="clear" w:color="auto" w:fill="FFFFFF"/>
        </w:rPr>
        <w:lastRenderedPageBreak/>
        <w:t xml:space="preserve">____________, </w:t>
      </w:r>
      <w:r w:rsidRPr="00C43D68">
        <w:rPr>
          <w:rFonts w:ascii="Times New Roman" w:hAnsi="Times New Roman" w:cs="Times New Roman"/>
          <w:color w:val="333333"/>
          <w:sz w:val="24"/>
          <w:szCs w:val="24"/>
          <w:shd w:val="clear" w:color="auto" w:fill="FFFFFF"/>
        </w:rPr>
        <w:t xml:space="preserve">2015. </w:t>
      </w:r>
      <w:r w:rsidRPr="00C43D68">
        <w:rPr>
          <w:rFonts w:ascii="Times New Roman" w:hAnsi="Times New Roman" w:cs="Times New Roman"/>
          <w:i/>
          <w:iCs/>
          <w:color w:val="333333"/>
          <w:sz w:val="24"/>
          <w:szCs w:val="24"/>
          <w:shd w:val="clear" w:color="auto" w:fill="FFFFFF"/>
        </w:rPr>
        <w:t>National Panel Survey 2015-2014, Wave 4</w:t>
      </w:r>
      <w:r w:rsidRPr="00C43D68">
        <w:rPr>
          <w:rFonts w:ascii="Times New Roman" w:hAnsi="Times New Roman" w:cs="Times New Roman"/>
          <w:color w:val="333333"/>
          <w:sz w:val="24"/>
          <w:szCs w:val="24"/>
          <w:shd w:val="clear" w:color="auto" w:fill="FFFFFF"/>
        </w:rPr>
        <w:t xml:space="preserve">. </w:t>
      </w:r>
      <w:r w:rsidRPr="00C43D68">
        <w:rPr>
          <w:rFonts w:ascii="Times New Roman" w:hAnsi="Times New Roman" w:cs="Times New Roman"/>
          <w:color w:val="222222"/>
          <w:sz w:val="24"/>
          <w:szCs w:val="24"/>
          <w:shd w:val="clear" w:color="auto" w:fill="FFFFFF"/>
        </w:rPr>
        <w:t>The United Republic of Tanzania,</w:t>
      </w:r>
      <w:r w:rsidRPr="00C43D68">
        <w:rPr>
          <w:rFonts w:ascii="Times New Roman" w:hAnsi="Times New Roman" w:cs="Times New Roman"/>
          <w:color w:val="333333"/>
          <w:sz w:val="24"/>
          <w:szCs w:val="24"/>
          <w:shd w:val="clear" w:color="auto" w:fill="FFFFFF"/>
        </w:rPr>
        <w:t xml:space="preserve"> National Bureau of Statistics. Downloaded from </w:t>
      </w:r>
      <w:hyperlink r:id="rId17" w:tgtFrame="_blank" w:history="1">
        <w:r w:rsidRPr="00C43D68">
          <w:rPr>
            <w:rStyle w:val="Hyperlink"/>
            <w:rFonts w:ascii="Times New Roman" w:hAnsi="Times New Roman" w:cs="Times New Roman"/>
            <w:color w:val="0071BC"/>
            <w:sz w:val="24"/>
            <w:szCs w:val="24"/>
            <w:shd w:val="clear" w:color="auto" w:fill="FFFFFF"/>
          </w:rPr>
          <w:t>http://microdata.worldbank.org</w:t>
        </w:r>
      </w:hyperlink>
      <w:r w:rsidRPr="00C43D68">
        <w:rPr>
          <w:rFonts w:ascii="Times New Roman" w:hAnsi="Times New Roman" w:cs="Times New Roman"/>
          <w:sz w:val="24"/>
          <w:szCs w:val="24"/>
        </w:rPr>
        <w:t xml:space="preserve"> in </w:t>
      </w:r>
      <w:r w:rsidRPr="00C43D68">
        <w:rPr>
          <w:rFonts w:ascii="Times New Roman" w:hAnsi="Times New Roman" w:cs="Times New Roman"/>
          <w:color w:val="333333"/>
          <w:sz w:val="24"/>
          <w:szCs w:val="24"/>
          <w:shd w:val="clear" w:color="auto" w:fill="FFFFFF"/>
        </w:rPr>
        <w:t>August 2020</w:t>
      </w:r>
    </w:p>
    <w:bookmarkEnd w:id="12"/>
    <w:p w14:paraId="0E436763"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 2016a. </w:t>
      </w:r>
      <w:r w:rsidRPr="00C43D68">
        <w:rPr>
          <w:rFonts w:ascii="Times New Roman" w:hAnsi="Times New Roman" w:cs="Times New Roman"/>
          <w:i/>
          <w:iCs/>
          <w:color w:val="222222"/>
          <w:sz w:val="24"/>
          <w:szCs w:val="24"/>
          <w:shd w:val="clear" w:color="auto" w:fill="FFFFFF"/>
        </w:rPr>
        <w:t>Census of Industrial Production, 2013: Analytic Report</w:t>
      </w:r>
      <w:r w:rsidRPr="00C43D68">
        <w:rPr>
          <w:rFonts w:ascii="Times New Roman" w:hAnsi="Times New Roman" w:cs="Times New Roman"/>
          <w:color w:val="222222"/>
          <w:sz w:val="24"/>
          <w:szCs w:val="24"/>
          <w:shd w:val="clear" w:color="auto" w:fill="FFFFFF"/>
        </w:rPr>
        <w:t>. The United Republic of Tanzania, National Bureau of Statistics and Ministry of Industry, Trade and Investment, September 2016.</w:t>
      </w:r>
    </w:p>
    <w:p w14:paraId="4AE1EE5F"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 2016b. </w:t>
      </w:r>
      <w:r w:rsidRPr="00C43D68">
        <w:rPr>
          <w:rFonts w:ascii="Times New Roman" w:hAnsi="Times New Roman" w:cs="Times New Roman"/>
          <w:i/>
          <w:iCs/>
          <w:color w:val="222222"/>
          <w:sz w:val="24"/>
          <w:szCs w:val="24"/>
          <w:shd w:val="clear" w:color="auto" w:fill="FFFFFF"/>
        </w:rPr>
        <w:t>Census of Industrial Production, 2013: Statistical Report</w:t>
      </w:r>
      <w:r w:rsidRPr="00C43D68">
        <w:rPr>
          <w:rFonts w:ascii="Times New Roman" w:hAnsi="Times New Roman" w:cs="Times New Roman"/>
          <w:color w:val="222222"/>
          <w:sz w:val="24"/>
          <w:szCs w:val="24"/>
          <w:shd w:val="clear" w:color="auto" w:fill="FFFFFF"/>
        </w:rPr>
        <w:t>. The United Republic of Tanzania, National Bureau of Statistics and Ministry of Industry, Trade and Investment, September 2016.</w:t>
      </w:r>
    </w:p>
    <w:p w14:paraId="58828F32"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 2018a. </w:t>
      </w:r>
      <w:r w:rsidRPr="00C43D68">
        <w:rPr>
          <w:rFonts w:ascii="Times New Roman" w:hAnsi="Times New Roman" w:cs="Times New Roman"/>
          <w:i/>
          <w:iCs/>
          <w:color w:val="222222"/>
          <w:sz w:val="24"/>
          <w:szCs w:val="24"/>
          <w:shd w:val="clear" w:color="auto" w:fill="FFFFFF"/>
        </w:rPr>
        <w:t>Annual Survey of Industrial Production, 2015: Statistical Report</w:t>
      </w:r>
      <w:r w:rsidRPr="00C43D68">
        <w:rPr>
          <w:rFonts w:ascii="Times New Roman" w:hAnsi="Times New Roman" w:cs="Times New Roman"/>
          <w:color w:val="222222"/>
          <w:sz w:val="24"/>
          <w:szCs w:val="24"/>
          <w:shd w:val="clear" w:color="auto" w:fill="FFFFFF"/>
        </w:rPr>
        <w:t>. The United Republic of Tanzania, National Bureau of Statistics and Ministry of Industry, Trade and Investment, October 2018.    </w:t>
      </w:r>
    </w:p>
    <w:p w14:paraId="23BC6574"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222222"/>
          <w:sz w:val="24"/>
          <w:szCs w:val="24"/>
          <w:shd w:val="clear" w:color="auto" w:fill="FFFFFF"/>
        </w:rPr>
        <w:t xml:space="preserve">____________, 2018b. </w:t>
      </w:r>
      <w:r w:rsidRPr="00C43D68">
        <w:rPr>
          <w:rFonts w:ascii="Times New Roman" w:hAnsi="Times New Roman" w:cs="Times New Roman"/>
          <w:i/>
          <w:iCs/>
          <w:color w:val="222222"/>
          <w:sz w:val="24"/>
          <w:szCs w:val="24"/>
          <w:shd w:val="clear" w:color="auto" w:fill="FFFFFF"/>
        </w:rPr>
        <w:t>Annual Survey of Industrial Production, 2016: Statistical Report</w:t>
      </w:r>
      <w:r w:rsidRPr="00C43D68">
        <w:rPr>
          <w:rFonts w:ascii="Times New Roman" w:hAnsi="Times New Roman" w:cs="Times New Roman"/>
          <w:color w:val="222222"/>
          <w:sz w:val="24"/>
          <w:szCs w:val="24"/>
          <w:shd w:val="clear" w:color="auto" w:fill="FFFFFF"/>
        </w:rPr>
        <w:t>. The United Republic of Tanzania, National Bureau of Statistics and Ministry of Industry, Trade and Investment, October 2018.   </w:t>
      </w:r>
    </w:p>
    <w:p w14:paraId="0D8CE963" w14:textId="77777777" w:rsidR="00D9533A" w:rsidRPr="00C43D68" w:rsidRDefault="00D9533A" w:rsidP="00D9533A">
      <w:pPr>
        <w:spacing w:after="200" w:line="276" w:lineRule="auto"/>
        <w:ind w:left="720" w:hanging="720"/>
        <w:rPr>
          <w:rFonts w:ascii="Times New Roman" w:hAnsi="Times New Roman" w:cs="Times New Roman"/>
          <w:color w:val="222222"/>
          <w:sz w:val="24"/>
          <w:szCs w:val="24"/>
          <w:shd w:val="clear" w:color="auto" w:fill="FFFFFF"/>
        </w:rPr>
      </w:pPr>
      <w:r w:rsidRPr="00C43D68">
        <w:rPr>
          <w:rFonts w:ascii="Times New Roman" w:hAnsi="Times New Roman" w:cs="Times New Roman"/>
          <w:color w:val="333333"/>
          <w:sz w:val="24"/>
          <w:szCs w:val="24"/>
        </w:rPr>
        <w:t xml:space="preserve">UNIDO, 2020. </w:t>
      </w:r>
      <w:r w:rsidRPr="00C43D68">
        <w:rPr>
          <w:rFonts w:ascii="Times New Roman" w:hAnsi="Times New Roman" w:cs="Times New Roman"/>
          <w:sz w:val="24"/>
          <w:szCs w:val="24"/>
        </w:rPr>
        <w:t>Indstat</w:t>
      </w:r>
      <w:r w:rsidRPr="00C43D68">
        <w:rPr>
          <w:rFonts w:ascii="Times New Roman" w:hAnsi="Times New Roman" w:cs="Times New Roman"/>
          <w:color w:val="333333"/>
          <w:sz w:val="24"/>
          <w:szCs w:val="24"/>
        </w:rPr>
        <w:t>2 Industrial Statistics Database at 2-digit level of ISIC Revision 3. Vienna. Available from http://stat.unido.org</w:t>
      </w:r>
      <w:r w:rsidRPr="00C43D68">
        <w:rPr>
          <w:rFonts w:ascii="Times New Roman" w:hAnsi="Times New Roman" w:cs="Times New Roman"/>
          <w:color w:val="222222"/>
          <w:sz w:val="24"/>
          <w:szCs w:val="24"/>
          <w:shd w:val="clear" w:color="auto" w:fill="FFFFFF"/>
        </w:rPr>
        <w:t xml:space="preserve"> </w:t>
      </w:r>
    </w:p>
    <w:p w14:paraId="71E2310F" w14:textId="77777777" w:rsidR="00D9533A" w:rsidRPr="00C43D68" w:rsidRDefault="00D9533A" w:rsidP="00D9533A">
      <w:pPr>
        <w:spacing w:after="200" w:line="276" w:lineRule="auto"/>
        <w:ind w:left="720" w:hanging="720"/>
        <w:rPr>
          <w:rFonts w:ascii="Times New Roman" w:hAnsi="Times New Roman" w:cs="Times New Roman"/>
          <w:color w:val="000000" w:themeColor="text1"/>
          <w:sz w:val="24"/>
          <w:szCs w:val="24"/>
          <w:shd w:val="clear" w:color="auto" w:fill="FFFFFF"/>
        </w:rPr>
      </w:pPr>
      <w:proofErr w:type="spellStart"/>
      <w:r w:rsidRPr="00C43D68">
        <w:rPr>
          <w:rFonts w:ascii="Times New Roman" w:hAnsi="Times New Roman" w:cs="Times New Roman"/>
          <w:color w:val="222222"/>
          <w:sz w:val="24"/>
          <w:szCs w:val="24"/>
          <w:shd w:val="clear" w:color="auto" w:fill="FFFFFF"/>
        </w:rPr>
        <w:t>Stehrer</w:t>
      </w:r>
      <w:proofErr w:type="spellEnd"/>
      <w:r w:rsidRPr="00C43D68">
        <w:rPr>
          <w:rFonts w:ascii="Times New Roman" w:hAnsi="Times New Roman" w:cs="Times New Roman"/>
          <w:color w:val="222222"/>
          <w:sz w:val="24"/>
          <w:szCs w:val="24"/>
          <w:shd w:val="clear" w:color="auto" w:fill="FFFFFF"/>
        </w:rPr>
        <w:t xml:space="preserve">, R., </w:t>
      </w:r>
      <w:proofErr w:type="spellStart"/>
      <w:r w:rsidRPr="00C43D68">
        <w:rPr>
          <w:rFonts w:ascii="Times New Roman" w:hAnsi="Times New Roman" w:cs="Times New Roman"/>
          <w:color w:val="222222"/>
          <w:sz w:val="24"/>
          <w:szCs w:val="24"/>
          <w:shd w:val="clear" w:color="auto" w:fill="FFFFFF"/>
        </w:rPr>
        <w:t>Bykova</w:t>
      </w:r>
      <w:proofErr w:type="spellEnd"/>
      <w:r w:rsidRPr="00C43D68">
        <w:rPr>
          <w:rFonts w:ascii="Times New Roman" w:hAnsi="Times New Roman" w:cs="Times New Roman"/>
          <w:color w:val="222222"/>
          <w:sz w:val="24"/>
          <w:szCs w:val="24"/>
          <w:shd w:val="clear" w:color="auto" w:fill="FFFFFF"/>
        </w:rPr>
        <w:t xml:space="preserve">, A., </w:t>
      </w:r>
      <w:proofErr w:type="spellStart"/>
      <w:r w:rsidRPr="00C43D68">
        <w:rPr>
          <w:rFonts w:ascii="Times New Roman" w:hAnsi="Times New Roman" w:cs="Times New Roman"/>
          <w:color w:val="222222"/>
          <w:sz w:val="24"/>
          <w:szCs w:val="24"/>
          <w:shd w:val="clear" w:color="auto" w:fill="FFFFFF"/>
        </w:rPr>
        <w:t>Jäger</w:t>
      </w:r>
      <w:proofErr w:type="spellEnd"/>
      <w:r w:rsidRPr="00C43D68">
        <w:rPr>
          <w:rFonts w:ascii="Times New Roman" w:hAnsi="Times New Roman" w:cs="Times New Roman"/>
          <w:color w:val="222222"/>
          <w:sz w:val="24"/>
          <w:szCs w:val="24"/>
          <w:shd w:val="clear" w:color="auto" w:fill="FFFFFF"/>
        </w:rPr>
        <w:t xml:space="preserve">, K., Reiter, O. and </w:t>
      </w:r>
      <w:proofErr w:type="spellStart"/>
      <w:r w:rsidRPr="00C43D68">
        <w:rPr>
          <w:rFonts w:ascii="Times New Roman" w:hAnsi="Times New Roman" w:cs="Times New Roman"/>
          <w:color w:val="222222"/>
          <w:sz w:val="24"/>
          <w:szCs w:val="24"/>
          <w:shd w:val="clear" w:color="auto" w:fill="FFFFFF"/>
        </w:rPr>
        <w:t>Schwarzhappel</w:t>
      </w:r>
      <w:proofErr w:type="spellEnd"/>
      <w:r w:rsidRPr="00C43D68">
        <w:rPr>
          <w:rFonts w:ascii="Times New Roman" w:hAnsi="Times New Roman" w:cs="Times New Roman"/>
          <w:color w:val="222222"/>
          <w:sz w:val="24"/>
          <w:szCs w:val="24"/>
          <w:shd w:val="clear" w:color="auto" w:fill="FFFFFF"/>
        </w:rPr>
        <w:t>, M., 2019. Industry-level growth and productivity data with special focus on intangible assets: Report on methodologies and data construction for the EU KLEMS release 2019. </w:t>
      </w:r>
      <w:r w:rsidRPr="00C43D68">
        <w:rPr>
          <w:rFonts w:ascii="Times New Roman" w:hAnsi="Times New Roman" w:cs="Times New Roman"/>
          <w:i/>
          <w:iCs/>
          <w:color w:val="222222"/>
          <w:sz w:val="24"/>
          <w:szCs w:val="24"/>
          <w:shd w:val="clear" w:color="auto" w:fill="FFFFFF"/>
        </w:rPr>
        <w:t xml:space="preserve">The Vienna Institute for International Economic </w:t>
      </w:r>
      <w:r w:rsidRPr="00C43D68">
        <w:rPr>
          <w:rFonts w:ascii="Times New Roman" w:hAnsi="Times New Roman" w:cs="Times New Roman"/>
          <w:i/>
          <w:iCs/>
          <w:color w:val="000000" w:themeColor="text1"/>
          <w:sz w:val="24"/>
          <w:szCs w:val="24"/>
          <w:shd w:val="clear" w:color="auto" w:fill="FFFFFF"/>
        </w:rPr>
        <w:t>Studies</w:t>
      </w:r>
      <w:r w:rsidRPr="00C43D68">
        <w:rPr>
          <w:rFonts w:ascii="Times New Roman" w:hAnsi="Times New Roman" w:cs="Times New Roman"/>
          <w:color w:val="000000" w:themeColor="text1"/>
          <w:sz w:val="24"/>
          <w:szCs w:val="24"/>
          <w:shd w:val="clear" w:color="auto" w:fill="FFFFFF"/>
        </w:rPr>
        <w:t>.</w:t>
      </w:r>
    </w:p>
    <w:p w14:paraId="0D811233" w14:textId="77777777" w:rsidR="00D9533A" w:rsidRPr="00C43D68" w:rsidRDefault="00D9533A" w:rsidP="00D9533A">
      <w:pPr>
        <w:spacing w:after="200" w:line="276" w:lineRule="auto"/>
        <w:ind w:left="720" w:hanging="720"/>
        <w:rPr>
          <w:rFonts w:ascii="Times New Roman" w:hAnsi="Times New Roman" w:cs="Times New Roman"/>
          <w:color w:val="000000" w:themeColor="text1"/>
          <w:sz w:val="24"/>
          <w:szCs w:val="24"/>
        </w:rPr>
      </w:pPr>
      <w:r w:rsidRPr="00C43D68">
        <w:rPr>
          <w:rFonts w:ascii="Times New Roman" w:hAnsi="Times New Roman" w:cs="Times New Roman"/>
          <w:color w:val="000000" w:themeColor="text1"/>
          <w:sz w:val="24"/>
          <w:szCs w:val="24"/>
        </w:rPr>
        <w:t xml:space="preserve">World Bank, 2020a. World Development Indicators (WDI). </w:t>
      </w:r>
      <w:hyperlink r:id="rId18" w:history="1">
        <w:r w:rsidRPr="00C43D68">
          <w:rPr>
            <w:rStyle w:val="Hyperlink"/>
            <w:rFonts w:ascii="Times New Roman" w:hAnsi="Times New Roman" w:cs="Times New Roman"/>
            <w:color w:val="000000" w:themeColor="text1"/>
            <w:spacing w:val="-5"/>
            <w:sz w:val="24"/>
            <w:szCs w:val="24"/>
            <w:shd w:val="clear" w:color="auto" w:fill="FFFFFF"/>
          </w:rPr>
          <w:t>https://databank.worldbank.org/reports.aspx?source=World-Development-Indicators</w:t>
        </w:r>
      </w:hyperlink>
      <w:r w:rsidRPr="00C43D68">
        <w:rPr>
          <w:rFonts w:ascii="Times New Roman" w:hAnsi="Times New Roman" w:cs="Times New Roman"/>
          <w:color w:val="000000" w:themeColor="text1"/>
          <w:spacing w:val="-5"/>
          <w:sz w:val="24"/>
          <w:szCs w:val="24"/>
          <w:shd w:val="clear" w:color="auto" w:fill="FFFFFF"/>
        </w:rPr>
        <w:t xml:space="preserve">, </w:t>
      </w:r>
      <w:r w:rsidRPr="00C43D68">
        <w:rPr>
          <w:rFonts w:ascii="Times New Roman" w:hAnsi="Times New Roman" w:cs="Times New Roman"/>
          <w:color w:val="000000" w:themeColor="text1"/>
          <w:sz w:val="24"/>
          <w:szCs w:val="24"/>
        </w:rPr>
        <w:t>last access in December 2020.</w:t>
      </w:r>
    </w:p>
    <w:p w14:paraId="2BA3EAD9" w14:textId="77777777" w:rsidR="00D9533A" w:rsidRPr="00C43D68" w:rsidRDefault="00D9533A" w:rsidP="00D9533A">
      <w:pPr>
        <w:spacing w:after="200" w:line="276" w:lineRule="auto"/>
        <w:ind w:left="720" w:hanging="720"/>
        <w:rPr>
          <w:rFonts w:ascii="Times New Roman" w:hAnsi="Times New Roman" w:cs="Times New Roman"/>
          <w:sz w:val="24"/>
          <w:szCs w:val="24"/>
        </w:rPr>
      </w:pPr>
      <w:r w:rsidRPr="00C43D68">
        <w:rPr>
          <w:rFonts w:ascii="Times New Roman" w:hAnsi="Times New Roman" w:cs="Times New Roman"/>
          <w:color w:val="000000" w:themeColor="text1"/>
          <w:sz w:val="24"/>
          <w:szCs w:val="24"/>
        </w:rPr>
        <w:t xml:space="preserve">World Bank, 2020b. International Comparison Program (ICP). </w:t>
      </w:r>
      <w:hyperlink r:id="rId19" w:history="1">
        <w:r w:rsidRPr="00C43D68">
          <w:rPr>
            <w:rStyle w:val="Hyperlink"/>
            <w:rFonts w:ascii="Times New Roman" w:hAnsi="Times New Roman" w:cs="Times New Roman"/>
            <w:color w:val="000000" w:themeColor="text1"/>
            <w:sz w:val="24"/>
            <w:szCs w:val="24"/>
          </w:rPr>
          <w:t>https://www.worldbank.org/en/programs/icp</w:t>
        </w:r>
      </w:hyperlink>
      <w:r w:rsidRPr="00C43D68">
        <w:rPr>
          <w:rFonts w:ascii="Times New Roman" w:hAnsi="Times New Roman" w:cs="Times New Roman"/>
          <w:color w:val="000000" w:themeColor="text1"/>
          <w:sz w:val="24"/>
          <w:szCs w:val="24"/>
        </w:rPr>
        <w:t>, last access in December 2020.</w:t>
      </w:r>
      <w:r w:rsidRPr="00C43D68">
        <w:rPr>
          <w:rFonts w:ascii="Times New Roman" w:hAnsi="Times New Roman" w:cs="Times New Roman"/>
          <w:sz w:val="24"/>
          <w:szCs w:val="24"/>
        </w:rPr>
        <w:t xml:space="preserve"> </w:t>
      </w:r>
    </w:p>
    <w:p w14:paraId="4A7542C6" w14:textId="77777777" w:rsidR="00D9533A" w:rsidRPr="00C43D68" w:rsidRDefault="00D9533A" w:rsidP="00D9533A"/>
    <w:p w14:paraId="0B6BE3F6" w14:textId="2B5D642B" w:rsidR="00C32CE4" w:rsidRPr="008F78A6" w:rsidRDefault="00C32CE4" w:rsidP="00C32CE4">
      <w:pPr>
        <w:spacing w:after="200" w:line="276" w:lineRule="auto"/>
        <w:ind w:left="720" w:hanging="720"/>
        <w:rPr>
          <w:rFonts w:ascii="Times New Roman" w:hAnsi="Times New Roman" w:cs="Times New Roman"/>
          <w:sz w:val="24"/>
          <w:szCs w:val="24"/>
        </w:rPr>
      </w:pPr>
    </w:p>
    <w:bookmarkEnd w:id="9"/>
    <w:p w14:paraId="338A1D6D" w14:textId="58AB9377" w:rsidR="00D74AB9" w:rsidRDefault="00D74AB9">
      <w:pPr>
        <w:rPr>
          <w:rFonts w:ascii="Times New Roman" w:eastAsiaTheme="majorEastAsia" w:hAnsi="Times New Roman" w:cs="Times New Roman"/>
          <w:b/>
          <w:sz w:val="24"/>
          <w:szCs w:val="24"/>
        </w:rPr>
      </w:pPr>
    </w:p>
    <w:p w14:paraId="7D3B21E0" w14:textId="0306658D" w:rsidR="00D74AB9" w:rsidRDefault="00D74AB9">
      <w:pPr>
        <w:rPr>
          <w:rFonts w:ascii="Times New Roman" w:eastAsiaTheme="majorEastAsia" w:hAnsi="Times New Roman" w:cs="Times New Roman"/>
          <w:b/>
          <w:sz w:val="24"/>
          <w:szCs w:val="24"/>
        </w:rPr>
      </w:pPr>
    </w:p>
    <w:p w14:paraId="7023CE54" w14:textId="0E127D84" w:rsidR="00652C49" w:rsidRPr="00652C49" w:rsidRDefault="00206C87" w:rsidP="00833683">
      <w:pPr>
        <w:pStyle w:val="Heading2"/>
        <w:ind w:firstLine="720"/>
        <w:rPr>
          <w:rFonts w:ascii="Times New Roman" w:hAnsi="Times New Roman" w:cs="Times New Roman"/>
          <w:sz w:val="22"/>
          <w:szCs w:val="28"/>
        </w:rPr>
      </w:pPr>
      <w:r>
        <w:rPr>
          <w:rFonts w:ascii="Times New Roman" w:hAnsi="Times New Roman" w:cs="Times New Roman"/>
          <w:sz w:val="24"/>
          <w:szCs w:val="24"/>
        </w:rPr>
        <w:lastRenderedPageBreak/>
        <w:t>Fig.</w:t>
      </w:r>
      <w:r w:rsidR="00DC2FE2">
        <w:rPr>
          <w:rFonts w:ascii="Times New Roman" w:hAnsi="Times New Roman" w:cs="Times New Roman"/>
          <w:sz w:val="24"/>
          <w:szCs w:val="24"/>
        </w:rPr>
        <w:t xml:space="preserve"> </w:t>
      </w:r>
      <w:r>
        <w:rPr>
          <w:rFonts w:ascii="Times New Roman" w:hAnsi="Times New Roman" w:cs="Times New Roman"/>
          <w:sz w:val="24"/>
          <w:szCs w:val="24"/>
        </w:rPr>
        <w:t>1.</w:t>
      </w:r>
      <w:r w:rsidR="00DC2FE2">
        <w:rPr>
          <w:rFonts w:ascii="Times New Roman" w:hAnsi="Times New Roman" w:cs="Times New Roman"/>
          <w:sz w:val="24"/>
          <w:szCs w:val="24"/>
        </w:rPr>
        <w:t xml:space="preserve">1 </w:t>
      </w:r>
      <w:r w:rsidR="00652C49" w:rsidRPr="00652C49">
        <w:rPr>
          <w:rFonts w:ascii="Times New Roman" w:hAnsi="Times New Roman" w:cs="Times New Roman"/>
          <w:bCs/>
          <w:sz w:val="24"/>
          <w:szCs w:val="32"/>
        </w:rPr>
        <w:t>Original manufacturing employment (ETD) vs. adjusted estimates</w:t>
      </w:r>
    </w:p>
    <w:p w14:paraId="69D70406" w14:textId="57CAA67D" w:rsidR="00652C49" w:rsidRDefault="00652C49" w:rsidP="00833683">
      <w:pPr>
        <w:pStyle w:val="Heading2"/>
        <w:ind w:firstLine="720"/>
        <w:rPr>
          <w:rFonts w:ascii="Times New Roman" w:hAnsi="Times New Roman" w:cs="Times New Roman"/>
          <w:sz w:val="24"/>
          <w:szCs w:val="24"/>
        </w:rPr>
      </w:pPr>
      <w:r w:rsidRPr="00FC7BC9">
        <w:rPr>
          <w:rFonts w:ascii="Times New Roman" w:hAnsi="Times New Roman" w:cs="Times New Roman"/>
          <w:noProof/>
        </w:rPr>
        <w:drawing>
          <wp:inline distT="0" distB="0" distL="0" distR="0" wp14:anchorId="65307142" wp14:editId="58AFC12D">
            <wp:extent cx="5486400" cy="3657600"/>
            <wp:effectExtent l="0" t="0" r="0" b="0"/>
            <wp:docPr id="3" name="Chart 3">
              <a:extLst xmlns:a="http://schemas.openxmlformats.org/drawingml/2006/main">
                <a:ext uri="{FF2B5EF4-FFF2-40B4-BE49-F238E27FC236}">
                  <a16:creationId xmlns:a16="http://schemas.microsoft.com/office/drawing/2014/main" id="{B5AAA77A-AFA1-4C3B-A783-305E7E5D28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C3DAA12" w14:textId="77777777" w:rsidR="00652C49" w:rsidRPr="00FC7BC9" w:rsidRDefault="00652C49" w:rsidP="00652C49">
      <w:pPr>
        <w:spacing w:line="240" w:lineRule="auto"/>
        <w:rPr>
          <w:rFonts w:ascii="Times New Roman" w:hAnsi="Times New Roman" w:cs="Times New Roman"/>
        </w:rPr>
      </w:pPr>
      <w:r w:rsidRPr="00FC7BC9">
        <w:rPr>
          <w:rFonts w:ascii="Times New Roman" w:hAnsi="Times New Roman" w:cs="Times New Roman"/>
          <w:i/>
          <w:iCs/>
          <w:sz w:val="20"/>
          <w:szCs w:val="20"/>
        </w:rPr>
        <w:t>Note</w:t>
      </w:r>
      <w:r w:rsidRPr="00FC7BC9">
        <w:rPr>
          <w:rFonts w:ascii="Times New Roman" w:hAnsi="Times New Roman" w:cs="Times New Roman"/>
          <w:sz w:val="20"/>
          <w:szCs w:val="20"/>
        </w:rPr>
        <w:t xml:space="preserve">: </w:t>
      </w:r>
      <w:r>
        <w:rPr>
          <w:rFonts w:ascii="Times New Roman" w:hAnsi="Times New Roman" w:cs="Times New Roman"/>
          <w:sz w:val="20"/>
          <w:szCs w:val="20"/>
        </w:rPr>
        <w:t>ETD (original) in the</w:t>
      </w:r>
      <w:r w:rsidRPr="00FC7BC9">
        <w:rPr>
          <w:rFonts w:ascii="Times New Roman" w:hAnsi="Times New Roman" w:cs="Times New Roman"/>
          <w:sz w:val="20"/>
          <w:szCs w:val="20"/>
        </w:rPr>
        <w:t xml:space="preserve"> figure </w:t>
      </w:r>
      <w:r>
        <w:rPr>
          <w:rFonts w:ascii="Times New Roman" w:hAnsi="Times New Roman" w:cs="Times New Roman"/>
          <w:sz w:val="20"/>
          <w:szCs w:val="20"/>
        </w:rPr>
        <w:t>i</w:t>
      </w:r>
      <w:r w:rsidRPr="00FC7BC9">
        <w:rPr>
          <w:rFonts w:ascii="Times New Roman" w:hAnsi="Times New Roman" w:cs="Times New Roman"/>
          <w:sz w:val="20"/>
          <w:szCs w:val="20"/>
        </w:rPr>
        <w:t>s the original manufacturing employment series from the Economic Transformation Database</w:t>
      </w:r>
      <w:r>
        <w:rPr>
          <w:rFonts w:ascii="Times New Roman" w:hAnsi="Times New Roman" w:cs="Times New Roman"/>
          <w:sz w:val="20"/>
          <w:szCs w:val="20"/>
        </w:rPr>
        <w:t>, while ‘Adjusted aggregate’ is our new estimation</w:t>
      </w:r>
      <w:r w:rsidRPr="00FC7BC9">
        <w:rPr>
          <w:rFonts w:ascii="Times New Roman" w:hAnsi="Times New Roman" w:cs="Times New Roman"/>
          <w:sz w:val="20"/>
          <w:szCs w:val="20"/>
        </w:rPr>
        <w:t xml:space="preserve"> of </w:t>
      </w:r>
      <w:r>
        <w:rPr>
          <w:rFonts w:ascii="Times New Roman" w:hAnsi="Times New Roman" w:cs="Times New Roman"/>
          <w:sz w:val="20"/>
          <w:szCs w:val="20"/>
        </w:rPr>
        <w:t>total</w:t>
      </w:r>
      <w:r w:rsidRPr="00FC7BC9">
        <w:rPr>
          <w:rFonts w:ascii="Times New Roman" w:hAnsi="Times New Roman" w:cs="Times New Roman"/>
          <w:sz w:val="20"/>
          <w:szCs w:val="20"/>
        </w:rPr>
        <w:t xml:space="preserve"> manufacturing employment using the </w:t>
      </w:r>
      <w:r>
        <w:rPr>
          <w:rFonts w:ascii="Times New Roman" w:hAnsi="Times New Roman" w:cs="Times New Roman"/>
          <w:sz w:val="20"/>
          <w:szCs w:val="20"/>
        </w:rPr>
        <w:t xml:space="preserve">microdata from UEU and LSMS adjusted microdata from </w:t>
      </w:r>
      <w:r w:rsidRPr="00FC7BC9">
        <w:rPr>
          <w:rFonts w:ascii="Times New Roman" w:hAnsi="Times New Roman" w:cs="Times New Roman"/>
          <w:sz w:val="20"/>
          <w:szCs w:val="20"/>
        </w:rPr>
        <w:t>LFS.</w:t>
      </w:r>
    </w:p>
    <w:p w14:paraId="1461EFEA" w14:textId="02F9139A" w:rsidR="00652C49" w:rsidRDefault="00652C49">
      <w:r>
        <w:br w:type="page"/>
      </w:r>
    </w:p>
    <w:p w14:paraId="1FE08272" w14:textId="4AA26898" w:rsidR="00652C49" w:rsidRDefault="00206C87" w:rsidP="00652C49">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Fig. 1.2</w:t>
      </w:r>
      <w:r w:rsidR="00652C49" w:rsidRPr="00652C49">
        <w:rPr>
          <w:rFonts w:ascii="Times New Roman" w:hAnsi="Times New Roman" w:cs="Times New Roman"/>
          <w:b/>
          <w:bCs/>
          <w:sz w:val="24"/>
          <w:szCs w:val="24"/>
        </w:rPr>
        <w:t xml:space="preserve"> Ethiopia manufacturing employment, urban vs. rural vs. large &amp; medium</w:t>
      </w:r>
      <w:r w:rsidR="00652C49" w:rsidRPr="00FC7BC9">
        <w:rPr>
          <w:rFonts w:ascii="Times New Roman" w:hAnsi="Times New Roman" w:cs="Times New Roman"/>
          <w:noProof/>
        </w:rPr>
        <w:drawing>
          <wp:inline distT="0" distB="0" distL="0" distR="0" wp14:anchorId="74420A13" wp14:editId="36B553C1">
            <wp:extent cx="5486400" cy="3657600"/>
            <wp:effectExtent l="0" t="0" r="0" b="0"/>
            <wp:docPr id="4" name="Chart 4">
              <a:extLst xmlns:a="http://schemas.openxmlformats.org/drawingml/2006/main">
                <a:ext uri="{FF2B5EF4-FFF2-40B4-BE49-F238E27FC236}">
                  <a16:creationId xmlns:a16="http://schemas.microsoft.com/office/drawing/2014/main" id="{BF37437F-607F-402A-B817-8436767BAB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54D4CE" w14:textId="77777777" w:rsidR="00652C49" w:rsidRPr="00FC7BC9" w:rsidRDefault="00652C49" w:rsidP="00652C49">
      <w:pPr>
        <w:spacing w:line="240" w:lineRule="auto"/>
        <w:jc w:val="both"/>
        <w:rPr>
          <w:rFonts w:ascii="Times New Roman" w:hAnsi="Times New Roman" w:cs="Times New Roman"/>
        </w:rPr>
      </w:pPr>
      <w:r w:rsidRPr="0004500C">
        <w:rPr>
          <w:rFonts w:ascii="Times New Roman" w:hAnsi="Times New Roman" w:cs="Times New Roman"/>
          <w:i/>
          <w:iCs/>
          <w:sz w:val="20"/>
          <w:szCs w:val="20"/>
        </w:rPr>
        <w:t>Note</w:t>
      </w:r>
      <w:r w:rsidRPr="00FC7BC9">
        <w:rPr>
          <w:rFonts w:ascii="Times New Roman" w:hAnsi="Times New Roman" w:cs="Times New Roman"/>
          <w:sz w:val="20"/>
          <w:szCs w:val="20"/>
        </w:rPr>
        <w:t xml:space="preserve">: This figure shows our adjusted estimates of urban, rural, and total manufacturing employment using the LFS, UEU, and LSMS. The </w:t>
      </w:r>
      <w:r>
        <w:rPr>
          <w:rFonts w:ascii="Times New Roman" w:hAnsi="Times New Roman" w:cs="Times New Roman"/>
          <w:sz w:val="20"/>
          <w:szCs w:val="20"/>
        </w:rPr>
        <w:t>numbers</w:t>
      </w:r>
      <w:r w:rsidRPr="00FC7BC9">
        <w:rPr>
          <w:rFonts w:ascii="Times New Roman" w:hAnsi="Times New Roman" w:cs="Times New Roman"/>
          <w:sz w:val="20"/>
          <w:szCs w:val="20"/>
        </w:rPr>
        <w:t xml:space="preserve"> for the red line of “large and medium” </w:t>
      </w:r>
      <w:r>
        <w:rPr>
          <w:rFonts w:ascii="Times New Roman" w:hAnsi="Times New Roman" w:cs="Times New Roman"/>
          <w:sz w:val="20"/>
          <w:szCs w:val="20"/>
        </w:rPr>
        <w:t>are</w:t>
      </w:r>
      <w:r w:rsidRPr="00FC7BC9">
        <w:rPr>
          <w:rFonts w:ascii="Times New Roman" w:hAnsi="Times New Roman" w:cs="Times New Roman"/>
          <w:sz w:val="20"/>
          <w:szCs w:val="20"/>
        </w:rPr>
        <w:t xml:space="preserve"> </w:t>
      </w:r>
      <w:r>
        <w:rPr>
          <w:rFonts w:ascii="Times New Roman" w:hAnsi="Times New Roman" w:cs="Times New Roman"/>
          <w:sz w:val="20"/>
          <w:szCs w:val="20"/>
        </w:rPr>
        <w:t xml:space="preserve">the aggregation of </w:t>
      </w:r>
      <w:r w:rsidRPr="00FC7BC9">
        <w:rPr>
          <w:rFonts w:ascii="Times New Roman" w:hAnsi="Times New Roman" w:cs="Times New Roman"/>
          <w:sz w:val="20"/>
          <w:szCs w:val="20"/>
        </w:rPr>
        <w:t xml:space="preserve">the raw data of LMSM that includes both permanent and temporary workers of large and medium sized firms. The difference between urban total employment and LMSM employment gives us a trend (the green line) almost identical to the trend for total rural (brown line), although the estimate approaches are very different between rural and urban employment. </w:t>
      </w:r>
    </w:p>
    <w:p w14:paraId="2BD9362B" w14:textId="77777777" w:rsidR="00652C49" w:rsidRPr="00652C49" w:rsidRDefault="00652C49" w:rsidP="00652C49">
      <w:pPr>
        <w:spacing w:after="0"/>
        <w:jc w:val="center"/>
        <w:rPr>
          <w:rFonts w:ascii="Times New Roman" w:hAnsi="Times New Roman" w:cs="Times New Roman"/>
          <w:b/>
          <w:bCs/>
          <w:sz w:val="24"/>
          <w:szCs w:val="24"/>
        </w:rPr>
      </w:pPr>
    </w:p>
    <w:p w14:paraId="514D1D77" w14:textId="77777777" w:rsidR="00652C49" w:rsidRDefault="00652C49" w:rsidP="00833683">
      <w:pPr>
        <w:pStyle w:val="Heading2"/>
        <w:ind w:firstLine="720"/>
        <w:rPr>
          <w:rFonts w:ascii="Times New Roman" w:hAnsi="Times New Roman" w:cs="Times New Roman"/>
          <w:sz w:val="24"/>
          <w:szCs w:val="24"/>
        </w:rPr>
      </w:pPr>
      <w:r>
        <w:rPr>
          <w:rFonts w:ascii="Times New Roman" w:hAnsi="Times New Roman" w:cs="Times New Roman"/>
          <w:sz w:val="24"/>
          <w:szCs w:val="24"/>
        </w:rPr>
        <w:t xml:space="preserve"> </w:t>
      </w:r>
    </w:p>
    <w:p w14:paraId="6DB03357" w14:textId="77777777" w:rsidR="00652C49" w:rsidRDefault="00652C49">
      <w:pPr>
        <w:rPr>
          <w:rFonts w:ascii="Times New Roman" w:eastAsiaTheme="majorEastAsia" w:hAnsi="Times New Roman" w:cs="Times New Roman"/>
          <w:b/>
          <w:sz w:val="24"/>
          <w:szCs w:val="24"/>
        </w:rPr>
      </w:pPr>
      <w:r>
        <w:rPr>
          <w:rFonts w:ascii="Times New Roman" w:hAnsi="Times New Roman" w:cs="Times New Roman"/>
          <w:sz w:val="24"/>
          <w:szCs w:val="24"/>
        </w:rPr>
        <w:br w:type="page"/>
      </w:r>
    </w:p>
    <w:p w14:paraId="45B5D77D" w14:textId="51690C71" w:rsidR="00861ED5" w:rsidRDefault="00861ED5" w:rsidP="00833683">
      <w:pPr>
        <w:pStyle w:val="Heading2"/>
        <w:ind w:firstLine="720"/>
        <w:rPr>
          <w:rFonts w:ascii="Times New Roman" w:hAnsi="Times New Roman" w:cs="Times New Roman"/>
          <w:sz w:val="24"/>
          <w:szCs w:val="24"/>
        </w:rPr>
      </w:pPr>
      <w:r>
        <w:rPr>
          <w:rFonts w:ascii="Times New Roman" w:hAnsi="Times New Roman" w:cs="Times New Roman"/>
          <w:sz w:val="24"/>
          <w:szCs w:val="24"/>
        </w:rPr>
        <w:lastRenderedPageBreak/>
        <w:t>Fig</w:t>
      </w:r>
      <w:r w:rsidR="00206C87">
        <w:rPr>
          <w:rFonts w:ascii="Times New Roman" w:hAnsi="Times New Roman" w:cs="Times New Roman"/>
          <w:sz w:val="24"/>
          <w:szCs w:val="24"/>
        </w:rPr>
        <w:t>. 1.</w:t>
      </w:r>
      <w:r>
        <w:rPr>
          <w:rFonts w:ascii="Times New Roman" w:hAnsi="Times New Roman" w:cs="Times New Roman"/>
          <w:sz w:val="24"/>
          <w:szCs w:val="24"/>
        </w:rPr>
        <w:t>3 Correlation between labor productivity growth within selected non-agricultural sectors and from structural change in Asian countries, 2001-2018</w:t>
      </w:r>
    </w:p>
    <w:p w14:paraId="13D69600" w14:textId="39F2EB20" w:rsidR="00861ED5" w:rsidRPr="00861ED5" w:rsidRDefault="006C3DC3" w:rsidP="00861ED5">
      <w:pPr>
        <w:jc w:val="center"/>
      </w:pPr>
      <w:r>
        <w:rPr>
          <w:noProof/>
        </w:rPr>
        <w:drawing>
          <wp:inline distT="0" distB="0" distL="0" distR="0" wp14:anchorId="37330CC8" wp14:editId="3C7E2C8C">
            <wp:extent cx="4831080" cy="3775710"/>
            <wp:effectExtent l="0" t="0" r="7620" b="15240"/>
            <wp:docPr id="38" name="Chart 38">
              <a:extLst xmlns:a="http://schemas.openxmlformats.org/drawingml/2006/main">
                <a:ext uri="{FF2B5EF4-FFF2-40B4-BE49-F238E27FC236}">
                  <a16:creationId xmlns:a16="http://schemas.microsoft.com/office/drawing/2014/main" id="{CA29C8A2-F746-4C80-BBC9-82CBF6D9A9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3BFDD91" w14:textId="0BD6494A" w:rsidR="00861ED5" w:rsidRPr="00861ED5" w:rsidRDefault="00861ED5" w:rsidP="00861ED5">
      <w:pPr>
        <w:pStyle w:val="NormalWeb"/>
        <w:spacing w:before="0" w:beforeAutospacing="0" w:after="0" w:afterAutospacing="0"/>
        <w:rPr>
          <w:sz w:val="20"/>
          <w:szCs w:val="20"/>
        </w:rPr>
      </w:pPr>
      <w:r w:rsidRPr="00861ED5">
        <w:rPr>
          <w:i/>
          <w:iCs/>
          <w:sz w:val="20"/>
          <w:szCs w:val="20"/>
        </w:rPr>
        <w:t>Note</w:t>
      </w:r>
      <w:r w:rsidRPr="00861ED5">
        <w:rPr>
          <w:sz w:val="20"/>
          <w:szCs w:val="20"/>
        </w:rPr>
        <w:t>: Authors’ update using ETD data</w:t>
      </w:r>
      <w:r>
        <w:rPr>
          <w:sz w:val="20"/>
          <w:szCs w:val="20"/>
        </w:rPr>
        <w:t xml:space="preserve"> from 2001-2018 for Bangladesh, India, Cambodia, Laos,</w:t>
      </w:r>
      <w:r w:rsidR="006C3DC3">
        <w:rPr>
          <w:sz w:val="20"/>
          <w:szCs w:val="20"/>
        </w:rPr>
        <w:t xml:space="preserve"> Nepal, Myanmar,</w:t>
      </w:r>
      <w:r>
        <w:rPr>
          <w:sz w:val="20"/>
          <w:szCs w:val="20"/>
        </w:rPr>
        <w:t xml:space="preserve"> Sri Lanka, and Vietnam</w:t>
      </w:r>
      <w:r w:rsidRPr="00861ED5">
        <w:rPr>
          <w:sz w:val="20"/>
          <w:szCs w:val="20"/>
        </w:rPr>
        <w:t xml:space="preserve">. Original results for other </w:t>
      </w:r>
      <w:r w:rsidR="006C3DC3">
        <w:rPr>
          <w:sz w:val="20"/>
          <w:szCs w:val="20"/>
        </w:rPr>
        <w:t>7</w:t>
      </w:r>
      <w:r w:rsidRPr="00861ED5">
        <w:rPr>
          <w:sz w:val="20"/>
          <w:szCs w:val="20"/>
        </w:rPr>
        <w:t xml:space="preserve"> Asian countries including China, Korea, Indonesia, and Thailand </w:t>
      </w:r>
      <w:r w:rsidRPr="00861ED5">
        <w:rPr>
          <w:color w:val="000000"/>
          <w:kern w:val="24"/>
          <w:sz w:val="20"/>
          <w:szCs w:val="20"/>
        </w:rPr>
        <w:t>appeared in Diao, X., McMillan, M. and Rodrik, D., 2019.</w:t>
      </w:r>
    </w:p>
    <w:p w14:paraId="7AB37B84" w14:textId="52A3E66E" w:rsidR="00861ED5" w:rsidRDefault="00861ED5">
      <w:pPr>
        <w:rPr>
          <w:rFonts w:ascii="Times New Roman" w:eastAsiaTheme="majorEastAsia" w:hAnsi="Times New Roman" w:cs="Times New Roman"/>
          <w:b/>
          <w:sz w:val="24"/>
          <w:szCs w:val="24"/>
        </w:rPr>
      </w:pPr>
      <w:r>
        <w:rPr>
          <w:rFonts w:ascii="Times New Roman" w:hAnsi="Times New Roman" w:cs="Times New Roman"/>
          <w:sz w:val="24"/>
          <w:szCs w:val="24"/>
        </w:rPr>
        <w:br w:type="page"/>
      </w:r>
    </w:p>
    <w:p w14:paraId="232BB400" w14:textId="4DFC8AB2" w:rsidR="00DC2FE2" w:rsidRDefault="00652C49" w:rsidP="00833683">
      <w:pPr>
        <w:pStyle w:val="Heading2"/>
        <w:ind w:firstLine="720"/>
        <w:rPr>
          <w:rFonts w:ascii="Times New Roman" w:hAnsi="Times New Roman" w:cs="Times New Roman"/>
          <w:sz w:val="24"/>
          <w:szCs w:val="24"/>
        </w:rPr>
      </w:pPr>
      <w:r>
        <w:rPr>
          <w:rFonts w:ascii="Times New Roman" w:hAnsi="Times New Roman" w:cs="Times New Roman"/>
          <w:sz w:val="24"/>
          <w:szCs w:val="24"/>
        </w:rPr>
        <w:lastRenderedPageBreak/>
        <w:t>Fig</w:t>
      </w:r>
      <w:r w:rsidR="00206C87">
        <w:rPr>
          <w:rFonts w:ascii="Times New Roman" w:hAnsi="Times New Roman" w:cs="Times New Roman"/>
          <w:sz w:val="24"/>
          <w:szCs w:val="24"/>
        </w:rPr>
        <w:t xml:space="preserve">. 1.4 </w:t>
      </w:r>
      <w:r w:rsidR="00DC2FE2">
        <w:rPr>
          <w:rFonts w:ascii="Times New Roman" w:hAnsi="Times New Roman" w:cs="Times New Roman"/>
          <w:sz w:val="24"/>
          <w:szCs w:val="24"/>
        </w:rPr>
        <w:t>Formal sector employment in manufacturing</w:t>
      </w:r>
    </w:p>
    <w:p w14:paraId="612342AD" w14:textId="5D93C32F" w:rsidR="00DC2FE2" w:rsidRPr="00D417B0" w:rsidRDefault="000125C5" w:rsidP="00D417B0">
      <w:pPr>
        <w:jc w:val="center"/>
      </w:pPr>
      <w:r w:rsidRPr="000125C5">
        <w:rPr>
          <w:noProof/>
        </w:rPr>
        <w:drawing>
          <wp:inline distT="0" distB="0" distL="0" distR="0" wp14:anchorId="631AA47A" wp14:editId="4327812F">
            <wp:extent cx="5029200" cy="36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5FDF725" w14:textId="41069DAF" w:rsidR="00DC2FE2" w:rsidRPr="00652C49" w:rsidRDefault="00DC2FE2" w:rsidP="00DC2FE2">
      <w:pPr>
        <w:spacing w:line="240" w:lineRule="auto"/>
        <w:jc w:val="both"/>
        <w:rPr>
          <w:rFonts w:ascii="Times New Roman" w:hAnsi="Times New Roman" w:cs="Times New Roman"/>
          <w:sz w:val="20"/>
          <w:szCs w:val="20"/>
        </w:rPr>
      </w:pPr>
      <w:r w:rsidRPr="00652C49">
        <w:rPr>
          <w:rFonts w:ascii="Times New Roman" w:hAnsi="Times New Roman" w:cs="Times New Roman"/>
          <w:i/>
          <w:iCs/>
          <w:sz w:val="20"/>
          <w:szCs w:val="20"/>
        </w:rPr>
        <w:t>Note</w:t>
      </w:r>
      <w:r w:rsidRPr="00652C49">
        <w:rPr>
          <w:rFonts w:ascii="Times New Roman" w:hAnsi="Times New Roman" w:cs="Times New Roman"/>
          <w:sz w:val="20"/>
          <w:szCs w:val="20"/>
        </w:rPr>
        <w:t xml:space="preserve">: Formal sector employment is based on UNIDO data and in the cases of Tanzania, Ethiopia, and Vietnam we also plot formal sector employment using aggregates from the firm level censuses for each country; these firms employ 10 or more workers. </w:t>
      </w:r>
    </w:p>
    <w:p w14:paraId="7A2BB66B" w14:textId="3AFF2C92" w:rsidR="00DC2FE2" w:rsidRDefault="00DC2FE2">
      <w:pPr>
        <w:rPr>
          <w:rFonts w:ascii="Times New Roman" w:eastAsiaTheme="majorEastAsia" w:hAnsi="Times New Roman" w:cs="Times New Roman"/>
          <w:b/>
          <w:sz w:val="24"/>
          <w:szCs w:val="24"/>
        </w:rPr>
      </w:pPr>
    </w:p>
    <w:p w14:paraId="71B49451" w14:textId="77777777" w:rsidR="00DC2FE2" w:rsidRDefault="00DC2FE2">
      <w:pPr>
        <w:rPr>
          <w:rFonts w:ascii="Times New Roman" w:eastAsiaTheme="majorEastAsia" w:hAnsi="Times New Roman" w:cs="Times New Roman"/>
          <w:b/>
          <w:sz w:val="24"/>
          <w:szCs w:val="24"/>
        </w:rPr>
      </w:pPr>
      <w:r>
        <w:rPr>
          <w:rFonts w:ascii="Times New Roman" w:hAnsi="Times New Roman" w:cs="Times New Roman"/>
          <w:sz w:val="24"/>
          <w:szCs w:val="24"/>
        </w:rPr>
        <w:br w:type="page"/>
      </w:r>
    </w:p>
    <w:p w14:paraId="0E1601FC" w14:textId="49C2EC3D" w:rsidR="00742C6D" w:rsidRPr="00C024FA" w:rsidRDefault="00742C6D" w:rsidP="00833683">
      <w:pPr>
        <w:pStyle w:val="Heading2"/>
        <w:ind w:firstLine="720"/>
        <w:rPr>
          <w:rFonts w:ascii="Times New Roman" w:hAnsi="Times New Roman" w:cs="Times New Roman"/>
          <w:sz w:val="24"/>
          <w:szCs w:val="24"/>
        </w:rPr>
      </w:pPr>
      <w:r w:rsidRPr="00C024FA">
        <w:rPr>
          <w:rFonts w:ascii="Times New Roman" w:hAnsi="Times New Roman" w:cs="Times New Roman"/>
          <w:sz w:val="24"/>
          <w:szCs w:val="24"/>
        </w:rPr>
        <w:lastRenderedPageBreak/>
        <w:t>Fig</w:t>
      </w:r>
      <w:r w:rsidR="00206C87">
        <w:rPr>
          <w:rFonts w:ascii="Times New Roman" w:hAnsi="Times New Roman" w:cs="Times New Roman"/>
          <w:sz w:val="24"/>
          <w:szCs w:val="24"/>
        </w:rPr>
        <w:t xml:space="preserve">. 1.5 </w:t>
      </w:r>
      <w:r w:rsidR="00DD59F6">
        <w:rPr>
          <w:rFonts w:ascii="Times New Roman" w:hAnsi="Times New Roman" w:cs="Times New Roman"/>
          <w:sz w:val="24"/>
          <w:szCs w:val="24"/>
        </w:rPr>
        <w:t>Es</w:t>
      </w:r>
      <w:r w:rsidRPr="00C024FA">
        <w:rPr>
          <w:rFonts w:ascii="Times New Roman" w:hAnsi="Times New Roman" w:cs="Times New Roman"/>
          <w:sz w:val="24"/>
          <w:szCs w:val="24"/>
        </w:rPr>
        <w:t xml:space="preserve">timated growth in </w:t>
      </w:r>
      <w:r w:rsidR="00DA3FE6">
        <w:rPr>
          <w:rFonts w:ascii="Times New Roman" w:hAnsi="Times New Roman" w:cs="Times New Roman"/>
          <w:sz w:val="24"/>
          <w:szCs w:val="24"/>
        </w:rPr>
        <w:t xml:space="preserve">Value-added Per </w:t>
      </w:r>
      <w:r w:rsidR="00376D17">
        <w:rPr>
          <w:rFonts w:ascii="Times New Roman" w:hAnsi="Times New Roman" w:cs="Times New Roman"/>
          <w:sz w:val="24"/>
          <w:szCs w:val="24"/>
        </w:rPr>
        <w:t>Worker</w:t>
      </w:r>
      <w:r w:rsidRPr="00C024FA">
        <w:rPr>
          <w:rFonts w:ascii="Times New Roman" w:hAnsi="Times New Roman" w:cs="Times New Roman"/>
          <w:sz w:val="24"/>
          <w:szCs w:val="24"/>
        </w:rPr>
        <w:t xml:space="preserve"> and Employment by Firm Size Group</w:t>
      </w:r>
      <w:r w:rsidR="00DD59F6">
        <w:rPr>
          <w:rFonts w:ascii="Times New Roman" w:hAnsi="Times New Roman" w:cs="Times New Roman"/>
          <w:sz w:val="24"/>
          <w:szCs w:val="24"/>
        </w:rPr>
        <w:t xml:space="preserve">, </w:t>
      </w:r>
      <w:proofErr w:type="gramStart"/>
      <w:r w:rsidR="00DD59F6">
        <w:rPr>
          <w:rFonts w:ascii="Times New Roman" w:hAnsi="Times New Roman" w:cs="Times New Roman"/>
          <w:sz w:val="24"/>
          <w:szCs w:val="24"/>
        </w:rPr>
        <w:t>Tanzania</w:t>
      </w:r>
      <w:proofErr w:type="gramEnd"/>
      <w:r w:rsidR="00DD59F6">
        <w:rPr>
          <w:rFonts w:ascii="Times New Roman" w:hAnsi="Times New Roman" w:cs="Times New Roman"/>
          <w:sz w:val="24"/>
          <w:szCs w:val="24"/>
        </w:rPr>
        <w:t xml:space="preserve"> and Ethiopia</w:t>
      </w:r>
    </w:p>
    <w:p w14:paraId="7D56EB19" w14:textId="577402E5" w:rsidR="00742C6D" w:rsidRDefault="00DC2DD3" w:rsidP="00742C6D">
      <w:pPr>
        <w:spacing w:after="0"/>
        <w:jc w:val="center"/>
        <w:rPr>
          <w:rFonts w:ascii="Times New Roman" w:hAnsi="Times New Roman" w:cs="Times New Roman"/>
          <w:sz w:val="24"/>
          <w:szCs w:val="24"/>
        </w:rPr>
      </w:pPr>
      <w:r w:rsidRPr="00DC2DD3">
        <w:rPr>
          <w:rFonts w:ascii="Times New Roman" w:hAnsi="Times New Roman" w:cs="Times New Roman"/>
          <w:sz w:val="24"/>
          <w:szCs w:val="24"/>
        </w:rPr>
        <w:t xml:space="preserve"> </w:t>
      </w:r>
    </w:p>
    <w:p w14:paraId="579EFE46" w14:textId="391F3FA3" w:rsidR="00DD59F6" w:rsidRPr="00C024FA" w:rsidRDefault="00DC2DD3" w:rsidP="00742C6D">
      <w:pPr>
        <w:spacing w:after="0"/>
        <w:jc w:val="center"/>
        <w:rPr>
          <w:rFonts w:ascii="Times New Roman" w:hAnsi="Times New Roman" w:cs="Times New Roman"/>
          <w:sz w:val="24"/>
          <w:szCs w:val="24"/>
        </w:rPr>
      </w:pPr>
      <w:r w:rsidRPr="00DC2DD3">
        <w:rPr>
          <w:rFonts w:ascii="Times New Roman" w:hAnsi="Times New Roman" w:cs="Times New Roman"/>
          <w:sz w:val="24"/>
          <w:szCs w:val="24"/>
        </w:rPr>
        <w:t xml:space="preserve"> </w:t>
      </w:r>
      <w:r w:rsidR="00F15657" w:rsidRPr="00F15657">
        <w:rPr>
          <w:rFonts w:ascii="Times New Roman" w:hAnsi="Times New Roman" w:cs="Times New Roman"/>
          <w:noProof/>
          <w:sz w:val="24"/>
          <w:szCs w:val="24"/>
        </w:rPr>
        <w:drawing>
          <wp:inline distT="0" distB="0" distL="0" distR="0" wp14:anchorId="05385137" wp14:editId="76F53C82">
            <wp:extent cx="5025390" cy="36576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25390" cy="3657600"/>
                    </a:xfrm>
                    <a:prstGeom prst="rect">
                      <a:avLst/>
                    </a:prstGeom>
                    <a:noFill/>
                    <a:ln>
                      <a:noFill/>
                    </a:ln>
                  </pic:spPr>
                </pic:pic>
              </a:graphicData>
            </a:graphic>
          </wp:inline>
        </w:drawing>
      </w:r>
    </w:p>
    <w:p w14:paraId="0A861406" w14:textId="3BF3B428" w:rsidR="00742C6D" w:rsidRPr="00C024FA" w:rsidRDefault="00742C6D" w:rsidP="0019666A">
      <w:pPr>
        <w:rPr>
          <w:rFonts w:ascii="Times New Roman" w:eastAsiaTheme="majorEastAsia" w:hAnsi="Times New Roman" w:cs="Times New Roman"/>
          <w:b/>
          <w:bCs/>
          <w:sz w:val="24"/>
          <w:szCs w:val="24"/>
        </w:rPr>
      </w:pPr>
      <w:r w:rsidRPr="00652C49">
        <w:rPr>
          <w:rFonts w:ascii="Times New Roman" w:hAnsi="Times New Roman" w:cs="Times New Roman"/>
          <w:bCs/>
          <w:i/>
          <w:iCs/>
          <w:sz w:val="20"/>
          <w:szCs w:val="20"/>
        </w:rPr>
        <w:t>Note</w:t>
      </w:r>
      <w:r w:rsidR="00652C49">
        <w:rPr>
          <w:rFonts w:ascii="Times New Roman" w:hAnsi="Times New Roman" w:cs="Times New Roman"/>
          <w:bCs/>
          <w:sz w:val="20"/>
          <w:szCs w:val="20"/>
        </w:rPr>
        <w:t>:</w:t>
      </w:r>
      <w:r w:rsidRPr="00B019FF">
        <w:rPr>
          <w:rFonts w:ascii="Times New Roman" w:hAnsi="Times New Roman" w:cs="Times New Roman"/>
          <w:bCs/>
          <w:sz w:val="20"/>
          <w:szCs w:val="20"/>
        </w:rPr>
        <w:t xml:space="preserve"> The estimated growth rates plotted in this figure come from a</w:t>
      </w:r>
      <w:r w:rsidR="00096CE3" w:rsidRPr="00B019FF">
        <w:rPr>
          <w:rFonts w:ascii="Times New Roman" w:hAnsi="Times New Roman" w:cs="Times New Roman"/>
          <w:bCs/>
          <w:sz w:val="20"/>
          <w:szCs w:val="20"/>
        </w:rPr>
        <w:t>n</w:t>
      </w:r>
      <w:r w:rsidRPr="00B019FF">
        <w:rPr>
          <w:rFonts w:ascii="Times New Roman" w:hAnsi="Times New Roman" w:cs="Times New Roman"/>
          <w:bCs/>
          <w:sz w:val="20"/>
          <w:szCs w:val="20"/>
        </w:rPr>
        <w:t xml:space="preserve"> estimation similar to </w:t>
      </w:r>
      <w:r w:rsidR="003D17AB">
        <w:rPr>
          <w:rFonts w:ascii="Times New Roman" w:hAnsi="Times New Roman" w:cs="Times New Roman"/>
          <w:bCs/>
          <w:sz w:val="20"/>
          <w:szCs w:val="20"/>
        </w:rPr>
        <w:t>that used in equation 2 in the main text, but</w:t>
      </w:r>
      <w:r w:rsidR="00DC2DD3">
        <w:rPr>
          <w:rFonts w:ascii="Times New Roman" w:hAnsi="Times New Roman" w:cs="Times New Roman"/>
          <w:bCs/>
          <w:sz w:val="20"/>
          <w:szCs w:val="20"/>
        </w:rPr>
        <w:t xml:space="preserve"> </w:t>
      </w:r>
      <w:r w:rsidR="003D17AB">
        <w:rPr>
          <w:rFonts w:ascii="Times New Roman" w:hAnsi="Times New Roman" w:cs="Times New Roman"/>
          <w:bCs/>
          <w:sz w:val="20"/>
          <w:szCs w:val="20"/>
        </w:rPr>
        <w:t>w</w:t>
      </w:r>
      <w:r w:rsidR="00DC2DD3">
        <w:rPr>
          <w:rFonts w:ascii="Times New Roman" w:hAnsi="Times New Roman" w:cs="Times New Roman"/>
          <w:bCs/>
          <w:sz w:val="20"/>
          <w:szCs w:val="20"/>
        </w:rPr>
        <w:t xml:space="preserve">e use a disaggregated measure of firm size that is defined by average employment </w:t>
      </w:r>
      <w:r w:rsidR="003D17AB">
        <w:rPr>
          <w:rFonts w:ascii="Times New Roman" w:hAnsi="Times New Roman" w:cs="Times New Roman"/>
          <w:bCs/>
          <w:sz w:val="20"/>
          <w:szCs w:val="20"/>
        </w:rPr>
        <w:t>over the entire period observed</w:t>
      </w:r>
      <w:r w:rsidR="00DC2DD3">
        <w:rPr>
          <w:rFonts w:ascii="Times New Roman" w:hAnsi="Times New Roman" w:cs="Times New Roman"/>
          <w:bCs/>
          <w:sz w:val="20"/>
          <w:szCs w:val="20"/>
        </w:rPr>
        <w:t xml:space="preserve">. </w:t>
      </w:r>
      <w:r w:rsidR="00A566FB">
        <w:rPr>
          <w:rFonts w:ascii="Times New Roman" w:hAnsi="Times New Roman" w:cs="Times New Roman"/>
          <w:bCs/>
          <w:sz w:val="20"/>
          <w:szCs w:val="20"/>
        </w:rPr>
        <w:t xml:space="preserve">The time period </w:t>
      </w:r>
      <w:r w:rsidR="00A77463">
        <w:rPr>
          <w:rFonts w:ascii="Times New Roman" w:hAnsi="Times New Roman" w:cs="Times New Roman"/>
          <w:bCs/>
          <w:sz w:val="20"/>
          <w:szCs w:val="20"/>
        </w:rPr>
        <w:t>covered for Tanzania is 2008-2016 and for Ethiopia is 1996-2017.</w:t>
      </w:r>
    </w:p>
    <w:p w14:paraId="05BDE18B" w14:textId="3AB4F727" w:rsidR="00C96143" w:rsidRDefault="003D17AB">
      <w:pPr>
        <w:rPr>
          <w:rFonts w:ascii="Times New Roman" w:eastAsiaTheme="majorEastAsia" w:hAnsi="Times New Roman" w:cs="Times New Roman"/>
          <w:b/>
          <w:sz w:val="24"/>
          <w:szCs w:val="24"/>
        </w:rPr>
      </w:pPr>
      <w:bookmarkStart w:id="13" w:name="_Toc56003458"/>
      <w:r>
        <w:rPr>
          <w:rFonts w:ascii="Times New Roman" w:hAnsi="Times New Roman" w:cs="Times New Roman"/>
          <w:sz w:val="24"/>
          <w:szCs w:val="24"/>
        </w:rPr>
        <w:br w:type="page"/>
      </w:r>
    </w:p>
    <w:p w14:paraId="1C63342B" w14:textId="769EC845" w:rsidR="00FC2CAB" w:rsidRPr="00C024FA" w:rsidRDefault="00FC2CAB" w:rsidP="00833683">
      <w:pPr>
        <w:pStyle w:val="Heading2"/>
        <w:ind w:firstLine="720"/>
        <w:jc w:val="left"/>
        <w:rPr>
          <w:rFonts w:ascii="Times New Roman" w:hAnsi="Times New Roman" w:cs="Times New Roman"/>
          <w:sz w:val="24"/>
          <w:szCs w:val="24"/>
        </w:rPr>
      </w:pPr>
      <w:r w:rsidRPr="00C024FA">
        <w:rPr>
          <w:rFonts w:ascii="Times New Roman" w:hAnsi="Times New Roman" w:cs="Times New Roman"/>
          <w:sz w:val="24"/>
          <w:szCs w:val="24"/>
        </w:rPr>
        <w:lastRenderedPageBreak/>
        <w:t>Fig</w:t>
      </w:r>
      <w:r w:rsidR="00206C87">
        <w:rPr>
          <w:rFonts w:ascii="Times New Roman" w:hAnsi="Times New Roman" w:cs="Times New Roman"/>
          <w:sz w:val="24"/>
          <w:szCs w:val="24"/>
        </w:rPr>
        <w:t xml:space="preserve">. 1.6 </w:t>
      </w:r>
      <w:r w:rsidRPr="00C024FA">
        <w:rPr>
          <w:rFonts w:ascii="Times New Roman" w:hAnsi="Times New Roman" w:cs="Times New Roman"/>
          <w:sz w:val="24"/>
          <w:szCs w:val="24"/>
        </w:rPr>
        <w:t>Robustness test of capital deflators for Tanzania and Ethiopia</w:t>
      </w:r>
    </w:p>
    <w:p w14:paraId="24D51D41" w14:textId="77777777" w:rsidR="00FC2CAB" w:rsidRPr="00C024FA" w:rsidRDefault="00FC2CAB" w:rsidP="00652C49">
      <w:pPr>
        <w:spacing w:after="0"/>
        <w:ind w:left="720"/>
        <w:jc w:val="center"/>
        <w:rPr>
          <w:rFonts w:ascii="Times New Roman" w:hAnsi="Times New Roman" w:cs="Times New Roman"/>
          <w:sz w:val="24"/>
          <w:szCs w:val="24"/>
        </w:rPr>
      </w:pPr>
      <w:r w:rsidRPr="00C024FA">
        <w:rPr>
          <w:rFonts w:ascii="Times New Roman" w:hAnsi="Times New Roman" w:cs="Times New Roman"/>
          <w:noProof/>
          <w:sz w:val="24"/>
          <w:szCs w:val="24"/>
        </w:rPr>
        <w:drawing>
          <wp:inline distT="0" distB="0" distL="0" distR="0" wp14:anchorId="203D37A3" wp14:editId="678C195E">
            <wp:extent cx="4792980" cy="2794000"/>
            <wp:effectExtent l="0" t="0" r="7620" b="6350"/>
            <wp:docPr id="26" name="Chart 26">
              <a:extLst xmlns:a="http://schemas.openxmlformats.org/drawingml/2006/main">
                <a:ext uri="{FF2B5EF4-FFF2-40B4-BE49-F238E27FC236}">
                  <a16:creationId xmlns:a16="http://schemas.microsoft.com/office/drawing/2014/main" id="{516D0F8A-4295-4BB2-828A-B3E2C417C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ED012F8" w14:textId="77777777" w:rsidR="00FC2CAB" w:rsidRPr="00C024FA" w:rsidRDefault="00FC2CAB" w:rsidP="00652C49">
      <w:pPr>
        <w:ind w:left="720"/>
        <w:jc w:val="center"/>
        <w:rPr>
          <w:rFonts w:ascii="Times New Roman" w:hAnsi="Times New Roman" w:cs="Times New Roman"/>
          <w:sz w:val="24"/>
          <w:szCs w:val="24"/>
        </w:rPr>
      </w:pPr>
      <w:r w:rsidRPr="00C024FA">
        <w:rPr>
          <w:rFonts w:ascii="Times New Roman" w:hAnsi="Times New Roman" w:cs="Times New Roman"/>
          <w:noProof/>
          <w:sz w:val="24"/>
          <w:szCs w:val="24"/>
        </w:rPr>
        <w:drawing>
          <wp:inline distT="0" distB="0" distL="0" distR="0" wp14:anchorId="04B60AFC" wp14:editId="56D0253C">
            <wp:extent cx="4792980" cy="2743200"/>
            <wp:effectExtent l="0" t="0" r="7620" b="0"/>
            <wp:docPr id="16" name="Chart 16">
              <a:extLst xmlns:a="http://schemas.openxmlformats.org/drawingml/2006/main">
                <a:ext uri="{FF2B5EF4-FFF2-40B4-BE49-F238E27FC236}">
                  <a16:creationId xmlns:a16="http://schemas.microsoft.com/office/drawing/2014/main" id="{6DAAD315-52FB-4A31-9BAD-0DF309386B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F746B18" w14:textId="7A8D108C" w:rsidR="00FC2CAB" w:rsidRPr="00B019FF" w:rsidRDefault="00FC2CAB" w:rsidP="00833683">
      <w:pPr>
        <w:ind w:left="720"/>
        <w:rPr>
          <w:rFonts w:ascii="Times New Roman" w:hAnsi="Times New Roman" w:cs="Times New Roman"/>
          <w:sz w:val="20"/>
          <w:szCs w:val="20"/>
        </w:rPr>
      </w:pPr>
      <w:r w:rsidRPr="00652C49">
        <w:rPr>
          <w:rFonts w:ascii="Times New Roman" w:hAnsi="Times New Roman" w:cs="Times New Roman"/>
          <w:i/>
          <w:iCs/>
          <w:sz w:val="20"/>
          <w:szCs w:val="20"/>
        </w:rPr>
        <w:t>Note</w:t>
      </w:r>
      <w:r w:rsidRPr="00B019FF">
        <w:rPr>
          <w:rFonts w:ascii="Times New Roman" w:hAnsi="Times New Roman" w:cs="Times New Roman"/>
          <w:sz w:val="20"/>
          <w:szCs w:val="20"/>
        </w:rPr>
        <w:t>: In the base model, GDP deflator is used for buildings &amp; structures, while deflator for machinery &amp; equipment is assumed to one based on CZE situations. In the robustness test, gross capital formation is used as the deflator for both machinery and buildings. This deflator is calculated using gross capital formation data in current and constant LCU from WDI. For ETH the data before 2011 is from UNSD.</w:t>
      </w:r>
    </w:p>
    <w:p w14:paraId="0B7ED94E" w14:textId="77777777" w:rsidR="00FC2CAB" w:rsidRPr="00C024FA" w:rsidRDefault="00FC2CAB" w:rsidP="00E72331">
      <w:pPr>
        <w:pStyle w:val="Heading2"/>
        <w:rPr>
          <w:rFonts w:ascii="Times New Roman" w:hAnsi="Times New Roman" w:cs="Times New Roman"/>
          <w:sz w:val="24"/>
          <w:szCs w:val="24"/>
        </w:rPr>
      </w:pPr>
    </w:p>
    <w:bookmarkEnd w:id="13"/>
    <w:p w14:paraId="601475D8" w14:textId="1494F992" w:rsidR="00B019FF" w:rsidRDefault="00B019FF" w:rsidP="006B567A">
      <w:pPr>
        <w:spacing w:after="0"/>
        <w:rPr>
          <w:rFonts w:ascii="Times New Roman" w:hAnsi="Times New Roman" w:cs="Times New Roman"/>
          <w:b/>
          <w:bCs/>
          <w:sz w:val="24"/>
          <w:szCs w:val="24"/>
        </w:rPr>
      </w:pPr>
      <w:r>
        <w:rPr>
          <w:rFonts w:ascii="Times New Roman" w:hAnsi="Times New Roman" w:cs="Times New Roman"/>
          <w:b/>
          <w:bCs/>
          <w:sz w:val="24"/>
          <w:szCs w:val="24"/>
        </w:rPr>
        <w:br w:type="page"/>
      </w:r>
    </w:p>
    <w:p w14:paraId="021CD698" w14:textId="7E80CDAB" w:rsidR="00B019FF" w:rsidRPr="00C024FA" w:rsidRDefault="00B019FF" w:rsidP="00B019FF">
      <w:pPr>
        <w:spacing w:after="0"/>
        <w:jc w:val="center"/>
        <w:rPr>
          <w:rFonts w:ascii="Times New Roman" w:hAnsi="Times New Roman" w:cs="Times New Roman"/>
          <w:b/>
          <w:bCs/>
          <w:sz w:val="24"/>
          <w:szCs w:val="24"/>
        </w:rPr>
      </w:pPr>
      <w:r w:rsidRPr="00C024FA">
        <w:rPr>
          <w:rFonts w:ascii="Times New Roman" w:hAnsi="Times New Roman" w:cs="Times New Roman"/>
          <w:b/>
          <w:bCs/>
          <w:sz w:val="24"/>
          <w:szCs w:val="24"/>
        </w:rPr>
        <w:lastRenderedPageBreak/>
        <w:t>Fig</w:t>
      </w:r>
      <w:r w:rsidR="00206C87">
        <w:rPr>
          <w:rFonts w:ascii="Times New Roman" w:hAnsi="Times New Roman" w:cs="Times New Roman"/>
          <w:b/>
          <w:bCs/>
          <w:sz w:val="24"/>
          <w:szCs w:val="24"/>
        </w:rPr>
        <w:t xml:space="preserve">. </w:t>
      </w:r>
      <w:proofErr w:type="gramStart"/>
      <w:r w:rsidR="00206C87">
        <w:rPr>
          <w:rFonts w:ascii="Times New Roman" w:hAnsi="Times New Roman" w:cs="Times New Roman"/>
          <w:b/>
          <w:bCs/>
          <w:sz w:val="24"/>
          <w:szCs w:val="24"/>
        </w:rPr>
        <w:t xml:space="preserve">1.7 </w:t>
      </w:r>
      <w:r w:rsidR="00F95321">
        <w:rPr>
          <w:rFonts w:ascii="Times New Roman" w:hAnsi="Times New Roman" w:cs="Times New Roman"/>
          <w:b/>
          <w:bCs/>
          <w:sz w:val="24"/>
          <w:szCs w:val="24"/>
        </w:rPr>
        <w:t xml:space="preserve"> </w:t>
      </w:r>
      <w:r>
        <w:rPr>
          <w:rFonts w:ascii="Times New Roman" w:hAnsi="Times New Roman" w:cs="Times New Roman"/>
          <w:b/>
          <w:bCs/>
          <w:sz w:val="24"/>
          <w:szCs w:val="24"/>
        </w:rPr>
        <w:t>Employment</w:t>
      </w:r>
      <w:proofErr w:type="gramEnd"/>
      <w:r>
        <w:rPr>
          <w:rFonts w:ascii="Times New Roman" w:hAnsi="Times New Roman" w:cs="Times New Roman"/>
          <w:b/>
          <w:bCs/>
          <w:sz w:val="24"/>
          <w:szCs w:val="24"/>
        </w:rPr>
        <w:t xml:space="preserve"> size distribution, Tanzania and Ethiopia</w:t>
      </w:r>
    </w:p>
    <w:p w14:paraId="27613D7E" w14:textId="02F9272C" w:rsidR="00B019FF" w:rsidRPr="00C024FA" w:rsidRDefault="00B019FF" w:rsidP="00B019FF">
      <w:pPr>
        <w:spacing w:after="0"/>
        <w:jc w:val="center"/>
        <w:rPr>
          <w:rFonts w:ascii="Times New Roman" w:hAnsi="Times New Roman" w:cs="Times New Roman"/>
          <w:b/>
          <w:bCs/>
          <w:sz w:val="24"/>
          <w:szCs w:val="24"/>
        </w:rPr>
      </w:pPr>
      <w:r w:rsidRPr="00052371">
        <w:rPr>
          <w:noProof/>
        </w:rPr>
        <w:drawing>
          <wp:inline distT="0" distB="0" distL="0" distR="0" wp14:anchorId="2B6066A7" wp14:editId="46917CE3">
            <wp:extent cx="5943600" cy="4322618"/>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4322618"/>
                    </a:xfrm>
                    <a:prstGeom prst="rect">
                      <a:avLst/>
                    </a:prstGeom>
                    <a:noFill/>
                    <a:ln>
                      <a:noFill/>
                    </a:ln>
                  </pic:spPr>
                </pic:pic>
              </a:graphicData>
            </a:graphic>
          </wp:inline>
        </w:drawing>
      </w:r>
    </w:p>
    <w:p w14:paraId="107500B1" w14:textId="77777777" w:rsidR="00B019FF" w:rsidRPr="00B019FF" w:rsidRDefault="00B019FF" w:rsidP="00B019FF">
      <w:pPr>
        <w:spacing w:after="0"/>
        <w:rPr>
          <w:rFonts w:ascii="Times New Roman" w:hAnsi="Times New Roman" w:cs="Times New Roman"/>
          <w:sz w:val="20"/>
          <w:szCs w:val="20"/>
        </w:rPr>
      </w:pPr>
      <w:r w:rsidRPr="00652C49">
        <w:rPr>
          <w:rFonts w:ascii="Times New Roman" w:hAnsi="Times New Roman" w:cs="Times New Roman"/>
          <w:i/>
          <w:iCs/>
          <w:sz w:val="20"/>
          <w:szCs w:val="20"/>
        </w:rPr>
        <w:t>Source</w:t>
      </w:r>
      <w:r w:rsidRPr="00B019FF">
        <w:rPr>
          <w:rFonts w:ascii="Times New Roman" w:hAnsi="Times New Roman" w:cs="Times New Roman"/>
          <w:sz w:val="20"/>
          <w:szCs w:val="20"/>
        </w:rPr>
        <w:t>: We use firm-level data from the 2013 Census of Industrial Production for Tanzania (which includes the 2013 ASIP firms) and the 2014 LMSM and SSI surveys for Ethiopia.</w:t>
      </w:r>
    </w:p>
    <w:p w14:paraId="73A852E0" w14:textId="10C0B4A9" w:rsidR="00B019FF" w:rsidRPr="00B019FF" w:rsidRDefault="00B019FF" w:rsidP="00B019FF">
      <w:pPr>
        <w:spacing w:after="0"/>
        <w:rPr>
          <w:rFonts w:ascii="Times New Roman" w:hAnsi="Times New Roman" w:cs="Times New Roman"/>
          <w:sz w:val="20"/>
          <w:szCs w:val="20"/>
        </w:rPr>
        <w:sectPr w:rsidR="00B019FF" w:rsidRPr="00B019FF" w:rsidSect="00B019FF">
          <w:pgSz w:w="12240" w:h="15840"/>
          <w:pgMar w:top="1440" w:right="1440" w:bottom="1440" w:left="1440" w:header="720" w:footer="720" w:gutter="0"/>
          <w:cols w:space="720"/>
          <w:docGrid w:linePitch="360"/>
        </w:sectPr>
      </w:pPr>
      <w:r w:rsidRPr="00652C49">
        <w:rPr>
          <w:rFonts w:ascii="Times New Roman" w:hAnsi="Times New Roman" w:cs="Times New Roman"/>
          <w:i/>
          <w:iCs/>
          <w:sz w:val="20"/>
          <w:szCs w:val="20"/>
        </w:rPr>
        <w:t>Note</w:t>
      </w:r>
      <w:r w:rsidRPr="00B019FF">
        <w:rPr>
          <w:rFonts w:ascii="Times New Roman" w:hAnsi="Times New Roman" w:cs="Times New Roman"/>
          <w:sz w:val="20"/>
          <w:szCs w:val="20"/>
        </w:rPr>
        <w:t>: The figure shows distribution of firm size measured by number of workers. Bin size is 10 worker</w:t>
      </w:r>
      <w:r w:rsidR="00E04A20">
        <w:rPr>
          <w:rFonts w:ascii="Times New Roman" w:hAnsi="Times New Roman" w:cs="Times New Roman"/>
          <w:sz w:val="20"/>
          <w:szCs w:val="20"/>
        </w:rPr>
        <w:t>s.</w:t>
      </w:r>
    </w:p>
    <w:p w14:paraId="30AEDE22" w14:textId="792F825D" w:rsidR="0085145C" w:rsidRDefault="0085145C" w:rsidP="0085145C">
      <w:pPr>
        <w:pStyle w:val="Heading2"/>
        <w:ind w:firstLine="720"/>
        <w:jc w:val="left"/>
        <w:rPr>
          <w:rFonts w:ascii="Times New Roman" w:hAnsi="Times New Roman" w:cs="Times New Roman"/>
          <w:sz w:val="24"/>
          <w:szCs w:val="24"/>
        </w:rPr>
      </w:pPr>
      <w:r>
        <w:rPr>
          <w:rFonts w:ascii="Times New Roman" w:hAnsi="Times New Roman" w:cs="Times New Roman"/>
          <w:sz w:val="24"/>
          <w:szCs w:val="24"/>
        </w:rPr>
        <w:lastRenderedPageBreak/>
        <w:t>Fig</w:t>
      </w:r>
      <w:r w:rsidR="00206C87">
        <w:rPr>
          <w:rFonts w:ascii="Times New Roman" w:hAnsi="Times New Roman" w:cs="Times New Roman"/>
          <w:sz w:val="24"/>
          <w:szCs w:val="24"/>
        </w:rPr>
        <w:t>. 2.1</w:t>
      </w:r>
      <w:r>
        <w:rPr>
          <w:rFonts w:ascii="Times New Roman" w:hAnsi="Times New Roman" w:cs="Times New Roman"/>
          <w:sz w:val="24"/>
          <w:szCs w:val="24"/>
        </w:rPr>
        <w:t xml:space="preserve"> Robustness test of alternate firm size employment cutoff for Ethiopia</w:t>
      </w:r>
    </w:p>
    <w:p w14:paraId="3F8C82E9" w14:textId="1BD8BFC5" w:rsidR="0085145C" w:rsidRDefault="00485975" w:rsidP="0085145C">
      <w:pPr>
        <w:jc w:val="center"/>
      </w:pPr>
      <w:r w:rsidRPr="00485975">
        <w:rPr>
          <w:noProof/>
        </w:rPr>
        <w:drawing>
          <wp:inline distT="0" distB="0" distL="0" distR="0" wp14:anchorId="46A3D6FB" wp14:editId="6B404660">
            <wp:extent cx="5029200" cy="365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C870634" w14:textId="79BEBCAE" w:rsidR="0085145C" w:rsidRPr="00F95321" w:rsidRDefault="0085145C" w:rsidP="0085145C">
      <w:pPr>
        <w:spacing w:line="240" w:lineRule="auto"/>
        <w:jc w:val="both"/>
        <w:rPr>
          <w:rFonts w:ascii="Times New Roman" w:hAnsi="Times New Roman" w:cs="Times New Roman"/>
          <w:sz w:val="20"/>
          <w:szCs w:val="20"/>
        </w:rPr>
        <w:sectPr w:rsidR="0085145C" w:rsidRPr="00F95321" w:rsidSect="008F78A6">
          <w:pgSz w:w="12240" w:h="15840"/>
          <w:pgMar w:top="1440" w:right="1440" w:bottom="1440" w:left="1440" w:header="720" w:footer="720" w:gutter="0"/>
          <w:cols w:space="720"/>
          <w:docGrid w:linePitch="299"/>
        </w:sectPr>
      </w:pPr>
      <w:r w:rsidRPr="00F95321">
        <w:rPr>
          <w:rFonts w:ascii="Times New Roman" w:hAnsi="Times New Roman" w:cs="Times New Roman"/>
          <w:i/>
          <w:iCs/>
          <w:sz w:val="20"/>
          <w:szCs w:val="20"/>
        </w:rPr>
        <w:t>Note</w:t>
      </w:r>
      <w:r w:rsidRPr="00F95321">
        <w:rPr>
          <w:rFonts w:ascii="Times New Roman" w:hAnsi="Times New Roman" w:cs="Times New Roman"/>
          <w:sz w:val="20"/>
          <w:szCs w:val="20"/>
        </w:rPr>
        <w:t xml:space="preserve">: The period covered for Ethiopia is 1996-2017. This figure presents the estimated growth rates from within-firm regressions of ln(value added per worker) and ln(employment) on a year trend and with interactions of the year trend and firm size. A small firm is defined as having an average of 10-99 workers and a large firm is defined as having 100+ workers, based on average employment over the entire period observed. We also present results from within-sector regressions, in which we consider growth in the entire sample and in the sample of small firms and large firms separately. </w:t>
      </w:r>
    </w:p>
    <w:p w14:paraId="7BD8367A" w14:textId="77777777" w:rsidR="0085145C" w:rsidRPr="00D417B0" w:rsidRDefault="0085145C" w:rsidP="00D417B0"/>
    <w:p w14:paraId="39561B62" w14:textId="6249C1C7" w:rsidR="00485975" w:rsidRDefault="00485975" w:rsidP="00F95321">
      <w:pPr>
        <w:spacing w:after="0"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Fig</w:t>
      </w:r>
      <w:r w:rsidR="00206C87">
        <w:rPr>
          <w:rFonts w:ascii="Times New Roman" w:hAnsi="Times New Roman" w:cs="Times New Roman"/>
          <w:b/>
          <w:bCs/>
          <w:sz w:val="24"/>
          <w:szCs w:val="24"/>
        </w:rPr>
        <w:t>. 2.2</w:t>
      </w:r>
      <w:r>
        <w:rPr>
          <w:rFonts w:ascii="Times New Roman" w:hAnsi="Times New Roman" w:cs="Times New Roman"/>
          <w:b/>
          <w:bCs/>
          <w:sz w:val="24"/>
          <w:szCs w:val="24"/>
        </w:rPr>
        <w:t xml:space="preserve"> Robustness test of seasonal and temporary workers included in Ethiopia employment</w:t>
      </w:r>
    </w:p>
    <w:p w14:paraId="7FABAACA" w14:textId="6673C090" w:rsidR="00485975" w:rsidRDefault="00071425" w:rsidP="00485975">
      <w:pPr>
        <w:jc w:val="center"/>
        <w:rPr>
          <w:rFonts w:ascii="Times New Roman" w:hAnsi="Times New Roman" w:cs="Times New Roman"/>
          <w:b/>
          <w:bCs/>
          <w:sz w:val="24"/>
          <w:szCs w:val="24"/>
        </w:rPr>
      </w:pPr>
      <w:r w:rsidRPr="00071425">
        <w:rPr>
          <w:rFonts w:ascii="Times New Roman" w:hAnsi="Times New Roman" w:cs="Times New Roman"/>
          <w:b/>
          <w:bCs/>
          <w:noProof/>
          <w:sz w:val="24"/>
          <w:szCs w:val="24"/>
        </w:rPr>
        <w:drawing>
          <wp:inline distT="0" distB="0" distL="0" distR="0" wp14:anchorId="75DB66B1" wp14:editId="37F25355">
            <wp:extent cx="5029200" cy="3657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6963C7B6" w14:textId="6E8FCB8C" w:rsidR="00485975" w:rsidRPr="00485975" w:rsidRDefault="00485975" w:rsidP="00485975">
      <w:pPr>
        <w:rPr>
          <w:rFonts w:ascii="Times New Roman" w:hAnsi="Times New Roman" w:cs="Times New Roman"/>
          <w:sz w:val="20"/>
          <w:szCs w:val="20"/>
        </w:rPr>
      </w:pPr>
      <w:r w:rsidRPr="00485975">
        <w:rPr>
          <w:rFonts w:ascii="Times New Roman" w:hAnsi="Times New Roman" w:cs="Times New Roman"/>
          <w:i/>
          <w:iCs/>
          <w:sz w:val="20"/>
          <w:szCs w:val="20"/>
        </w:rPr>
        <w:t>Note</w:t>
      </w:r>
      <w:r w:rsidRPr="00485975">
        <w:rPr>
          <w:rFonts w:ascii="Times New Roman" w:hAnsi="Times New Roman" w:cs="Times New Roman"/>
          <w:b/>
          <w:bCs/>
          <w:sz w:val="20"/>
          <w:szCs w:val="20"/>
        </w:rPr>
        <w:t>:</w:t>
      </w:r>
      <w:r>
        <w:rPr>
          <w:rFonts w:ascii="Times New Roman" w:hAnsi="Times New Roman" w:cs="Times New Roman"/>
          <w:b/>
          <w:bCs/>
          <w:sz w:val="20"/>
          <w:szCs w:val="20"/>
        </w:rPr>
        <w:t xml:space="preserve"> </w:t>
      </w:r>
      <w:r>
        <w:rPr>
          <w:rFonts w:ascii="Times New Roman" w:hAnsi="Times New Roman" w:cs="Times New Roman"/>
          <w:sz w:val="20"/>
          <w:szCs w:val="20"/>
        </w:rPr>
        <w:t xml:space="preserve">This figure presents alternate versions of our main firm and sector-level growth results for Ethiopia, with employment re-defined to include temporary and seasonal workers. This adjustment affects both employment growth and our calculation of labor productivity, and by extension its growth. For the purpose of being able to compare the results for small and large firms, we still use permanent workers to define small vs. large. </w:t>
      </w:r>
      <w:r w:rsidR="008B15E9">
        <w:rPr>
          <w:rFonts w:ascii="Times New Roman" w:hAnsi="Times New Roman" w:cs="Times New Roman"/>
          <w:sz w:val="20"/>
          <w:szCs w:val="20"/>
        </w:rPr>
        <w:t>We exclude the year 2009 because it is missing the data for temporary and seasonal workers.</w:t>
      </w:r>
    </w:p>
    <w:p w14:paraId="529BEDBE" w14:textId="77777777" w:rsidR="00485975" w:rsidRDefault="00485975">
      <w:pPr>
        <w:rPr>
          <w:rFonts w:ascii="Times New Roman" w:hAnsi="Times New Roman" w:cs="Times New Roman"/>
          <w:b/>
          <w:bCs/>
          <w:sz w:val="24"/>
          <w:szCs w:val="24"/>
        </w:rPr>
      </w:pPr>
      <w:r>
        <w:rPr>
          <w:rFonts w:ascii="Times New Roman" w:hAnsi="Times New Roman" w:cs="Times New Roman"/>
          <w:b/>
          <w:bCs/>
          <w:sz w:val="24"/>
          <w:szCs w:val="24"/>
        </w:rPr>
        <w:br w:type="page"/>
      </w:r>
    </w:p>
    <w:p w14:paraId="65D5020B" w14:textId="5F40B607" w:rsidR="00F95321" w:rsidRPr="00F95321" w:rsidRDefault="00F95321" w:rsidP="00F95321">
      <w:pPr>
        <w:spacing w:after="0" w:line="240" w:lineRule="auto"/>
        <w:ind w:firstLine="720"/>
        <w:jc w:val="center"/>
        <w:rPr>
          <w:rFonts w:ascii="Times New Roman" w:hAnsi="Times New Roman" w:cs="Times New Roman"/>
          <w:b/>
          <w:bCs/>
          <w:sz w:val="24"/>
          <w:szCs w:val="24"/>
        </w:rPr>
      </w:pPr>
      <w:r w:rsidRPr="00F95321">
        <w:rPr>
          <w:rFonts w:ascii="Times New Roman" w:hAnsi="Times New Roman" w:cs="Times New Roman"/>
          <w:b/>
          <w:bCs/>
          <w:sz w:val="24"/>
          <w:szCs w:val="24"/>
        </w:rPr>
        <w:lastRenderedPageBreak/>
        <w:t>Table</w:t>
      </w:r>
      <w:r w:rsidR="00206C87">
        <w:rPr>
          <w:rFonts w:ascii="Times New Roman" w:hAnsi="Times New Roman" w:cs="Times New Roman"/>
          <w:b/>
          <w:bCs/>
          <w:sz w:val="24"/>
          <w:szCs w:val="24"/>
        </w:rPr>
        <w:t xml:space="preserve"> 1.1</w:t>
      </w:r>
      <w:r w:rsidRPr="00F95321">
        <w:rPr>
          <w:rFonts w:ascii="Times New Roman" w:hAnsi="Times New Roman" w:cs="Times New Roman"/>
          <w:b/>
          <w:bCs/>
          <w:sz w:val="24"/>
          <w:szCs w:val="24"/>
        </w:rPr>
        <w:t xml:space="preserve"> Urban manufacturing employment (1000s workers), LFS &amp; UEU</w:t>
      </w:r>
    </w:p>
    <w:tbl>
      <w:tblPr>
        <w:tblStyle w:val="TableGrid"/>
        <w:tblW w:w="11199" w:type="dxa"/>
        <w:jc w:val="center"/>
        <w:tblLook w:val="04A0" w:firstRow="1" w:lastRow="0" w:firstColumn="1" w:lastColumn="0" w:noHBand="0" w:noVBand="1"/>
      </w:tblPr>
      <w:tblGrid>
        <w:gridCol w:w="3312"/>
        <w:gridCol w:w="717"/>
        <w:gridCol w:w="717"/>
        <w:gridCol w:w="717"/>
        <w:gridCol w:w="717"/>
        <w:gridCol w:w="717"/>
        <w:gridCol w:w="717"/>
        <w:gridCol w:w="717"/>
        <w:gridCol w:w="717"/>
        <w:gridCol w:w="717"/>
        <w:gridCol w:w="717"/>
        <w:gridCol w:w="717"/>
      </w:tblGrid>
      <w:tr w:rsidR="00F95321" w:rsidRPr="006A7BC9" w14:paraId="4D6DC6B1" w14:textId="77777777" w:rsidTr="00641B25">
        <w:trPr>
          <w:trHeight w:val="20"/>
          <w:jc w:val="center"/>
        </w:trPr>
        <w:tc>
          <w:tcPr>
            <w:tcW w:w="3312" w:type="dxa"/>
            <w:noWrap/>
            <w:hideMark/>
          </w:tcPr>
          <w:p w14:paraId="37BC4D8B" w14:textId="77777777" w:rsidR="00F95321" w:rsidRPr="00370CEA" w:rsidRDefault="00F95321" w:rsidP="00641B25">
            <w:pPr>
              <w:rPr>
                <w:rFonts w:ascii="Times New Roman" w:eastAsia="Times New Roman" w:hAnsi="Times New Roman" w:cs="Times New Roman"/>
                <w:color w:val="000000"/>
                <w:sz w:val="20"/>
                <w:szCs w:val="20"/>
              </w:rPr>
            </w:pPr>
          </w:p>
        </w:tc>
        <w:tc>
          <w:tcPr>
            <w:tcW w:w="717" w:type="dxa"/>
            <w:noWrap/>
            <w:hideMark/>
          </w:tcPr>
          <w:p w14:paraId="4DF79667" w14:textId="77777777" w:rsidR="00F95321" w:rsidRPr="00370CEA" w:rsidRDefault="00F95321" w:rsidP="00641B25">
            <w:pPr>
              <w:rPr>
                <w:rFonts w:ascii="Times New Roman" w:eastAsia="Times New Roman" w:hAnsi="Times New Roman" w:cs="Times New Roman"/>
                <w:color w:val="000000"/>
                <w:sz w:val="20"/>
                <w:szCs w:val="20"/>
              </w:rPr>
            </w:pPr>
            <w:r w:rsidRPr="00370CEA">
              <w:rPr>
                <w:rFonts w:ascii="Times New Roman" w:eastAsia="Times New Roman" w:hAnsi="Times New Roman" w:cs="Times New Roman"/>
                <w:color w:val="000000"/>
                <w:sz w:val="20"/>
                <w:szCs w:val="20"/>
              </w:rPr>
              <w:t>1999</w:t>
            </w:r>
          </w:p>
        </w:tc>
        <w:tc>
          <w:tcPr>
            <w:tcW w:w="717" w:type="dxa"/>
            <w:noWrap/>
            <w:hideMark/>
          </w:tcPr>
          <w:p w14:paraId="2E51BD25" w14:textId="77777777" w:rsidR="00F95321" w:rsidRPr="00370CEA" w:rsidRDefault="00F95321" w:rsidP="00641B25">
            <w:pPr>
              <w:rPr>
                <w:rFonts w:ascii="Times New Roman" w:eastAsia="Times New Roman" w:hAnsi="Times New Roman" w:cs="Times New Roman"/>
                <w:color w:val="000000"/>
                <w:sz w:val="20"/>
                <w:szCs w:val="20"/>
              </w:rPr>
            </w:pPr>
            <w:r w:rsidRPr="00370CEA">
              <w:rPr>
                <w:rFonts w:ascii="Times New Roman" w:eastAsia="Times New Roman" w:hAnsi="Times New Roman" w:cs="Times New Roman"/>
                <w:color w:val="000000"/>
                <w:sz w:val="20"/>
                <w:szCs w:val="20"/>
              </w:rPr>
              <w:t>2003</w:t>
            </w:r>
          </w:p>
        </w:tc>
        <w:tc>
          <w:tcPr>
            <w:tcW w:w="717" w:type="dxa"/>
            <w:noWrap/>
            <w:hideMark/>
          </w:tcPr>
          <w:p w14:paraId="10D1F21C" w14:textId="77777777" w:rsidR="00F95321" w:rsidRPr="00370CEA" w:rsidRDefault="00F95321" w:rsidP="00641B25">
            <w:pPr>
              <w:rPr>
                <w:rFonts w:ascii="Times New Roman" w:eastAsia="Times New Roman" w:hAnsi="Times New Roman" w:cs="Times New Roman"/>
                <w:color w:val="000000"/>
                <w:sz w:val="20"/>
                <w:szCs w:val="20"/>
              </w:rPr>
            </w:pPr>
            <w:r w:rsidRPr="00370CEA">
              <w:rPr>
                <w:rFonts w:ascii="Times New Roman" w:eastAsia="Times New Roman" w:hAnsi="Times New Roman" w:cs="Times New Roman"/>
                <w:color w:val="000000"/>
                <w:sz w:val="20"/>
                <w:szCs w:val="20"/>
              </w:rPr>
              <w:t>2004</w:t>
            </w:r>
          </w:p>
        </w:tc>
        <w:tc>
          <w:tcPr>
            <w:tcW w:w="717" w:type="dxa"/>
            <w:noWrap/>
            <w:hideMark/>
          </w:tcPr>
          <w:p w14:paraId="6141E274" w14:textId="77777777" w:rsidR="00F95321" w:rsidRPr="00370CEA" w:rsidRDefault="00F95321" w:rsidP="00641B25">
            <w:pPr>
              <w:rPr>
                <w:rFonts w:ascii="Times New Roman" w:eastAsia="Times New Roman" w:hAnsi="Times New Roman" w:cs="Times New Roman"/>
                <w:color w:val="000000"/>
                <w:sz w:val="20"/>
                <w:szCs w:val="20"/>
              </w:rPr>
            </w:pPr>
            <w:r w:rsidRPr="00370CEA">
              <w:rPr>
                <w:rFonts w:ascii="Times New Roman" w:eastAsia="Times New Roman" w:hAnsi="Times New Roman" w:cs="Times New Roman"/>
                <w:color w:val="000000"/>
                <w:sz w:val="20"/>
                <w:szCs w:val="20"/>
              </w:rPr>
              <w:t>2005</w:t>
            </w:r>
          </w:p>
        </w:tc>
        <w:tc>
          <w:tcPr>
            <w:tcW w:w="717" w:type="dxa"/>
            <w:noWrap/>
            <w:hideMark/>
          </w:tcPr>
          <w:p w14:paraId="37996484" w14:textId="77777777" w:rsidR="00F95321" w:rsidRPr="00370CEA" w:rsidRDefault="00F95321" w:rsidP="00641B25">
            <w:pPr>
              <w:rPr>
                <w:rFonts w:ascii="Times New Roman" w:eastAsia="Times New Roman" w:hAnsi="Times New Roman" w:cs="Times New Roman"/>
                <w:color w:val="000000"/>
                <w:sz w:val="20"/>
                <w:szCs w:val="20"/>
              </w:rPr>
            </w:pPr>
            <w:r w:rsidRPr="00370CEA">
              <w:rPr>
                <w:rFonts w:ascii="Times New Roman" w:eastAsia="Times New Roman" w:hAnsi="Times New Roman" w:cs="Times New Roman"/>
                <w:color w:val="000000"/>
                <w:sz w:val="20"/>
                <w:szCs w:val="20"/>
              </w:rPr>
              <w:t>2006</w:t>
            </w:r>
          </w:p>
        </w:tc>
        <w:tc>
          <w:tcPr>
            <w:tcW w:w="717" w:type="dxa"/>
            <w:noWrap/>
            <w:hideMark/>
          </w:tcPr>
          <w:p w14:paraId="12B1F6C5" w14:textId="77777777" w:rsidR="00F95321" w:rsidRPr="00370CEA" w:rsidRDefault="00F95321" w:rsidP="00641B25">
            <w:pPr>
              <w:rPr>
                <w:rFonts w:ascii="Times New Roman" w:eastAsia="Times New Roman" w:hAnsi="Times New Roman" w:cs="Times New Roman"/>
                <w:color w:val="000000"/>
                <w:sz w:val="20"/>
                <w:szCs w:val="20"/>
              </w:rPr>
            </w:pPr>
            <w:r w:rsidRPr="00370CEA">
              <w:rPr>
                <w:rFonts w:ascii="Times New Roman" w:eastAsia="Times New Roman" w:hAnsi="Times New Roman" w:cs="Times New Roman"/>
                <w:color w:val="000000"/>
                <w:sz w:val="20"/>
                <w:szCs w:val="20"/>
              </w:rPr>
              <w:t>2010</w:t>
            </w:r>
          </w:p>
        </w:tc>
        <w:tc>
          <w:tcPr>
            <w:tcW w:w="717" w:type="dxa"/>
            <w:noWrap/>
            <w:hideMark/>
          </w:tcPr>
          <w:p w14:paraId="50549CBC" w14:textId="77777777" w:rsidR="00F95321" w:rsidRPr="00370CEA" w:rsidRDefault="00F95321" w:rsidP="00641B25">
            <w:pPr>
              <w:rPr>
                <w:rFonts w:ascii="Times New Roman" w:eastAsia="Times New Roman" w:hAnsi="Times New Roman" w:cs="Times New Roman"/>
                <w:color w:val="000000"/>
                <w:sz w:val="20"/>
                <w:szCs w:val="20"/>
              </w:rPr>
            </w:pPr>
            <w:r w:rsidRPr="00370CEA">
              <w:rPr>
                <w:rFonts w:ascii="Times New Roman" w:eastAsia="Times New Roman" w:hAnsi="Times New Roman" w:cs="Times New Roman"/>
                <w:color w:val="000000"/>
                <w:sz w:val="20"/>
                <w:szCs w:val="20"/>
              </w:rPr>
              <w:t>2012</w:t>
            </w:r>
          </w:p>
        </w:tc>
        <w:tc>
          <w:tcPr>
            <w:tcW w:w="717" w:type="dxa"/>
            <w:noWrap/>
            <w:hideMark/>
          </w:tcPr>
          <w:p w14:paraId="590DC8D7" w14:textId="77777777" w:rsidR="00F95321" w:rsidRPr="00370CEA" w:rsidRDefault="00F95321" w:rsidP="00641B25">
            <w:pPr>
              <w:rPr>
                <w:rFonts w:ascii="Times New Roman" w:eastAsia="Times New Roman" w:hAnsi="Times New Roman" w:cs="Times New Roman"/>
                <w:color w:val="000000"/>
                <w:sz w:val="20"/>
                <w:szCs w:val="20"/>
              </w:rPr>
            </w:pPr>
            <w:r w:rsidRPr="00370CEA">
              <w:rPr>
                <w:rFonts w:ascii="Times New Roman" w:eastAsia="Times New Roman" w:hAnsi="Times New Roman" w:cs="Times New Roman"/>
                <w:color w:val="000000"/>
                <w:sz w:val="20"/>
                <w:szCs w:val="20"/>
              </w:rPr>
              <w:t>2013</w:t>
            </w:r>
          </w:p>
        </w:tc>
        <w:tc>
          <w:tcPr>
            <w:tcW w:w="717" w:type="dxa"/>
            <w:noWrap/>
            <w:hideMark/>
          </w:tcPr>
          <w:p w14:paraId="00DEB335" w14:textId="77777777" w:rsidR="00F95321" w:rsidRPr="00370CEA" w:rsidRDefault="00F95321" w:rsidP="00641B25">
            <w:pPr>
              <w:rPr>
                <w:rFonts w:ascii="Times New Roman" w:eastAsia="Times New Roman" w:hAnsi="Times New Roman" w:cs="Times New Roman"/>
                <w:color w:val="000000"/>
                <w:sz w:val="20"/>
                <w:szCs w:val="20"/>
              </w:rPr>
            </w:pPr>
            <w:r w:rsidRPr="00370CEA">
              <w:rPr>
                <w:rFonts w:ascii="Times New Roman" w:eastAsia="Times New Roman" w:hAnsi="Times New Roman" w:cs="Times New Roman"/>
                <w:color w:val="000000"/>
                <w:sz w:val="20"/>
                <w:szCs w:val="20"/>
              </w:rPr>
              <w:t>2014</w:t>
            </w:r>
          </w:p>
        </w:tc>
        <w:tc>
          <w:tcPr>
            <w:tcW w:w="717" w:type="dxa"/>
            <w:noWrap/>
            <w:hideMark/>
          </w:tcPr>
          <w:p w14:paraId="7A8D9639" w14:textId="77777777" w:rsidR="00F95321" w:rsidRPr="00370CEA" w:rsidRDefault="00F95321" w:rsidP="00641B25">
            <w:pPr>
              <w:rPr>
                <w:rFonts w:ascii="Times New Roman" w:eastAsia="Times New Roman" w:hAnsi="Times New Roman" w:cs="Times New Roman"/>
                <w:color w:val="000000"/>
                <w:sz w:val="20"/>
                <w:szCs w:val="20"/>
              </w:rPr>
            </w:pPr>
            <w:r w:rsidRPr="00370CEA">
              <w:rPr>
                <w:rFonts w:ascii="Times New Roman" w:eastAsia="Times New Roman" w:hAnsi="Times New Roman" w:cs="Times New Roman"/>
                <w:color w:val="000000"/>
                <w:sz w:val="20"/>
                <w:szCs w:val="20"/>
              </w:rPr>
              <w:t>2015</w:t>
            </w:r>
          </w:p>
        </w:tc>
        <w:tc>
          <w:tcPr>
            <w:tcW w:w="717" w:type="dxa"/>
            <w:noWrap/>
            <w:hideMark/>
          </w:tcPr>
          <w:p w14:paraId="24C8FBBA" w14:textId="77777777" w:rsidR="00F95321" w:rsidRPr="00370CEA" w:rsidRDefault="00F95321" w:rsidP="00641B25">
            <w:pPr>
              <w:rPr>
                <w:rFonts w:ascii="Times New Roman" w:eastAsia="Times New Roman" w:hAnsi="Times New Roman" w:cs="Times New Roman"/>
                <w:color w:val="000000"/>
                <w:sz w:val="20"/>
                <w:szCs w:val="20"/>
              </w:rPr>
            </w:pPr>
            <w:r w:rsidRPr="00370CEA">
              <w:rPr>
                <w:rFonts w:ascii="Times New Roman" w:eastAsia="Times New Roman" w:hAnsi="Times New Roman" w:cs="Times New Roman"/>
                <w:color w:val="000000"/>
                <w:sz w:val="20"/>
                <w:szCs w:val="20"/>
              </w:rPr>
              <w:t>2016</w:t>
            </w:r>
          </w:p>
        </w:tc>
      </w:tr>
      <w:tr w:rsidR="00F95321" w:rsidRPr="006A7BC9" w14:paraId="5E82D878" w14:textId="77777777" w:rsidTr="00641B25">
        <w:trPr>
          <w:trHeight w:val="20"/>
          <w:jc w:val="center"/>
        </w:trPr>
        <w:tc>
          <w:tcPr>
            <w:tcW w:w="3312" w:type="dxa"/>
            <w:noWrap/>
            <w:vAlign w:val="bottom"/>
            <w:hideMark/>
          </w:tcPr>
          <w:p w14:paraId="076C5004" w14:textId="77777777" w:rsidR="00F95321" w:rsidRPr="00370CEA"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LFS total urban employment</w:t>
            </w:r>
          </w:p>
        </w:tc>
        <w:tc>
          <w:tcPr>
            <w:tcW w:w="717" w:type="dxa"/>
            <w:noWrap/>
            <w:vAlign w:val="bottom"/>
            <w:hideMark/>
          </w:tcPr>
          <w:p w14:paraId="61466984" w14:textId="77777777" w:rsidR="00F95321" w:rsidRPr="00370CEA"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2,702</w:t>
            </w:r>
          </w:p>
        </w:tc>
        <w:tc>
          <w:tcPr>
            <w:tcW w:w="717" w:type="dxa"/>
            <w:noWrap/>
            <w:vAlign w:val="bottom"/>
            <w:hideMark/>
          </w:tcPr>
          <w:p w14:paraId="654AD267"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0276B760"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1F659E51" w14:textId="77777777" w:rsidR="00F95321" w:rsidRPr="00370CEA"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3,446</w:t>
            </w:r>
          </w:p>
        </w:tc>
        <w:tc>
          <w:tcPr>
            <w:tcW w:w="717" w:type="dxa"/>
            <w:noWrap/>
            <w:vAlign w:val="bottom"/>
            <w:hideMark/>
          </w:tcPr>
          <w:p w14:paraId="18774500"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329EC4A0"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0FEA0DBD"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211DB672" w14:textId="77777777" w:rsidR="00F95321" w:rsidRPr="00370CEA"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6,383</w:t>
            </w:r>
          </w:p>
        </w:tc>
        <w:tc>
          <w:tcPr>
            <w:tcW w:w="717" w:type="dxa"/>
            <w:noWrap/>
            <w:vAlign w:val="bottom"/>
            <w:hideMark/>
          </w:tcPr>
          <w:p w14:paraId="0BED0264"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1E817B0A"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6859F7C3" w14:textId="77777777" w:rsidR="00F95321" w:rsidRPr="00370CEA" w:rsidRDefault="00F95321" w:rsidP="00641B25">
            <w:pPr>
              <w:jc w:val="center"/>
              <w:rPr>
                <w:rFonts w:ascii="Times New Roman" w:eastAsia="Times New Roman" w:hAnsi="Times New Roman" w:cs="Times New Roman"/>
                <w:color w:val="000000"/>
                <w:sz w:val="20"/>
                <w:szCs w:val="20"/>
              </w:rPr>
            </w:pPr>
          </w:p>
        </w:tc>
      </w:tr>
      <w:tr w:rsidR="00F95321" w:rsidRPr="006A7BC9" w14:paraId="3F0B2830" w14:textId="77777777" w:rsidTr="00641B25">
        <w:trPr>
          <w:trHeight w:val="20"/>
          <w:jc w:val="center"/>
        </w:trPr>
        <w:tc>
          <w:tcPr>
            <w:tcW w:w="3312" w:type="dxa"/>
            <w:noWrap/>
            <w:vAlign w:val="bottom"/>
            <w:hideMark/>
          </w:tcPr>
          <w:p w14:paraId="5CB74B42" w14:textId="77777777" w:rsidR="00F95321" w:rsidRPr="00370CEA"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LFS manufacturing employment</w:t>
            </w:r>
          </w:p>
        </w:tc>
        <w:tc>
          <w:tcPr>
            <w:tcW w:w="717" w:type="dxa"/>
            <w:noWrap/>
            <w:vAlign w:val="bottom"/>
            <w:hideMark/>
          </w:tcPr>
          <w:p w14:paraId="7ECF10BE" w14:textId="77777777" w:rsidR="00F95321" w:rsidRPr="00370CEA"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379</w:t>
            </w:r>
          </w:p>
        </w:tc>
        <w:tc>
          <w:tcPr>
            <w:tcW w:w="717" w:type="dxa"/>
            <w:noWrap/>
            <w:vAlign w:val="bottom"/>
            <w:hideMark/>
          </w:tcPr>
          <w:p w14:paraId="68C24D32"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011860E4"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1F49C99F" w14:textId="77777777" w:rsidR="00F95321" w:rsidRPr="00370CEA"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493</w:t>
            </w:r>
          </w:p>
        </w:tc>
        <w:tc>
          <w:tcPr>
            <w:tcW w:w="717" w:type="dxa"/>
            <w:noWrap/>
            <w:vAlign w:val="bottom"/>
            <w:hideMark/>
          </w:tcPr>
          <w:p w14:paraId="6CC8947A"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65F50F1B"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05516DEE"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1FF30540" w14:textId="77777777" w:rsidR="00F95321" w:rsidRPr="00370CEA"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919</w:t>
            </w:r>
          </w:p>
        </w:tc>
        <w:tc>
          <w:tcPr>
            <w:tcW w:w="717" w:type="dxa"/>
            <w:noWrap/>
            <w:vAlign w:val="bottom"/>
            <w:hideMark/>
          </w:tcPr>
          <w:p w14:paraId="491D2E28"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7F80A06D" w14:textId="77777777" w:rsidR="00F95321" w:rsidRPr="00370CEA" w:rsidRDefault="00F95321" w:rsidP="00641B25">
            <w:pPr>
              <w:jc w:val="center"/>
              <w:rPr>
                <w:rFonts w:ascii="Times New Roman" w:eastAsia="Times New Roman" w:hAnsi="Times New Roman" w:cs="Times New Roman"/>
                <w:color w:val="000000"/>
                <w:sz w:val="20"/>
                <w:szCs w:val="20"/>
              </w:rPr>
            </w:pPr>
          </w:p>
        </w:tc>
        <w:tc>
          <w:tcPr>
            <w:tcW w:w="717" w:type="dxa"/>
            <w:noWrap/>
            <w:vAlign w:val="bottom"/>
            <w:hideMark/>
          </w:tcPr>
          <w:p w14:paraId="04976505" w14:textId="77777777" w:rsidR="00F95321" w:rsidRPr="00370CEA" w:rsidRDefault="00F95321" w:rsidP="00641B25">
            <w:pPr>
              <w:jc w:val="center"/>
              <w:rPr>
                <w:rFonts w:ascii="Times New Roman" w:eastAsia="Times New Roman" w:hAnsi="Times New Roman" w:cs="Times New Roman"/>
                <w:color w:val="000000"/>
                <w:sz w:val="20"/>
                <w:szCs w:val="20"/>
              </w:rPr>
            </w:pPr>
          </w:p>
        </w:tc>
      </w:tr>
      <w:tr w:rsidR="00F95321" w:rsidRPr="006A7BC9" w14:paraId="2D3354C3" w14:textId="77777777" w:rsidTr="00641B25">
        <w:trPr>
          <w:trHeight w:val="20"/>
          <w:jc w:val="center"/>
        </w:trPr>
        <w:tc>
          <w:tcPr>
            <w:tcW w:w="3312" w:type="dxa"/>
            <w:noWrap/>
            <w:vAlign w:val="bottom"/>
          </w:tcPr>
          <w:p w14:paraId="2A119C32" w14:textId="77777777" w:rsidR="00F95321" w:rsidRPr="006A7BC9"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LFS manufacturing share in total</w:t>
            </w:r>
          </w:p>
        </w:tc>
        <w:tc>
          <w:tcPr>
            <w:tcW w:w="717" w:type="dxa"/>
            <w:noWrap/>
            <w:vAlign w:val="bottom"/>
          </w:tcPr>
          <w:p w14:paraId="00A1ED14"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14%</w:t>
            </w:r>
          </w:p>
        </w:tc>
        <w:tc>
          <w:tcPr>
            <w:tcW w:w="717" w:type="dxa"/>
            <w:noWrap/>
            <w:vAlign w:val="bottom"/>
          </w:tcPr>
          <w:p w14:paraId="5F10D39B"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2392DC1F"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54134509"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14%</w:t>
            </w:r>
          </w:p>
        </w:tc>
        <w:tc>
          <w:tcPr>
            <w:tcW w:w="717" w:type="dxa"/>
            <w:noWrap/>
            <w:vAlign w:val="bottom"/>
          </w:tcPr>
          <w:p w14:paraId="024C57D2"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45D1B5D5"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19397C1C"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4D5AEC7A"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14%</w:t>
            </w:r>
          </w:p>
        </w:tc>
        <w:tc>
          <w:tcPr>
            <w:tcW w:w="717" w:type="dxa"/>
            <w:noWrap/>
            <w:vAlign w:val="bottom"/>
          </w:tcPr>
          <w:p w14:paraId="342EE7E7"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06834BC2"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75FE05D9" w14:textId="77777777" w:rsidR="00F95321" w:rsidRPr="006A7BC9" w:rsidRDefault="00F95321" w:rsidP="00641B25">
            <w:pPr>
              <w:jc w:val="center"/>
              <w:rPr>
                <w:rFonts w:ascii="Times New Roman" w:eastAsia="Times New Roman" w:hAnsi="Times New Roman" w:cs="Times New Roman"/>
                <w:color w:val="000000"/>
                <w:sz w:val="20"/>
                <w:szCs w:val="20"/>
              </w:rPr>
            </w:pPr>
          </w:p>
        </w:tc>
      </w:tr>
      <w:tr w:rsidR="00F95321" w:rsidRPr="006A7BC9" w14:paraId="7BB1CBF5" w14:textId="77777777" w:rsidTr="00641B25">
        <w:trPr>
          <w:trHeight w:val="20"/>
          <w:jc w:val="center"/>
        </w:trPr>
        <w:tc>
          <w:tcPr>
            <w:tcW w:w="3312" w:type="dxa"/>
            <w:noWrap/>
            <w:vAlign w:val="bottom"/>
          </w:tcPr>
          <w:p w14:paraId="25478B4B" w14:textId="77777777" w:rsidR="00F95321" w:rsidRPr="006A7BC9"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LFS trade services share in total</w:t>
            </w:r>
          </w:p>
        </w:tc>
        <w:tc>
          <w:tcPr>
            <w:tcW w:w="717" w:type="dxa"/>
            <w:noWrap/>
            <w:vAlign w:val="bottom"/>
          </w:tcPr>
          <w:p w14:paraId="44B7768A"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25%</w:t>
            </w:r>
          </w:p>
        </w:tc>
        <w:tc>
          <w:tcPr>
            <w:tcW w:w="717" w:type="dxa"/>
            <w:noWrap/>
            <w:vAlign w:val="bottom"/>
          </w:tcPr>
          <w:p w14:paraId="4D4B721C"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62657E2D"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6AA674AA"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33%</w:t>
            </w:r>
          </w:p>
        </w:tc>
        <w:tc>
          <w:tcPr>
            <w:tcW w:w="717" w:type="dxa"/>
            <w:noWrap/>
            <w:vAlign w:val="bottom"/>
          </w:tcPr>
          <w:p w14:paraId="0ED68251"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565207C2"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24008F5F"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4488E696"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25%</w:t>
            </w:r>
          </w:p>
        </w:tc>
        <w:tc>
          <w:tcPr>
            <w:tcW w:w="717" w:type="dxa"/>
            <w:noWrap/>
            <w:vAlign w:val="bottom"/>
          </w:tcPr>
          <w:p w14:paraId="5302CF60"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2DDA6946"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2F055C47" w14:textId="77777777" w:rsidR="00F95321" w:rsidRPr="006A7BC9" w:rsidRDefault="00F95321" w:rsidP="00641B25">
            <w:pPr>
              <w:jc w:val="center"/>
              <w:rPr>
                <w:rFonts w:ascii="Times New Roman" w:eastAsia="Times New Roman" w:hAnsi="Times New Roman" w:cs="Times New Roman"/>
                <w:color w:val="000000"/>
                <w:sz w:val="20"/>
                <w:szCs w:val="20"/>
              </w:rPr>
            </w:pPr>
          </w:p>
        </w:tc>
      </w:tr>
      <w:tr w:rsidR="00F95321" w:rsidRPr="006A7BC9" w14:paraId="7E27C130" w14:textId="77777777" w:rsidTr="00641B25">
        <w:trPr>
          <w:trHeight w:val="20"/>
          <w:jc w:val="center"/>
        </w:trPr>
        <w:tc>
          <w:tcPr>
            <w:tcW w:w="3312" w:type="dxa"/>
            <w:noWrap/>
            <w:vAlign w:val="bottom"/>
          </w:tcPr>
          <w:p w14:paraId="6EEA70BC" w14:textId="77777777" w:rsidR="00F95321" w:rsidRPr="006A7BC9"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UEU total urban employment</w:t>
            </w:r>
          </w:p>
        </w:tc>
        <w:tc>
          <w:tcPr>
            <w:tcW w:w="717" w:type="dxa"/>
            <w:noWrap/>
            <w:vAlign w:val="bottom"/>
          </w:tcPr>
          <w:p w14:paraId="32F3CA84"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4DAD0B49"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2,858</w:t>
            </w:r>
          </w:p>
        </w:tc>
        <w:tc>
          <w:tcPr>
            <w:tcW w:w="717" w:type="dxa"/>
            <w:noWrap/>
            <w:vAlign w:val="bottom"/>
          </w:tcPr>
          <w:p w14:paraId="0296C77D"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2,854</w:t>
            </w:r>
          </w:p>
        </w:tc>
        <w:tc>
          <w:tcPr>
            <w:tcW w:w="717" w:type="dxa"/>
            <w:noWrap/>
            <w:vAlign w:val="bottom"/>
          </w:tcPr>
          <w:p w14:paraId="6D6FC353"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73A53AD7"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3,837</w:t>
            </w:r>
          </w:p>
        </w:tc>
        <w:tc>
          <w:tcPr>
            <w:tcW w:w="717" w:type="dxa"/>
            <w:noWrap/>
            <w:vAlign w:val="bottom"/>
          </w:tcPr>
          <w:p w14:paraId="24CF4C68"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4,798</w:t>
            </w:r>
          </w:p>
        </w:tc>
        <w:tc>
          <w:tcPr>
            <w:tcW w:w="717" w:type="dxa"/>
            <w:noWrap/>
            <w:vAlign w:val="bottom"/>
          </w:tcPr>
          <w:p w14:paraId="3FB306D3"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5,425</w:t>
            </w:r>
          </w:p>
        </w:tc>
        <w:tc>
          <w:tcPr>
            <w:tcW w:w="717" w:type="dxa"/>
            <w:noWrap/>
            <w:vAlign w:val="bottom"/>
          </w:tcPr>
          <w:p w14:paraId="5219ACB6"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3E0396B6"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6,790</w:t>
            </w:r>
          </w:p>
        </w:tc>
        <w:tc>
          <w:tcPr>
            <w:tcW w:w="717" w:type="dxa"/>
            <w:noWrap/>
            <w:vAlign w:val="bottom"/>
          </w:tcPr>
          <w:p w14:paraId="2AB9A0BB"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7,083</w:t>
            </w:r>
          </w:p>
        </w:tc>
        <w:tc>
          <w:tcPr>
            <w:tcW w:w="717" w:type="dxa"/>
            <w:noWrap/>
            <w:vAlign w:val="bottom"/>
          </w:tcPr>
          <w:p w14:paraId="2E57ECE4"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7,430</w:t>
            </w:r>
          </w:p>
        </w:tc>
      </w:tr>
      <w:tr w:rsidR="00F95321" w:rsidRPr="006A7BC9" w14:paraId="76DFE7C6" w14:textId="77777777" w:rsidTr="00641B25">
        <w:trPr>
          <w:trHeight w:val="20"/>
          <w:jc w:val="center"/>
        </w:trPr>
        <w:tc>
          <w:tcPr>
            <w:tcW w:w="3312" w:type="dxa"/>
            <w:noWrap/>
            <w:vAlign w:val="bottom"/>
          </w:tcPr>
          <w:p w14:paraId="562B50E3" w14:textId="77777777" w:rsidR="00F95321" w:rsidRPr="006A7BC9"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UEU manufacturing employment</w:t>
            </w:r>
          </w:p>
        </w:tc>
        <w:tc>
          <w:tcPr>
            <w:tcW w:w="717" w:type="dxa"/>
            <w:noWrap/>
            <w:vAlign w:val="bottom"/>
          </w:tcPr>
          <w:p w14:paraId="56CAF772"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4383A83B"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440</w:t>
            </w:r>
          </w:p>
        </w:tc>
        <w:tc>
          <w:tcPr>
            <w:tcW w:w="717" w:type="dxa"/>
            <w:noWrap/>
            <w:vAlign w:val="bottom"/>
          </w:tcPr>
          <w:p w14:paraId="2CD9B4C7"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445</w:t>
            </w:r>
          </w:p>
        </w:tc>
        <w:tc>
          <w:tcPr>
            <w:tcW w:w="717" w:type="dxa"/>
            <w:noWrap/>
            <w:vAlign w:val="bottom"/>
          </w:tcPr>
          <w:p w14:paraId="36F90BDD"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0B48E166"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586</w:t>
            </w:r>
          </w:p>
        </w:tc>
        <w:tc>
          <w:tcPr>
            <w:tcW w:w="717" w:type="dxa"/>
            <w:noWrap/>
            <w:vAlign w:val="bottom"/>
          </w:tcPr>
          <w:p w14:paraId="05FBBDCE"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644</w:t>
            </w:r>
          </w:p>
        </w:tc>
        <w:tc>
          <w:tcPr>
            <w:tcW w:w="717" w:type="dxa"/>
            <w:noWrap/>
            <w:vAlign w:val="bottom"/>
          </w:tcPr>
          <w:p w14:paraId="25AD40B5"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757</w:t>
            </w:r>
          </w:p>
        </w:tc>
        <w:tc>
          <w:tcPr>
            <w:tcW w:w="717" w:type="dxa"/>
            <w:noWrap/>
            <w:vAlign w:val="bottom"/>
          </w:tcPr>
          <w:p w14:paraId="0298346D"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241FF6D1"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953</w:t>
            </w:r>
          </w:p>
        </w:tc>
        <w:tc>
          <w:tcPr>
            <w:tcW w:w="717" w:type="dxa"/>
            <w:noWrap/>
            <w:vAlign w:val="bottom"/>
          </w:tcPr>
          <w:p w14:paraId="794C72C3"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930</w:t>
            </w:r>
          </w:p>
        </w:tc>
        <w:tc>
          <w:tcPr>
            <w:tcW w:w="717" w:type="dxa"/>
            <w:noWrap/>
            <w:vAlign w:val="bottom"/>
          </w:tcPr>
          <w:p w14:paraId="04DB9496"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1,010</w:t>
            </w:r>
          </w:p>
        </w:tc>
      </w:tr>
      <w:tr w:rsidR="00F95321" w:rsidRPr="006A7BC9" w14:paraId="18D1A5AC" w14:textId="77777777" w:rsidTr="00641B25">
        <w:trPr>
          <w:trHeight w:val="20"/>
          <w:jc w:val="center"/>
        </w:trPr>
        <w:tc>
          <w:tcPr>
            <w:tcW w:w="3312" w:type="dxa"/>
            <w:noWrap/>
            <w:vAlign w:val="bottom"/>
          </w:tcPr>
          <w:p w14:paraId="06CB9A5C" w14:textId="77777777" w:rsidR="00F95321" w:rsidRPr="006A7BC9"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UEU manufacturing share in total</w:t>
            </w:r>
          </w:p>
        </w:tc>
        <w:tc>
          <w:tcPr>
            <w:tcW w:w="717" w:type="dxa"/>
            <w:noWrap/>
            <w:vAlign w:val="bottom"/>
          </w:tcPr>
          <w:p w14:paraId="4BED5F9D"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6C79D99B"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15%</w:t>
            </w:r>
          </w:p>
        </w:tc>
        <w:tc>
          <w:tcPr>
            <w:tcW w:w="717" w:type="dxa"/>
            <w:noWrap/>
            <w:vAlign w:val="bottom"/>
          </w:tcPr>
          <w:p w14:paraId="199E0BC4"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16%</w:t>
            </w:r>
          </w:p>
        </w:tc>
        <w:tc>
          <w:tcPr>
            <w:tcW w:w="717" w:type="dxa"/>
            <w:noWrap/>
            <w:vAlign w:val="bottom"/>
          </w:tcPr>
          <w:p w14:paraId="5F362CCD"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3C61A311"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15%</w:t>
            </w:r>
          </w:p>
        </w:tc>
        <w:tc>
          <w:tcPr>
            <w:tcW w:w="717" w:type="dxa"/>
            <w:noWrap/>
            <w:vAlign w:val="bottom"/>
          </w:tcPr>
          <w:p w14:paraId="08B9A0EA"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13%</w:t>
            </w:r>
          </w:p>
        </w:tc>
        <w:tc>
          <w:tcPr>
            <w:tcW w:w="717" w:type="dxa"/>
            <w:noWrap/>
            <w:vAlign w:val="bottom"/>
          </w:tcPr>
          <w:p w14:paraId="545EED66"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14%</w:t>
            </w:r>
          </w:p>
        </w:tc>
        <w:tc>
          <w:tcPr>
            <w:tcW w:w="717" w:type="dxa"/>
            <w:noWrap/>
            <w:vAlign w:val="bottom"/>
          </w:tcPr>
          <w:p w14:paraId="58C64B54"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4A44B739"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14%</w:t>
            </w:r>
          </w:p>
        </w:tc>
        <w:tc>
          <w:tcPr>
            <w:tcW w:w="717" w:type="dxa"/>
            <w:noWrap/>
            <w:vAlign w:val="bottom"/>
          </w:tcPr>
          <w:p w14:paraId="4935DA27"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13%</w:t>
            </w:r>
          </w:p>
        </w:tc>
        <w:tc>
          <w:tcPr>
            <w:tcW w:w="717" w:type="dxa"/>
            <w:noWrap/>
            <w:vAlign w:val="bottom"/>
          </w:tcPr>
          <w:p w14:paraId="31FED8D8"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14%</w:t>
            </w:r>
          </w:p>
        </w:tc>
      </w:tr>
      <w:tr w:rsidR="00F95321" w:rsidRPr="006A7BC9" w14:paraId="71E90C7D" w14:textId="77777777" w:rsidTr="00641B25">
        <w:trPr>
          <w:trHeight w:val="20"/>
          <w:jc w:val="center"/>
        </w:trPr>
        <w:tc>
          <w:tcPr>
            <w:tcW w:w="3312" w:type="dxa"/>
            <w:noWrap/>
            <w:vAlign w:val="bottom"/>
          </w:tcPr>
          <w:p w14:paraId="3DCD6ABC" w14:textId="77777777" w:rsidR="00F95321" w:rsidRPr="006A7BC9"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UEU trade services share in total</w:t>
            </w:r>
          </w:p>
        </w:tc>
        <w:tc>
          <w:tcPr>
            <w:tcW w:w="717" w:type="dxa"/>
            <w:noWrap/>
            <w:vAlign w:val="bottom"/>
          </w:tcPr>
          <w:p w14:paraId="0C84916E"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54CBE859"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31%</w:t>
            </w:r>
          </w:p>
        </w:tc>
        <w:tc>
          <w:tcPr>
            <w:tcW w:w="717" w:type="dxa"/>
            <w:noWrap/>
            <w:vAlign w:val="bottom"/>
          </w:tcPr>
          <w:p w14:paraId="2D9D91CC"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31%</w:t>
            </w:r>
          </w:p>
        </w:tc>
        <w:tc>
          <w:tcPr>
            <w:tcW w:w="717" w:type="dxa"/>
            <w:noWrap/>
            <w:vAlign w:val="bottom"/>
          </w:tcPr>
          <w:p w14:paraId="10EF156E"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3F15DA07"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32%</w:t>
            </w:r>
          </w:p>
        </w:tc>
        <w:tc>
          <w:tcPr>
            <w:tcW w:w="717" w:type="dxa"/>
            <w:noWrap/>
            <w:vAlign w:val="bottom"/>
          </w:tcPr>
          <w:p w14:paraId="445A19CE"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28%</w:t>
            </w:r>
          </w:p>
        </w:tc>
        <w:tc>
          <w:tcPr>
            <w:tcW w:w="717" w:type="dxa"/>
            <w:noWrap/>
            <w:vAlign w:val="bottom"/>
          </w:tcPr>
          <w:p w14:paraId="4F9CD6D1"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31%</w:t>
            </w:r>
          </w:p>
        </w:tc>
        <w:tc>
          <w:tcPr>
            <w:tcW w:w="717" w:type="dxa"/>
            <w:noWrap/>
            <w:vAlign w:val="bottom"/>
          </w:tcPr>
          <w:p w14:paraId="4EE9E7BE" w14:textId="77777777" w:rsidR="00F95321" w:rsidRPr="006A7BC9" w:rsidRDefault="00F95321" w:rsidP="00641B25">
            <w:pPr>
              <w:jc w:val="center"/>
              <w:rPr>
                <w:rFonts w:ascii="Times New Roman" w:eastAsia="Times New Roman" w:hAnsi="Times New Roman" w:cs="Times New Roman"/>
                <w:color w:val="000000"/>
                <w:sz w:val="20"/>
                <w:szCs w:val="20"/>
              </w:rPr>
            </w:pPr>
          </w:p>
        </w:tc>
        <w:tc>
          <w:tcPr>
            <w:tcW w:w="717" w:type="dxa"/>
            <w:noWrap/>
            <w:vAlign w:val="bottom"/>
          </w:tcPr>
          <w:p w14:paraId="7E6C395D"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26%</w:t>
            </w:r>
          </w:p>
        </w:tc>
        <w:tc>
          <w:tcPr>
            <w:tcW w:w="717" w:type="dxa"/>
            <w:noWrap/>
            <w:vAlign w:val="bottom"/>
          </w:tcPr>
          <w:p w14:paraId="18E1A0B8"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26%</w:t>
            </w:r>
          </w:p>
        </w:tc>
        <w:tc>
          <w:tcPr>
            <w:tcW w:w="717" w:type="dxa"/>
            <w:noWrap/>
            <w:vAlign w:val="bottom"/>
          </w:tcPr>
          <w:p w14:paraId="22DF771B"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28%</w:t>
            </w:r>
          </w:p>
        </w:tc>
      </w:tr>
    </w:tbl>
    <w:p w14:paraId="149114C5" w14:textId="7FA16FEA" w:rsidR="00F95321" w:rsidRPr="00FC7BC9" w:rsidRDefault="00F95321" w:rsidP="00F95321">
      <w:pPr>
        <w:spacing w:line="240" w:lineRule="auto"/>
        <w:rPr>
          <w:rFonts w:ascii="Times New Roman" w:hAnsi="Times New Roman" w:cs="Times New Roman"/>
        </w:rPr>
      </w:pPr>
      <w:r w:rsidRPr="00370CEA">
        <w:rPr>
          <w:rFonts w:ascii="Times New Roman" w:hAnsi="Times New Roman" w:cs="Times New Roman"/>
          <w:i/>
          <w:iCs/>
        </w:rPr>
        <w:t>Note</w:t>
      </w:r>
      <w:r>
        <w:rPr>
          <w:rFonts w:ascii="Times New Roman" w:hAnsi="Times New Roman" w:cs="Times New Roman"/>
        </w:rPr>
        <w:t>: This table shows the estimates of urban manufacturing employment (in 1000s workers) that we get from the LFS (1999, 2005, and 2031) and UEU (2003, 2004, 2006, 2010, 2012, 2014-2016).</w:t>
      </w:r>
      <w:r w:rsidR="00B5503C">
        <w:rPr>
          <w:rFonts w:ascii="Times New Roman" w:hAnsi="Times New Roman" w:cs="Times New Roman"/>
        </w:rPr>
        <w:t xml:space="preserve"> For reference and comparative purposes, we also include the total urban employment from each source and calculate the share of each manufacturing and trade services in the total. </w:t>
      </w:r>
    </w:p>
    <w:p w14:paraId="50511EEA" w14:textId="1CD678B3" w:rsidR="00F95321" w:rsidRDefault="00F95321" w:rsidP="00742C6D">
      <w:pPr>
        <w:pStyle w:val="Heading2"/>
        <w:rPr>
          <w:rFonts w:ascii="Times New Roman" w:hAnsi="Times New Roman" w:cs="Times New Roman"/>
          <w:sz w:val="24"/>
          <w:szCs w:val="24"/>
        </w:rPr>
      </w:pPr>
    </w:p>
    <w:p w14:paraId="323A9D34" w14:textId="099DB4FC" w:rsidR="00F95321" w:rsidRPr="003F6C67" w:rsidRDefault="00F95321" w:rsidP="00F95321">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sidRPr="003F6C67">
        <w:rPr>
          <w:rFonts w:ascii="Times New Roman" w:hAnsi="Times New Roman" w:cs="Times New Roman"/>
          <w:b/>
          <w:bCs/>
          <w:sz w:val="24"/>
          <w:szCs w:val="24"/>
        </w:rPr>
        <w:lastRenderedPageBreak/>
        <w:t xml:space="preserve">Table </w:t>
      </w:r>
      <w:r w:rsidR="00206C87">
        <w:rPr>
          <w:rFonts w:ascii="Times New Roman" w:hAnsi="Times New Roman" w:cs="Times New Roman"/>
          <w:b/>
          <w:bCs/>
          <w:sz w:val="24"/>
          <w:szCs w:val="24"/>
        </w:rPr>
        <w:t xml:space="preserve">1.2 </w:t>
      </w:r>
      <w:r w:rsidRPr="003F6C67">
        <w:rPr>
          <w:rFonts w:ascii="Times New Roman" w:hAnsi="Times New Roman" w:cs="Times New Roman"/>
          <w:b/>
          <w:bCs/>
          <w:sz w:val="24"/>
          <w:szCs w:val="24"/>
        </w:rPr>
        <w:t>Number of workers in rural non-food processing manufacturing, Ethiopia LFS</w:t>
      </w:r>
    </w:p>
    <w:tbl>
      <w:tblPr>
        <w:tblStyle w:val="TableGrid"/>
        <w:tblW w:w="9263" w:type="dxa"/>
        <w:jc w:val="center"/>
        <w:tblLook w:val="04A0" w:firstRow="1" w:lastRow="0" w:firstColumn="1" w:lastColumn="0" w:noHBand="0" w:noVBand="1"/>
      </w:tblPr>
      <w:tblGrid>
        <w:gridCol w:w="5845"/>
        <w:gridCol w:w="1260"/>
        <w:gridCol w:w="1170"/>
        <w:gridCol w:w="988"/>
      </w:tblGrid>
      <w:tr w:rsidR="00F95321" w:rsidRPr="006A7BC9" w14:paraId="6764D1CC" w14:textId="77777777" w:rsidTr="00641B25">
        <w:trPr>
          <w:trHeight w:hRule="exact" w:val="288"/>
          <w:jc w:val="center"/>
        </w:trPr>
        <w:tc>
          <w:tcPr>
            <w:tcW w:w="5845" w:type="dxa"/>
            <w:noWrap/>
            <w:hideMark/>
          </w:tcPr>
          <w:p w14:paraId="0DAD9408" w14:textId="77777777" w:rsidR="00F95321" w:rsidRPr="006A7BC9" w:rsidRDefault="00F95321" w:rsidP="00641B25">
            <w:pPr>
              <w:rPr>
                <w:rFonts w:ascii="Times New Roman" w:eastAsia="Times New Roman" w:hAnsi="Times New Roman" w:cs="Times New Roman"/>
                <w:sz w:val="20"/>
                <w:szCs w:val="20"/>
              </w:rPr>
            </w:pPr>
          </w:p>
        </w:tc>
        <w:tc>
          <w:tcPr>
            <w:tcW w:w="1260" w:type="dxa"/>
            <w:noWrap/>
            <w:hideMark/>
          </w:tcPr>
          <w:p w14:paraId="5714BCF7" w14:textId="77777777" w:rsidR="00F95321" w:rsidRPr="006A7BC9" w:rsidRDefault="00F95321" w:rsidP="00641B25">
            <w:pPr>
              <w:jc w:val="right"/>
              <w:rPr>
                <w:rFonts w:ascii="Times New Roman" w:eastAsia="Times New Roman" w:hAnsi="Times New Roman" w:cs="Times New Roman"/>
                <w:color w:val="000000"/>
                <w:sz w:val="20"/>
                <w:szCs w:val="20"/>
              </w:rPr>
            </w:pPr>
            <w:r w:rsidRPr="006A7BC9">
              <w:rPr>
                <w:rFonts w:ascii="Times New Roman" w:eastAsia="Times New Roman" w:hAnsi="Times New Roman" w:cs="Times New Roman"/>
                <w:color w:val="000000"/>
                <w:sz w:val="20"/>
                <w:szCs w:val="20"/>
              </w:rPr>
              <w:t>1999</w:t>
            </w:r>
          </w:p>
        </w:tc>
        <w:tc>
          <w:tcPr>
            <w:tcW w:w="1170" w:type="dxa"/>
            <w:noWrap/>
            <w:hideMark/>
          </w:tcPr>
          <w:p w14:paraId="51A22333" w14:textId="77777777" w:rsidR="00F95321" w:rsidRPr="006A7BC9" w:rsidRDefault="00F95321" w:rsidP="00641B25">
            <w:pPr>
              <w:jc w:val="right"/>
              <w:rPr>
                <w:rFonts w:ascii="Times New Roman" w:eastAsia="Times New Roman" w:hAnsi="Times New Roman" w:cs="Times New Roman"/>
                <w:color w:val="000000"/>
                <w:sz w:val="20"/>
                <w:szCs w:val="20"/>
              </w:rPr>
            </w:pPr>
            <w:r w:rsidRPr="006A7BC9">
              <w:rPr>
                <w:rFonts w:ascii="Times New Roman" w:eastAsia="Times New Roman" w:hAnsi="Times New Roman" w:cs="Times New Roman"/>
                <w:color w:val="000000"/>
                <w:sz w:val="20"/>
                <w:szCs w:val="20"/>
              </w:rPr>
              <w:t>2005</w:t>
            </w:r>
          </w:p>
        </w:tc>
        <w:tc>
          <w:tcPr>
            <w:tcW w:w="988" w:type="dxa"/>
            <w:noWrap/>
            <w:hideMark/>
          </w:tcPr>
          <w:p w14:paraId="542D42B4" w14:textId="77777777" w:rsidR="00F95321" w:rsidRPr="006A7BC9" w:rsidRDefault="00F95321" w:rsidP="00641B25">
            <w:pPr>
              <w:jc w:val="right"/>
              <w:rPr>
                <w:rFonts w:ascii="Times New Roman" w:eastAsia="Times New Roman" w:hAnsi="Times New Roman" w:cs="Times New Roman"/>
                <w:color w:val="000000"/>
                <w:sz w:val="20"/>
                <w:szCs w:val="20"/>
              </w:rPr>
            </w:pPr>
            <w:r w:rsidRPr="006A7BC9">
              <w:rPr>
                <w:rFonts w:ascii="Times New Roman" w:eastAsia="Times New Roman" w:hAnsi="Times New Roman" w:cs="Times New Roman"/>
                <w:color w:val="000000"/>
                <w:sz w:val="20"/>
                <w:szCs w:val="20"/>
              </w:rPr>
              <w:t>2013</w:t>
            </w:r>
          </w:p>
        </w:tc>
      </w:tr>
      <w:tr w:rsidR="00F95321" w:rsidRPr="006A7BC9" w14:paraId="55E019CA" w14:textId="77777777" w:rsidTr="00641B25">
        <w:trPr>
          <w:trHeight w:hRule="exact" w:val="288"/>
          <w:jc w:val="center"/>
        </w:trPr>
        <w:tc>
          <w:tcPr>
            <w:tcW w:w="5845" w:type="dxa"/>
            <w:noWrap/>
            <w:vAlign w:val="bottom"/>
            <w:hideMark/>
          </w:tcPr>
          <w:p w14:paraId="21D17A38" w14:textId="77777777" w:rsidR="00F95321" w:rsidRPr="006A7BC9"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Total rural employment</w:t>
            </w:r>
          </w:p>
        </w:tc>
        <w:tc>
          <w:tcPr>
            <w:tcW w:w="1260" w:type="dxa"/>
            <w:noWrap/>
            <w:vAlign w:val="bottom"/>
            <w:hideMark/>
          </w:tcPr>
          <w:p w14:paraId="7C4A7A86"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22,203</w:t>
            </w:r>
          </w:p>
        </w:tc>
        <w:tc>
          <w:tcPr>
            <w:tcW w:w="1170" w:type="dxa"/>
            <w:noWrap/>
            <w:vAlign w:val="bottom"/>
            <w:hideMark/>
          </w:tcPr>
          <w:p w14:paraId="504B721F"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27,989</w:t>
            </w:r>
          </w:p>
        </w:tc>
        <w:tc>
          <w:tcPr>
            <w:tcW w:w="988" w:type="dxa"/>
            <w:noWrap/>
            <w:vAlign w:val="bottom"/>
            <w:hideMark/>
          </w:tcPr>
          <w:p w14:paraId="7965EA72"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36,028</w:t>
            </w:r>
          </w:p>
        </w:tc>
      </w:tr>
      <w:tr w:rsidR="00F95321" w:rsidRPr="006A7BC9" w14:paraId="4E236E90" w14:textId="77777777" w:rsidTr="00641B25">
        <w:trPr>
          <w:trHeight w:hRule="exact" w:val="288"/>
          <w:jc w:val="center"/>
        </w:trPr>
        <w:tc>
          <w:tcPr>
            <w:tcW w:w="5845" w:type="dxa"/>
            <w:noWrap/>
            <w:vAlign w:val="center"/>
            <w:hideMark/>
          </w:tcPr>
          <w:p w14:paraId="114A3653" w14:textId="77777777" w:rsidR="00F95321" w:rsidRPr="006A7BC9"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Rural non-food processing manufacturing (raw)</w:t>
            </w:r>
          </w:p>
        </w:tc>
        <w:tc>
          <w:tcPr>
            <w:tcW w:w="1260" w:type="dxa"/>
            <w:noWrap/>
            <w:vAlign w:val="center"/>
            <w:hideMark/>
          </w:tcPr>
          <w:p w14:paraId="6712BCC1"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603</w:t>
            </w:r>
          </w:p>
        </w:tc>
        <w:tc>
          <w:tcPr>
            <w:tcW w:w="1170" w:type="dxa"/>
            <w:noWrap/>
            <w:vAlign w:val="center"/>
            <w:hideMark/>
          </w:tcPr>
          <w:p w14:paraId="54E03791"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575</w:t>
            </w:r>
          </w:p>
        </w:tc>
        <w:tc>
          <w:tcPr>
            <w:tcW w:w="988" w:type="dxa"/>
            <w:noWrap/>
            <w:vAlign w:val="center"/>
            <w:hideMark/>
          </w:tcPr>
          <w:p w14:paraId="38C08E64"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828</w:t>
            </w:r>
          </w:p>
        </w:tc>
      </w:tr>
      <w:tr w:rsidR="00F95321" w:rsidRPr="006A7BC9" w14:paraId="349909D2" w14:textId="77777777" w:rsidTr="00641B25">
        <w:trPr>
          <w:trHeight w:hRule="exact" w:val="288"/>
          <w:jc w:val="center"/>
        </w:trPr>
        <w:tc>
          <w:tcPr>
            <w:tcW w:w="5845" w:type="dxa"/>
            <w:noWrap/>
            <w:vAlign w:val="center"/>
          </w:tcPr>
          <w:p w14:paraId="40557B28" w14:textId="77777777" w:rsidR="00F95321" w:rsidRPr="006A7BC9"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Rural non-food processing manufacturing (adjusted)</w:t>
            </w:r>
          </w:p>
        </w:tc>
        <w:tc>
          <w:tcPr>
            <w:tcW w:w="1260" w:type="dxa"/>
            <w:noWrap/>
            <w:vAlign w:val="center"/>
          </w:tcPr>
          <w:p w14:paraId="2A627623"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273</w:t>
            </w:r>
          </w:p>
        </w:tc>
        <w:tc>
          <w:tcPr>
            <w:tcW w:w="1170" w:type="dxa"/>
            <w:noWrap/>
            <w:vAlign w:val="center"/>
          </w:tcPr>
          <w:p w14:paraId="1E5AF6EE"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312</w:t>
            </w:r>
          </w:p>
        </w:tc>
        <w:tc>
          <w:tcPr>
            <w:tcW w:w="988" w:type="dxa"/>
            <w:noWrap/>
            <w:vAlign w:val="center"/>
          </w:tcPr>
          <w:p w14:paraId="22BFD69D"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893</w:t>
            </w:r>
          </w:p>
        </w:tc>
      </w:tr>
      <w:tr w:rsidR="00F95321" w:rsidRPr="006A7BC9" w14:paraId="65CA99AB" w14:textId="77777777" w:rsidTr="00641B25">
        <w:trPr>
          <w:trHeight w:hRule="exact" w:val="288"/>
          <w:jc w:val="center"/>
        </w:trPr>
        <w:tc>
          <w:tcPr>
            <w:tcW w:w="5845" w:type="dxa"/>
            <w:noWrap/>
            <w:vAlign w:val="bottom"/>
          </w:tcPr>
          <w:p w14:paraId="6E1A8D63" w14:textId="77777777" w:rsidR="00F95321" w:rsidRPr="006A7BC9"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Share of non-food processing in total rural (raw)</w:t>
            </w:r>
          </w:p>
        </w:tc>
        <w:tc>
          <w:tcPr>
            <w:tcW w:w="1260" w:type="dxa"/>
            <w:noWrap/>
            <w:vAlign w:val="bottom"/>
          </w:tcPr>
          <w:p w14:paraId="0BAEEF7A"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2.7%</w:t>
            </w:r>
          </w:p>
        </w:tc>
        <w:tc>
          <w:tcPr>
            <w:tcW w:w="1170" w:type="dxa"/>
            <w:noWrap/>
            <w:vAlign w:val="bottom"/>
          </w:tcPr>
          <w:p w14:paraId="5125CCFF"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2.1%</w:t>
            </w:r>
          </w:p>
        </w:tc>
        <w:tc>
          <w:tcPr>
            <w:tcW w:w="988" w:type="dxa"/>
            <w:noWrap/>
            <w:vAlign w:val="bottom"/>
          </w:tcPr>
          <w:p w14:paraId="32363CE3"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2.3%</w:t>
            </w:r>
          </w:p>
        </w:tc>
      </w:tr>
      <w:tr w:rsidR="00F95321" w:rsidRPr="006A7BC9" w14:paraId="3562E1FD" w14:textId="77777777" w:rsidTr="00641B25">
        <w:trPr>
          <w:trHeight w:hRule="exact" w:val="288"/>
          <w:jc w:val="center"/>
        </w:trPr>
        <w:tc>
          <w:tcPr>
            <w:tcW w:w="5845" w:type="dxa"/>
            <w:noWrap/>
            <w:vAlign w:val="bottom"/>
          </w:tcPr>
          <w:p w14:paraId="287620B8" w14:textId="77777777" w:rsidR="00F95321" w:rsidRPr="006A7BC9"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Share of non-food processing in total rural (adjusted)</w:t>
            </w:r>
          </w:p>
        </w:tc>
        <w:tc>
          <w:tcPr>
            <w:tcW w:w="1260" w:type="dxa"/>
            <w:noWrap/>
            <w:vAlign w:val="bottom"/>
          </w:tcPr>
          <w:p w14:paraId="56D20663"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1.2%</w:t>
            </w:r>
          </w:p>
        </w:tc>
        <w:tc>
          <w:tcPr>
            <w:tcW w:w="1170" w:type="dxa"/>
            <w:noWrap/>
            <w:vAlign w:val="bottom"/>
          </w:tcPr>
          <w:p w14:paraId="524BF21C"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1.1%</w:t>
            </w:r>
          </w:p>
        </w:tc>
        <w:tc>
          <w:tcPr>
            <w:tcW w:w="988" w:type="dxa"/>
            <w:noWrap/>
            <w:vAlign w:val="bottom"/>
          </w:tcPr>
          <w:p w14:paraId="4693F676"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2.5%</w:t>
            </w:r>
          </w:p>
        </w:tc>
      </w:tr>
      <w:tr w:rsidR="00F95321" w:rsidRPr="006A7BC9" w14:paraId="5E33FF77" w14:textId="77777777" w:rsidTr="00641B25">
        <w:trPr>
          <w:trHeight w:hRule="exact" w:val="288"/>
          <w:jc w:val="center"/>
        </w:trPr>
        <w:tc>
          <w:tcPr>
            <w:tcW w:w="5845" w:type="dxa"/>
            <w:noWrap/>
            <w:vAlign w:val="bottom"/>
          </w:tcPr>
          <w:p w14:paraId="2D846793" w14:textId="77777777" w:rsidR="00F95321" w:rsidRPr="006A7BC9" w:rsidRDefault="00F95321" w:rsidP="00641B25">
            <w:pP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 xml:space="preserve">Share of trade services in total rural </w:t>
            </w:r>
            <w:r>
              <w:rPr>
                <w:rFonts w:ascii="Times New Roman" w:hAnsi="Times New Roman" w:cs="Times New Roman"/>
                <w:color w:val="000000"/>
                <w:sz w:val="20"/>
                <w:szCs w:val="20"/>
              </w:rPr>
              <w:t>(raw)</w:t>
            </w:r>
          </w:p>
        </w:tc>
        <w:tc>
          <w:tcPr>
            <w:tcW w:w="1260" w:type="dxa"/>
            <w:noWrap/>
            <w:vAlign w:val="bottom"/>
          </w:tcPr>
          <w:p w14:paraId="4B8642E0"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5.9%</w:t>
            </w:r>
          </w:p>
        </w:tc>
        <w:tc>
          <w:tcPr>
            <w:tcW w:w="1170" w:type="dxa"/>
            <w:noWrap/>
            <w:vAlign w:val="bottom"/>
          </w:tcPr>
          <w:p w14:paraId="78C0685C"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4.6%</w:t>
            </w:r>
          </w:p>
        </w:tc>
        <w:tc>
          <w:tcPr>
            <w:tcW w:w="988" w:type="dxa"/>
            <w:noWrap/>
            <w:vAlign w:val="bottom"/>
          </w:tcPr>
          <w:p w14:paraId="08707B39" w14:textId="77777777" w:rsidR="00F95321" w:rsidRPr="006A7BC9" w:rsidRDefault="00F95321" w:rsidP="00641B25">
            <w:pPr>
              <w:jc w:val="center"/>
              <w:rPr>
                <w:rFonts w:ascii="Times New Roman" w:eastAsia="Times New Roman" w:hAnsi="Times New Roman" w:cs="Times New Roman"/>
                <w:color w:val="000000"/>
                <w:sz w:val="20"/>
                <w:szCs w:val="20"/>
              </w:rPr>
            </w:pPr>
            <w:r w:rsidRPr="006A7BC9">
              <w:rPr>
                <w:rFonts w:ascii="Times New Roman" w:hAnsi="Times New Roman" w:cs="Times New Roman"/>
                <w:color w:val="000000"/>
                <w:sz w:val="20"/>
                <w:szCs w:val="20"/>
              </w:rPr>
              <w:t>3.3%</w:t>
            </w:r>
          </w:p>
        </w:tc>
      </w:tr>
    </w:tbl>
    <w:p w14:paraId="0BDC5632" w14:textId="006B6FBF" w:rsidR="00F95321" w:rsidRPr="00FC7BC9" w:rsidRDefault="00F95321" w:rsidP="00F95321">
      <w:pPr>
        <w:spacing w:line="240" w:lineRule="auto"/>
        <w:rPr>
          <w:rFonts w:ascii="Times New Roman" w:hAnsi="Times New Roman" w:cs="Times New Roman"/>
          <w:sz w:val="20"/>
          <w:szCs w:val="20"/>
        </w:rPr>
      </w:pPr>
      <w:r w:rsidRPr="00FC7BC9">
        <w:rPr>
          <w:rFonts w:ascii="Times New Roman" w:hAnsi="Times New Roman" w:cs="Times New Roman"/>
          <w:i/>
          <w:iCs/>
          <w:sz w:val="20"/>
          <w:szCs w:val="20"/>
        </w:rPr>
        <w:t>Note</w:t>
      </w:r>
      <w:r w:rsidRPr="00FC7BC9">
        <w:rPr>
          <w:rFonts w:ascii="Times New Roman" w:hAnsi="Times New Roman" w:cs="Times New Roman"/>
          <w:sz w:val="20"/>
          <w:szCs w:val="20"/>
        </w:rPr>
        <w:t>: This table shows the total number of workers in rural non-food processing manufacturing according to the 1999, 2005, and 2013 National Labor Force Survey (LFS), conducted by the Central Statistics Agency (CSA) of Ethiopia.</w:t>
      </w:r>
      <w:r>
        <w:rPr>
          <w:rFonts w:ascii="Times New Roman" w:hAnsi="Times New Roman" w:cs="Times New Roman"/>
          <w:sz w:val="20"/>
          <w:szCs w:val="20"/>
        </w:rPr>
        <w:t xml:space="preserve"> Numbers in the </w:t>
      </w:r>
      <w:r w:rsidR="00B5503C">
        <w:rPr>
          <w:rFonts w:ascii="Times New Roman" w:hAnsi="Times New Roman" w:cs="Times New Roman"/>
          <w:sz w:val="20"/>
          <w:szCs w:val="20"/>
        </w:rPr>
        <w:t>second</w:t>
      </w:r>
      <w:r>
        <w:rPr>
          <w:rFonts w:ascii="Times New Roman" w:hAnsi="Times New Roman" w:cs="Times New Roman"/>
          <w:sz w:val="20"/>
          <w:szCs w:val="20"/>
        </w:rPr>
        <w:t xml:space="preserve"> row are the aggregation of the raw data using the ISIC code directly, while the numbers in the </w:t>
      </w:r>
      <w:r w:rsidR="00B5503C">
        <w:rPr>
          <w:rFonts w:ascii="Times New Roman" w:hAnsi="Times New Roman" w:cs="Times New Roman"/>
          <w:sz w:val="20"/>
          <w:szCs w:val="20"/>
        </w:rPr>
        <w:t>third</w:t>
      </w:r>
      <w:r>
        <w:rPr>
          <w:rFonts w:ascii="Times New Roman" w:hAnsi="Times New Roman" w:cs="Times New Roman"/>
          <w:sz w:val="20"/>
          <w:szCs w:val="20"/>
        </w:rPr>
        <w:t xml:space="preserve"> row are our own estimation based on the approach described </w:t>
      </w:r>
      <w:r w:rsidR="00B5503C">
        <w:rPr>
          <w:rFonts w:ascii="Times New Roman" w:hAnsi="Times New Roman" w:cs="Times New Roman"/>
          <w:sz w:val="20"/>
          <w:szCs w:val="20"/>
        </w:rPr>
        <w:t xml:space="preserve">in section </w:t>
      </w:r>
      <w:r w:rsidR="00206C87">
        <w:rPr>
          <w:rFonts w:ascii="Times New Roman" w:hAnsi="Times New Roman" w:cs="Times New Roman"/>
          <w:sz w:val="20"/>
          <w:szCs w:val="20"/>
        </w:rPr>
        <w:t>1.</w:t>
      </w:r>
      <w:r w:rsidR="00B5503C">
        <w:rPr>
          <w:rFonts w:ascii="Times New Roman" w:hAnsi="Times New Roman" w:cs="Times New Roman"/>
          <w:sz w:val="20"/>
          <w:szCs w:val="20"/>
        </w:rPr>
        <w:t>1</w:t>
      </w:r>
      <w:r>
        <w:rPr>
          <w:rFonts w:ascii="Times New Roman" w:hAnsi="Times New Roman" w:cs="Times New Roman"/>
          <w:sz w:val="20"/>
          <w:szCs w:val="20"/>
        </w:rPr>
        <w:t>.</w:t>
      </w:r>
      <w:r w:rsidR="00B5503C">
        <w:rPr>
          <w:rFonts w:ascii="Times New Roman" w:hAnsi="Times New Roman" w:cs="Times New Roman"/>
          <w:sz w:val="20"/>
          <w:szCs w:val="20"/>
        </w:rPr>
        <w:t xml:space="preserve"> For reference we include total rural employment according to the LFS and then estimate the share of non-food processing in total rural employment for both the original and adjusted values. For comparative purposes we also report the share of trade services in total rural employment (no adjustments made). </w:t>
      </w:r>
    </w:p>
    <w:p w14:paraId="766350BA" w14:textId="77777777" w:rsidR="00F95321" w:rsidRDefault="00F95321">
      <w:pPr>
        <w:rPr>
          <w:rFonts w:ascii="Times New Roman" w:hAnsi="Times New Roman" w:cs="Times New Roman"/>
          <w:b/>
          <w:bCs/>
          <w:sz w:val="24"/>
          <w:szCs w:val="24"/>
        </w:rPr>
      </w:pPr>
      <w:r>
        <w:rPr>
          <w:rFonts w:ascii="Times New Roman" w:hAnsi="Times New Roman" w:cs="Times New Roman"/>
          <w:b/>
          <w:bCs/>
          <w:sz w:val="24"/>
          <w:szCs w:val="24"/>
        </w:rPr>
        <w:br w:type="page"/>
      </w:r>
    </w:p>
    <w:p w14:paraId="1EE3671A" w14:textId="2F18866B" w:rsidR="00F95321" w:rsidRPr="003F6C67" w:rsidRDefault="00F95321" w:rsidP="00F95321">
      <w:pPr>
        <w:spacing w:after="0" w:line="240" w:lineRule="auto"/>
        <w:ind w:firstLine="720"/>
        <w:rPr>
          <w:rFonts w:ascii="Times New Roman" w:hAnsi="Times New Roman" w:cs="Times New Roman"/>
          <w:b/>
          <w:bCs/>
          <w:sz w:val="24"/>
          <w:szCs w:val="24"/>
        </w:rPr>
      </w:pPr>
      <w:r w:rsidRPr="003F6C67">
        <w:rPr>
          <w:rFonts w:ascii="Times New Roman" w:hAnsi="Times New Roman" w:cs="Times New Roman"/>
          <w:b/>
          <w:bCs/>
          <w:sz w:val="24"/>
          <w:szCs w:val="24"/>
        </w:rPr>
        <w:lastRenderedPageBreak/>
        <w:t xml:space="preserve">Table </w:t>
      </w:r>
      <w:r w:rsidR="00206C87">
        <w:rPr>
          <w:rFonts w:ascii="Times New Roman" w:hAnsi="Times New Roman" w:cs="Times New Roman"/>
          <w:b/>
          <w:bCs/>
          <w:sz w:val="24"/>
          <w:szCs w:val="24"/>
        </w:rPr>
        <w:t xml:space="preserve">1.3 </w:t>
      </w:r>
      <w:r w:rsidRPr="003F6C67">
        <w:rPr>
          <w:rFonts w:ascii="Times New Roman" w:hAnsi="Times New Roman" w:cs="Times New Roman"/>
          <w:b/>
          <w:bCs/>
          <w:sz w:val="24"/>
          <w:szCs w:val="24"/>
        </w:rPr>
        <w:t xml:space="preserve">Number of households and workers in manufacturing and </w:t>
      </w:r>
      <w:proofErr w:type="spellStart"/>
      <w:r w:rsidRPr="003F6C67">
        <w:rPr>
          <w:rFonts w:ascii="Times New Roman" w:hAnsi="Times New Roman" w:cs="Times New Roman"/>
          <w:b/>
          <w:bCs/>
          <w:sz w:val="24"/>
          <w:szCs w:val="24"/>
        </w:rPr>
        <w:t>agri</w:t>
      </w:r>
      <w:proofErr w:type="spellEnd"/>
      <w:r w:rsidRPr="003F6C67">
        <w:rPr>
          <w:rFonts w:ascii="Times New Roman" w:hAnsi="Times New Roman" w:cs="Times New Roman"/>
          <w:b/>
          <w:bCs/>
          <w:sz w:val="24"/>
          <w:szCs w:val="24"/>
        </w:rPr>
        <w:t>-processing, LSMS</w:t>
      </w:r>
    </w:p>
    <w:tbl>
      <w:tblPr>
        <w:tblStyle w:val="TableGrid"/>
        <w:tblW w:w="10493" w:type="dxa"/>
        <w:jc w:val="center"/>
        <w:tblLook w:val="04A0" w:firstRow="1" w:lastRow="0" w:firstColumn="1" w:lastColumn="0" w:noHBand="0" w:noVBand="1"/>
      </w:tblPr>
      <w:tblGrid>
        <w:gridCol w:w="5472"/>
        <w:gridCol w:w="872"/>
        <w:gridCol w:w="764"/>
        <w:gridCol w:w="872"/>
        <w:gridCol w:w="877"/>
        <w:gridCol w:w="872"/>
        <w:gridCol w:w="764"/>
      </w:tblGrid>
      <w:tr w:rsidR="00F95321" w:rsidRPr="00CC124A" w14:paraId="43D4F480" w14:textId="77777777" w:rsidTr="00641B25">
        <w:trPr>
          <w:trHeight w:val="290"/>
          <w:jc w:val="center"/>
        </w:trPr>
        <w:tc>
          <w:tcPr>
            <w:tcW w:w="5472" w:type="dxa"/>
            <w:noWrap/>
            <w:hideMark/>
          </w:tcPr>
          <w:p w14:paraId="14F706FF" w14:textId="77777777" w:rsidR="00F95321" w:rsidRPr="00885416" w:rsidRDefault="00F95321" w:rsidP="00641B25">
            <w:pPr>
              <w:rPr>
                <w:rFonts w:ascii="Times New Roman" w:eastAsia="Times New Roman" w:hAnsi="Times New Roman" w:cs="Times New Roman"/>
                <w:color w:val="000000"/>
                <w:sz w:val="20"/>
                <w:szCs w:val="20"/>
              </w:rPr>
            </w:pPr>
          </w:p>
        </w:tc>
        <w:tc>
          <w:tcPr>
            <w:tcW w:w="1636" w:type="dxa"/>
            <w:gridSpan w:val="2"/>
            <w:noWrap/>
            <w:hideMark/>
          </w:tcPr>
          <w:p w14:paraId="63D4211A" w14:textId="77777777" w:rsidR="00F95321" w:rsidRPr="00885416" w:rsidRDefault="00F95321" w:rsidP="00641B25">
            <w:pPr>
              <w:jc w:val="center"/>
              <w:rPr>
                <w:rFonts w:ascii="Times New Roman" w:eastAsia="Times New Roman" w:hAnsi="Times New Roman" w:cs="Times New Roman"/>
                <w:color w:val="000000"/>
                <w:sz w:val="20"/>
                <w:szCs w:val="20"/>
              </w:rPr>
            </w:pPr>
            <w:r w:rsidRPr="00885416">
              <w:rPr>
                <w:rFonts w:ascii="Times New Roman" w:eastAsia="Times New Roman" w:hAnsi="Times New Roman" w:cs="Times New Roman"/>
                <w:color w:val="000000"/>
                <w:sz w:val="20"/>
                <w:szCs w:val="20"/>
              </w:rPr>
              <w:t>2012</w:t>
            </w:r>
          </w:p>
        </w:tc>
        <w:tc>
          <w:tcPr>
            <w:tcW w:w="1749" w:type="dxa"/>
            <w:gridSpan w:val="2"/>
            <w:noWrap/>
            <w:hideMark/>
          </w:tcPr>
          <w:p w14:paraId="5C06D2B0" w14:textId="77777777" w:rsidR="00F95321" w:rsidRPr="00885416" w:rsidRDefault="00F95321" w:rsidP="00641B25">
            <w:pPr>
              <w:jc w:val="center"/>
              <w:rPr>
                <w:rFonts w:ascii="Times New Roman" w:eastAsia="Times New Roman" w:hAnsi="Times New Roman" w:cs="Times New Roman"/>
                <w:color w:val="000000"/>
                <w:sz w:val="20"/>
                <w:szCs w:val="20"/>
              </w:rPr>
            </w:pPr>
            <w:r w:rsidRPr="00885416">
              <w:rPr>
                <w:rFonts w:ascii="Times New Roman" w:eastAsia="Times New Roman" w:hAnsi="Times New Roman" w:cs="Times New Roman"/>
                <w:color w:val="000000"/>
                <w:sz w:val="20"/>
                <w:szCs w:val="20"/>
              </w:rPr>
              <w:t>201</w:t>
            </w:r>
            <w:r w:rsidRPr="00CC124A">
              <w:rPr>
                <w:rFonts w:ascii="Times New Roman" w:eastAsia="Times New Roman" w:hAnsi="Times New Roman" w:cs="Times New Roman"/>
                <w:color w:val="000000"/>
                <w:sz w:val="20"/>
                <w:szCs w:val="20"/>
              </w:rPr>
              <w:t>4</w:t>
            </w:r>
          </w:p>
        </w:tc>
        <w:tc>
          <w:tcPr>
            <w:tcW w:w="1636" w:type="dxa"/>
            <w:gridSpan w:val="2"/>
          </w:tcPr>
          <w:p w14:paraId="0CCD8787" w14:textId="77777777" w:rsidR="00F95321" w:rsidRPr="00CC124A" w:rsidRDefault="00F95321" w:rsidP="00641B25">
            <w:pPr>
              <w:jc w:val="center"/>
              <w:rPr>
                <w:rFonts w:ascii="Times New Roman" w:eastAsia="Times New Roman" w:hAnsi="Times New Roman" w:cs="Times New Roman"/>
                <w:color w:val="000000"/>
                <w:sz w:val="20"/>
                <w:szCs w:val="20"/>
              </w:rPr>
            </w:pPr>
            <w:r w:rsidRPr="00885416">
              <w:rPr>
                <w:rFonts w:ascii="Times New Roman" w:eastAsia="Times New Roman" w:hAnsi="Times New Roman" w:cs="Times New Roman"/>
                <w:color w:val="000000"/>
                <w:sz w:val="20"/>
                <w:szCs w:val="20"/>
              </w:rPr>
              <w:t>2016</w:t>
            </w:r>
          </w:p>
        </w:tc>
      </w:tr>
      <w:tr w:rsidR="00F95321" w:rsidRPr="00CC124A" w14:paraId="34C0728C" w14:textId="77777777" w:rsidTr="00641B25">
        <w:trPr>
          <w:trHeight w:val="290"/>
          <w:jc w:val="center"/>
        </w:trPr>
        <w:tc>
          <w:tcPr>
            <w:tcW w:w="5472" w:type="dxa"/>
            <w:noWrap/>
            <w:hideMark/>
          </w:tcPr>
          <w:p w14:paraId="3B10F0A0" w14:textId="29DBF603" w:rsidR="00F95321" w:rsidRPr="00885416" w:rsidRDefault="00F95321" w:rsidP="00641B25">
            <w:pPr>
              <w:jc w:val="right"/>
              <w:rPr>
                <w:rFonts w:ascii="Times New Roman" w:eastAsia="Times New Roman" w:hAnsi="Times New Roman" w:cs="Times New Roman"/>
                <w:color w:val="000000"/>
                <w:sz w:val="20"/>
                <w:szCs w:val="20"/>
              </w:rPr>
            </w:pPr>
          </w:p>
        </w:tc>
        <w:tc>
          <w:tcPr>
            <w:tcW w:w="872" w:type="dxa"/>
            <w:noWrap/>
            <w:hideMark/>
          </w:tcPr>
          <w:p w14:paraId="13EC059E" w14:textId="77777777" w:rsidR="00F95321" w:rsidRPr="00885416" w:rsidRDefault="00F95321" w:rsidP="00641B25">
            <w:pPr>
              <w:jc w:val="center"/>
              <w:rPr>
                <w:rFonts w:ascii="Times New Roman" w:eastAsia="Times New Roman" w:hAnsi="Times New Roman" w:cs="Times New Roman"/>
                <w:color w:val="000000"/>
                <w:sz w:val="20"/>
                <w:szCs w:val="20"/>
              </w:rPr>
            </w:pPr>
            <w:r w:rsidRPr="00885416">
              <w:rPr>
                <w:rFonts w:ascii="Times New Roman" w:eastAsia="Times New Roman" w:hAnsi="Times New Roman" w:cs="Times New Roman"/>
                <w:color w:val="000000"/>
                <w:sz w:val="20"/>
                <w:szCs w:val="20"/>
              </w:rPr>
              <w:t>Number</w:t>
            </w:r>
          </w:p>
        </w:tc>
        <w:tc>
          <w:tcPr>
            <w:tcW w:w="764" w:type="dxa"/>
            <w:noWrap/>
            <w:hideMark/>
          </w:tcPr>
          <w:p w14:paraId="60A0298E" w14:textId="77777777" w:rsidR="00F95321" w:rsidRPr="00885416" w:rsidRDefault="00F95321" w:rsidP="00641B25">
            <w:pPr>
              <w:jc w:val="center"/>
              <w:rPr>
                <w:rFonts w:ascii="Times New Roman" w:eastAsia="Times New Roman" w:hAnsi="Times New Roman" w:cs="Times New Roman"/>
                <w:color w:val="000000"/>
                <w:sz w:val="20"/>
                <w:szCs w:val="20"/>
              </w:rPr>
            </w:pPr>
            <w:r w:rsidRPr="00885416">
              <w:rPr>
                <w:rFonts w:ascii="Times New Roman" w:eastAsia="Times New Roman" w:hAnsi="Times New Roman" w:cs="Times New Roman"/>
                <w:color w:val="000000"/>
                <w:sz w:val="20"/>
                <w:szCs w:val="20"/>
              </w:rPr>
              <w:t>Share in total</w:t>
            </w:r>
          </w:p>
        </w:tc>
        <w:tc>
          <w:tcPr>
            <w:tcW w:w="872" w:type="dxa"/>
            <w:noWrap/>
            <w:hideMark/>
          </w:tcPr>
          <w:p w14:paraId="7B671E66" w14:textId="77777777" w:rsidR="00F95321" w:rsidRPr="00885416" w:rsidRDefault="00F95321" w:rsidP="00641B25">
            <w:pPr>
              <w:jc w:val="center"/>
              <w:rPr>
                <w:rFonts w:ascii="Times New Roman" w:eastAsia="Times New Roman" w:hAnsi="Times New Roman" w:cs="Times New Roman"/>
                <w:color w:val="000000"/>
                <w:sz w:val="20"/>
                <w:szCs w:val="20"/>
              </w:rPr>
            </w:pPr>
            <w:r w:rsidRPr="00885416">
              <w:rPr>
                <w:rFonts w:ascii="Times New Roman" w:eastAsia="Times New Roman" w:hAnsi="Times New Roman" w:cs="Times New Roman"/>
                <w:color w:val="000000"/>
                <w:sz w:val="20"/>
                <w:szCs w:val="20"/>
              </w:rPr>
              <w:t>Number</w:t>
            </w:r>
          </w:p>
        </w:tc>
        <w:tc>
          <w:tcPr>
            <w:tcW w:w="877" w:type="dxa"/>
            <w:noWrap/>
            <w:hideMark/>
          </w:tcPr>
          <w:p w14:paraId="3E062BE3" w14:textId="77777777" w:rsidR="00F95321" w:rsidRPr="00885416" w:rsidRDefault="00F95321" w:rsidP="00641B25">
            <w:pPr>
              <w:jc w:val="center"/>
              <w:rPr>
                <w:rFonts w:ascii="Times New Roman" w:eastAsia="Times New Roman" w:hAnsi="Times New Roman" w:cs="Times New Roman"/>
                <w:color w:val="000000"/>
                <w:sz w:val="20"/>
                <w:szCs w:val="20"/>
              </w:rPr>
            </w:pPr>
            <w:r w:rsidRPr="00885416">
              <w:rPr>
                <w:rFonts w:ascii="Times New Roman" w:eastAsia="Times New Roman" w:hAnsi="Times New Roman" w:cs="Times New Roman"/>
                <w:color w:val="000000"/>
                <w:sz w:val="20"/>
                <w:szCs w:val="20"/>
              </w:rPr>
              <w:t>Share in total</w:t>
            </w:r>
          </w:p>
        </w:tc>
        <w:tc>
          <w:tcPr>
            <w:tcW w:w="872" w:type="dxa"/>
          </w:tcPr>
          <w:p w14:paraId="0DCE6E9F" w14:textId="77777777" w:rsidR="00F95321" w:rsidRPr="00CC124A" w:rsidRDefault="00F95321" w:rsidP="00641B25">
            <w:pPr>
              <w:jc w:val="center"/>
              <w:rPr>
                <w:rFonts w:ascii="Times New Roman" w:eastAsia="Times New Roman" w:hAnsi="Times New Roman" w:cs="Times New Roman"/>
                <w:color w:val="000000"/>
                <w:sz w:val="20"/>
                <w:szCs w:val="20"/>
              </w:rPr>
            </w:pPr>
            <w:r w:rsidRPr="00885416">
              <w:rPr>
                <w:rFonts w:ascii="Times New Roman" w:eastAsia="Times New Roman" w:hAnsi="Times New Roman" w:cs="Times New Roman"/>
                <w:color w:val="000000"/>
                <w:sz w:val="20"/>
                <w:szCs w:val="20"/>
              </w:rPr>
              <w:t>Number</w:t>
            </w:r>
          </w:p>
        </w:tc>
        <w:tc>
          <w:tcPr>
            <w:tcW w:w="764" w:type="dxa"/>
          </w:tcPr>
          <w:p w14:paraId="4376845B" w14:textId="77777777" w:rsidR="00F95321" w:rsidRPr="00CC124A" w:rsidRDefault="00F95321" w:rsidP="00641B25">
            <w:pPr>
              <w:jc w:val="center"/>
              <w:rPr>
                <w:rFonts w:ascii="Times New Roman" w:eastAsia="Times New Roman" w:hAnsi="Times New Roman" w:cs="Times New Roman"/>
                <w:color w:val="000000"/>
                <w:sz w:val="20"/>
                <w:szCs w:val="20"/>
              </w:rPr>
            </w:pPr>
            <w:r w:rsidRPr="00885416">
              <w:rPr>
                <w:rFonts w:ascii="Times New Roman" w:eastAsia="Times New Roman" w:hAnsi="Times New Roman" w:cs="Times New Roman"/>
                <w:color w:val="000000"/>
                <w:sz w:val="20"/>
                <w:szCs w:val="20"/>
              </w:rPr>
              <w:t>Share in total</w:t>
            </w:r>
          </w:p>
        </w:tc>
      </w:tr>
      <w:tr w:rsidR="00F95321" w:rsidRPr="00CC124A" w14:paraId="2C4594A0" w14:textId="77777777" w:rsidTr="00641B25">
        <w:trPr>
          <w:trHeight w:val="290"/>
          <w:jc w:val="center"/>
        </w:trPr>
        <w:tc>
          <w:tcPr>
            <w:tcW w:w="5472" w:type="dxa"/>
            <w:noWrap/>
            <w:hideMark/>
          </w:tcPr>
          <w:p w14:paraId="55F73661" w14:textId="77777777" w:rsidR="00F95321" w:rsidRPr="00885416" w:rsidRDefault="00F95321" w:rsidP="00641B25">
            <w:pP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 xml:space="preserve">HHs </w:t>
            </w:r>
            <w:r w:rsidRPr="00885416">
              <w:rPr>
                <w:rFonts w:ascii="Times New Roman" w:eastAsia="Times New Roman" w:hAnsi="Times New Roman" w:cs="Times New Roman"/>
                <w:color w:val="000000"/>
                <w:sz w:val="20"/>
                <w:szCs w:val="20"/>
              </w:rPr>
              <w:t>reporting any NFE</w:t>
            </w:r>
          </w:p>
        </w:tc>
        <w:tc>
          <w:tcPr>
            <w:tcW w:w="872" w:type="dxa"/>
            <w:noWrap/>
            <w:vAlign w:val="bottom"/>
            <w:hideMark/>
          </w:tcPr>
          <w:p w14:paraId="07EE190F"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2,308</w:t>
            </w:r>
          </w:p>
        </w:tc>
        <w:tc>
          <w:tcPr>
            <w:tcW w:w="764" w:type="dxa"/>
            <w:noWrap/>
            <w:vAlign w:val="bottom"/>
            <w:hideMark/>
          </w:tcPr>
          <w:p w14:paraId="5444048D"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19.7%</w:t>
            </w:r>
          </w:p>
        </w:tc>
        <w:tc>
          <w:tcPr>
            <w:tcW w:w="872" w:type="dxa"/>
            <w:noWrap/>
            <w:vAlign w:val="bottom"/>
            <w:hideMark/>
          </w:tcPr>
          <w:p w14:paraId="506F8697"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2,735</w:t>
            </w:r>
          </w:p>
        </w:tc>
        <w:tc>
          <w:tcPr>
            <w:tcW w:w="877" w:type="dxa"/>
            <w:noWrap/>
            <w:vAlign w:val="bottom"/>
            <w:hideMark/>
          </w:tcPr>
          <w:p w14:paraId="618B21E0"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20.9%</w:t>
            </w:r>
          </w:p>
        </w:tc>
        <w:tc>
          <w:tcPr>
            <w:tcW w:w="872" w:type="dxa"/>
            <w:vAlign w:val="bottom"/>
          </w:tcPr>
          <w:p w14:paraId="319F721B"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2,857</w:t>
            </w:r>
          </w:p>
        </w:tc>
        <w:tc>
          <w:tcPr>
            <w:tcW w:w="764" w:type="dxa"/>
            <w:vAlign w:val="bottom"/>
          </w:tcPr>
          <w:p w14:paraId="4CE94695"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19.5%</w:t>
            </w:r>
          </w:p>
        </w:tc>
      </w:tr>
      <w:tr w:rsidR="00F95321" w:rsidRPr="00CC124A" w14:paraId="6DE78C2F" w14:textId="77777777" w:rsidTr="00641B25">
        <w:trPr>
          <w:trHeight w:val="290"/>
          <w:jc w:val="center"/>
        </w:trPr>
        <w:tc>
          <w:tcPr>
            <w:tcW w:w="5472" w:type="dxa"/>
            <w:noWrap/>
            <w:hideMark/>
          </w:tcPr>
          <w:p w14:paraId="04639772" w14:textId="77777777" w:rsidR="00F95321" w:rsidRPr="00885416" w:rsidRDefault="00F95321" w:rsidP="00641B25">
            <w:pP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 xml:space="preserve">HHs </w:t>
            </w:r>
            <w:r w:rsidRPr="00885416">
              <w:rPr>
                <w:rFonts w:ascii="Times New Roman" w:eastAsia="Times New Roman" w:hAnsi="Times New Roman" w:cs="Times New Roman"/>
                <w:color w:val="000000"/>
                <w:sz w:val="20"/>
                <w:szCs w:val="20"/>
              </w:rPr>
              <w:t xml:space="preserve">reporting </w:t>
            </w:r>
            <w:r w:rsidRPr="00CC124A">
              <w:rPr>
                <w:rFonts w:ascii="Times New Roman" w:eastAsia="Times New Roman" w:hAnsi="Times New Roman" w:cs="Times New Roman"/>
                <w:color w:val="000000"/>
                <w:sz w:val="20"/>
                <w:szCs w:val="20"/>
              </w:rPr>
              <w:t>MFG</w:t>
            </w:r>
            <w:r w:rsidRPr="00885416">
              <w:rPr>
                <w:rFonts w:ascii="Times New Roman" w:eastAsia="Times New Roman" w:hAnsi="Times New Roman" w:cs="Times New Roman"/>
                <w:color w:val="000000"/>
                <w:sz w:val="20"/>
                <w:szCs w:val="20"/>
              </w:rPr>
              <w:t xml:space="preserve"> NFE</w:t>
            </w:r>
          </w:p>
        </w:tc>
        <w:tc>
          <w:tcPr>
            <w:tcW w:w="872" w:type="dxa"/>
            <w:noWrap/>
            <w:vAlign w:val="bottom"/>
            <w:hideMark/>
          </w:tcPr>
          <w:p w14:paraId="7BB5914E"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528</w:t>
            </w:r>
          </w:p>
        </w:tc>
        <w:tc>
          <w:tcPr>
            <w:tcW w:w="764" w:type="dxa"/>
            <w:noWrap/>
            <w:vAlign w:val="bottom"/>
            <w:hideMark/>
          </w:tcPr>
          <w:p w14:paraId="7F945392"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4.5%</w:t>
            </w:r>
          </w:p>
        </w:tc>
        <w:tc>
          <w:tcPr>
            <w:tcW w:w="872" w:type="dxa"/>
            <w:noWrap/>
            <w:vAlign w:val="bottom"/>
            <w:hideMark/>
          </w:tcPr>
          <w:p w14:paraId="7856FA27"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498</w:t>
            </w:r>
          </w:p>
        </w:tc>
        <w:tc>
          <w:tcPr>
            <w:tcW w:w="877" w:type="dxa"/>
            <w:noWrap/>
            <w:vAlign w:val="bottom"/>
            <w:hideMark/>
          </w:tcPr>
          <w:p w14:paraId="3BC79C96"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3.8%</w:t>
            </w:r>
          </w:p>
        </w:tc>
        <w:tc>
          <w:tcPr>
            <w:tcW w:w="872" w:type="dxa"/>
            <w:vAlign w:val="bottom"/>
          </w:tcPr>
          <w:p w14:paraId="73CEE80D"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591</w:t>
            </w:r>
          </w:p>
        </w:tc>
        <w:tc>
          <w:tcPr>
            <w:tcW w:w="764" w:type="dxa"/>
            <w:vAlign w:val="bottom"/>
          </w:tcPr>
          <w:p w14:paraId="63A93873"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4.0%</w:t>
            </w:r>
          </w:p>
        </w:tc>
      </w:tr>
      <w:tr w:rsidR="00F95321" w:rsidRPr="00CC124A" w14:paraId="5939C29E" w14:textId="77777777" w:rsidTr="00641B25">
        <w:trPr>
          <w:trHeight w:val="290"/>
          <w:jc w:val="center"/>
        </w:trPr>
        <w:tc>
          <w:tcPr>
            <w:tcW w:w="5472" w:type="dxa"/>
            <w:noWrap/>
            <w:hideMark/>
          </w:tcPr>
          <w:p w14:paraId="66F9E34E" w14:textId="77777777" w:rsidR="00F95321" w:rsidRPr="00885416" w:rsidRDefault="00F95321" w:rsidP="00641B25">
            <w:pP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 xml:space="preserve">HHs </w:t>
            </w:r>
            <w:r w:rsidRPr="00885416">
              <w:rPr>
                <w:rFonts w:ascii="Times New Roman" w:eastAsia="Times New Roman" w:hAnsi="Times New Roman" w:cs="Times New Roman"/>
                <w:color w:val="000000"/>
                <w:sz w:val="20"/>
                <w:szCs w:val="20"/>
              </w:rPr>
              <w:t xml:space="preserve">reporting </w:t>
            </w:r>
            <w:proofErr w:type="spellStart"/>
            <w:r w:rsidRPr="00885416">
              <w:rPr>
                <w:rFonts w:ascii="Times New Roman" w:eastAsia="Times New Roman" w:hAnsi="Times New Roman" w:cs="Times New Roman"/>
                <w:color w:val="000000"/>
                <w:sz w:val="20"/>
                <w:szCs w:val="20"/>
              </w:rPr>
              <w:t>agri</w:t>
            </w:r>
            <w:proofErr w:type="spellEnd"/>
            <w:r w:rsidRPr="00885416">
              <w:rPr>
                <w:rFonts w:ascii="Times New Roman" w:eastAsia="Times New Roman" w:hAnsi="Times New Roman" w:cs="Times New Roman"/>
                <w:color w:val="000000"/>
                <w:sz w:val="20"/>
                <w:szCs w:val="20"/>
              </w:rPr>
              <w:t>-processing NFE</w:t>
            </w:r>
          </w:p>
        </w:tc>
        <w:tc>
          <w:tcPr>
            <w:tcW w:w="872" w:type="dxa"/>
            <w:noWrap/>
            <w:vAlign w:val="bottom"/>
            <w:hideMark/>
          </w:tcPr>
          <w:p w14:paraId="1B920779"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668</w:t>
            </w:r>
          </w:p>
        </w:tc>
        <w:tc>
          <w:tcPr>
            <w:tcW w:w="764" w:type="dxa"/>
            <w:noWrap/>
            <w:vAlign w:val="bottom"/>
            <w:hideMark/>
          </w:tcPr>
          <w:p w14:paraId="4C356228"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5.7%</w:t>
            </w:r>
          </w:p>
        </w:tc>
        <w:tc>
          <w:tcPr>
            <w:tcW w:w="872" w:type="dxa"/>
            <w:noWrap/>
            <w:vAlign w:val="bottom"/>
            <w:hideMark/>
          </w:tcPr>
          <w:p w14:paraId="37037106"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792</w:t>
            </w:r>
          </w:p>
        </w:tc>
        <w:tc>
          <w:tcPr>
            <w:tcW w:w="877" w:type="dxa"/>
            <w:noWrap/>
            <w:vAlign w:val="bottom"/>
            <w:hideMark/>
          </w:tcPr>
          <w:p w14:paraId="1A13BA84"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6.1%</w:t>
            </w:r>
          </w:p>
        </w:tc>
        <w:tc>
          <w:tcPr>
            <w:tcW w:w="872" w:type="dxa"/>
            <w:vAlign w:val="bottom"/>
          </w:tcPr>
          <w:p w14:paraId="01E70A70"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843</w:t>
            </w:r>
          </w:p>
        </w:tc>
        <w:tc>
          <w:tcPr>
            <w:tcW w:w="764" w:type="dxa"/>
            <w:vAlign w:val="bottom"/>
          </w:tcPr>
          <w:p w14:paraId="17880BCF"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5.8%</w:t>
            </w:r>
          </w:p>
        </w:tc>
      </w:tr>
      <w:tr w:rsidR="00F95321" w:rsidRPr="00CC124A" w14:paraId="638417FD" w14:textId="77777777" w:rsidTr="00641B25">
        <w:trPr>
          <w:trHeight w:val="290"/>
          <w:jc w:val="center"/>
        </w:trPr>
        <w:tc>
          <w:tcPr>
            <w:tcW w:w="5472" w:type="dxa"/>
            <w:noWrap/>
            <w:hideMark/>
          </w:tcPr>
          <w:p w14:paraId="17EBFDA5" w14:textId="77777777" w:rsidR="00F95321" w:rsidRPr="00885416" w:rsidRDefault="00F95321" w:rsidP="00641B25">
            <w:pP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 xml:space="preserve">HHs </w:t>
            </w:r>
            <w:r w:rsidRPr="00885416">
              <w:rPr>
                <w:rFonts w:ascii="Times New Roman" w:eastAsia="Times New Roman" w:hAnsi="Times New Roman" w:cs="Times New Roman"/>
                <w:color w:val="000000"/>
                <w:sz w:val="20"/>
                <w:szCs w:val="20"/>
              </w:rPr>
              <w:t xml:space="preserve">reporting </w:t>
            </w:r>
            <w:r w:rsidRPr="00CC124A">
              <w:rPr>
                <w:rFonts w:ascii="Times New Roman" w:eastAsia="Times New Roman" w:hAnsi="Times New Roman" w:cs="Times New Roman"/>
                <w:color w:val="000000"/>
                <w:sz w:val="20"/>
                <w:szCs w:val="20"/>
              </w:rPr>
              <w:t>MFG</w:t>
            </w:r>
            <w:r w:rsidRPr="00885416">
              <w:rPr>
                <w:rFonts w:ascii="Times New Roman" w:eastAsia="Times New Roman" w:hAnsi="Times New Roman" w:cs="Times New Roman"/>
                <w:color w:val="000000"/>
                <w:sz w:val="20"/>
                <w:szCs w:val="20"/>
              </w:rPr>
              <w:t xml:space="preserve"> and </w:t>
            </w:r>
            <w:proofErr w:type="spellStart"/>
            <w:r w:rsidRPr="00885416">
              <w:rPr>
                <w:rFonts w:ascii="Times New Roman" w:eastAsia="Times New Roman" w:hAnsi="Times New Roman" w:cs="Times New Roman"/>
                <w:color w:val="000000"/>
                <w:sz w:val="20"/>
                <w:szCs w:val="20"/>
              </w:rPr>
              <w:t>agri</w:t>
            </w:r>
            <w:proofErr w:type="spellEnd"/>
            <w:r w:rsidRPr="00885416">
              <w:rPr>
                <w:rFonts w:ascii="Times New Roman" w:eastAsia="Times New Roman" w:hAnsi="Times New Roman" w:cs="Times New Roman"/>
                <w:color w:val="000000"/>
                <w:sz w:val="20"/>
                <w:szCs w:val="20"/>
              </w:rPr>
              <w:t>-processing NFE</w:t>
            </w:r>
          </w:p>
        </w:tc>
        <w:tc>
          <w:tcPr>
            <w:tcW w:w="872" w:type="dxa"/>
            <w:noWrap/>
            <w:vAlign w:val="bottom"/>
            <w:hideMark/>
          </w:tcPr>
          <w:p w14:paraId="536E590A"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340</w:t>
            </w:r>
          </w:p>
        </w:tc>
        <w:tc>
          <w:tcPr>
            <w:tcW w:w="764" w:type="dxa"/>
            <w:noWrap/>
            <w:vAlign w:val="bottom"/>
            <w:hideMark/>
          </w:tcPr>
          <w:p w14:paraId="4B5AB404"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2.9%</w:t>
            </w:r>
          </w:p>
        </w:tc>
        <w:tc>
          <w:tcPr>
            <w:tcW w:w="872" w:type="dxa"/>
            <w:noWrap/>
            <w:vAlign w:val="bottom"/>
            <w:hideMark/>
          </w:tcPr>
          <w:p w14:paraId="71B8E00E"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362</w:t>
            </w:r>
          </w:p>
        </w:tc>
        <w:tc>
          <w:tcPr>
            <w:tcW w:w="877" w:type="dxa"/>
            <w:noWrap/>
            <w:vAlign w:val="bottom"/>
            <w:hideMark/>
          </w:tcPr>
          <w:p w14:paraId="5C787AC9"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2.8%</w:t>
            </w:r>
          </w:p>
        </w:tc>
        <w:tc>
          <w:tcPr>
            <w:tcW w:w="872" w:type="dxa"/>
            <w:vAlign w:val="bottom"/>
          </w:tcPr>
          <w:p w14:paraId="150B5B0C"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435</w:t>
            </w:r>
          </w:p>
        </w:tc>
        <w:tc>
          <w:tcPr>
            <w:tcW w:w="764" w:type="dxa"/>
            <w:vAlign w:val="bottom"/>
          </w:tcPr>
          <w:p w14:paraId="6FB08FA8"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3.0%</w:t>
            </w:r>
          </w:p>
        </w:tc>
      </w:tr>
      <w:tr w:rsidR="00F95321" w:rsidRPr="00CC124A" w14:paraId="399D0336" w14:textId="77777777" w:rsidTr="00641B25">
        <w:trPr>
          <w:trHeight w:val="290"/>
          <w:jc w:val="center"/>
        </w:trPr>
        <w:tc>
          <w:tcPr>
            <w:tcW w:w="5472" w:type="dxa"/>
            <w:noWrap/>
            <w:hideMark/>
          </w:tcPr>
          <w:p w14:paraId="5D993DC5" w14:textId="77777777" w:rsidR="00F95321" w:rsidRPr="00885416" w:rsidRDefault="00F95321" w:rsidP="00641B25">
            <w:pPr>
              <w:rPr>
                <w:rFonts w:ascii="Times New Roman" w:eastAsia="Times New Roman" w:hAnsi="Times New Roman" w:cs="Times New Roman"/>
                <w:color w:val="000000"/>
                <w:sz w:val="20"/>
                <w:szCs w:val="20"/>
              </w:rPr>
            </w:pPr>
            <w:r w:rsidRPr="00885416">
              <w:rPr>
                <w:rFonts w:ascii="Times New Roman" w:eastAsia="Times New Roman" w:hAnsi="Times New Roman" w:cs="Times New Roman"/>
                <w:color w:val="000000"/>
                <w:sz w:val="20"/>
                <w:szCs w:val="20"/>
              </w:rPr>
              <w:t xml:space="preserve">Persons employed in wage work in rural </w:t>
            </w:r>
            <w:r w:rsidRPr="00CC124A">
              <w:rPr>
                <w:rFonts w:ascii="Times New Roman" w:eastAsia="Times New Roman" w:hAnsi="Times New Roman" w:cs="Times New Roman"/>
                <w:color w:val="000000"/>
                <w:sz w:val="20"/>
                <w:szCs w:val="20"/>
              </w:rPr>
              <w:t>MFG</w:t>
            </w:r>
            <w:r w:rsidRPr="00885416">
              <w:rPr>
                <w:rFonts w:ascii="Times New Roman" w:eastAsia="Times New Roman" w:hAnsi="Times New Roman" w:cs="Times New Roman"/>
                <w:color w:val="000000"/>
                <w:sz w:val="20"/>
                <w:szCs w:val="20"/>
              </w:rPr>
              <w:t xml:space="preserve"> </w:t>
            </w:r>
            <w:r w:rsidRPr="00CC124A">
              <w:rPr>
                <w:rFonts w:ascii="Times New Roman" w:eastAsia="Times New Roman" w:hAnsi="Times New Roman" w:cs="Times New Roman"/>
                <w:color w:val="000000"/>
                <w:sz w:val="20"/>
                <w:szCs w:val="20"/>
              </w:rPr>
              <w:t>*</w:t>
            </w:r>
          </w:p>
        </w:tc>
        <w:tc>
          <w:tcPr>
            <w:tcW w:w="872" w:type="dxa"/>
            <w:noWrap/>
            <w:vAlign w:val="bottom"/>
            <w:hideMark/>
          </w:tcPr>
          <w:p w14:paraId="5AE387E1"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81</w:t>
            </w:r>
          </w:p>
        </w:tc>
        <w:tc>
          <w:tcPr>
            <w:tcW w:w="764" w:type="dxa"/>
            <w:noWrap/>
            <w:vAlign w:val="bottom"/>
            <w:hideMark/>
          </w:tcPr>
          <w:p w14:paraId="65E0B05B"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0.3%</w:t>
            </w:r>
          </w:p>
        </w:tc>
        <w:tc>
          <w:tcPr>
            <w:tcW w:w="872" w:type="dxa"/>
            <w:noWrap/>
            <w:vAlign w:val="bottom"/>
            <w:hideMark/>
          </w:tcPr>
          <w:p w14:paraId="77DA894B"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13</w:t>
            </w:r>
          </w:p>
        </w:tc>
        <w:tc>
          <w:tcPr>
            <w:tcW w:w="877" w:type="dxa"/>
            <w:noWrap/>
            <w:vAlign w:val="bottom"/>
            <w:hideMark/>
          </w:tcPr>
          <w:p w14:paraId="15D1F437"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0.0%</w:t>
            </w:r>
          </w:p>
        </w:tc>
        <w:tc>
          <w:tcPr>
            <w:tcW w:w="872" w:type="dxa"/>
            <w:vAlign w:val="bottom"/>
          </w:tcPr>
          <w:p w14:paraId="3292A019"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147</w:t>
            </w:r>
          </w:p>
        </w:tc>
        <w:tc>
          <w:tcPr>
            <w:tcW w:w="764" w:type="dxa"/>
            <w:vAlign w:val="bottom"/>
          </w:tcPr>
          <w:p w14:paraId="3E14A8D0"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0.4%</w:t>
            </w:r>
          </w:p>
        </w:tc>
      </w:tr>
      <w:tr w:rsidR="00F95321" w:rsidRPr="00CC124A" w14:paraId="5D9405B2" w14:textId="77777777" w:rsidTr="00641B25">
        <w:trPr>
          <w:trHeight w:val="290"/>
          <w:jc w:val="center"/>
        </w:trPr>
        <w:tc>
          <w:tcPr>
            <w:tcW w:w="5472" w:type="dxa"/>
            <w:noWrap/>
            <w:hideMark/>
          </w:tcPr>
          <w:p w14:paraId="57910BAD" w14:textId="77777777" w:rsidR="00F95321" w:rsidRPr="00885416" w:rsidRDefault="00F95321" w:rsidP="00641B25">
            <w:pPr>
              <w:rPr>
                <w:rFonts w:ascii="Times New Roman" w:eastAsia="Times New Roman" w:hAnsi="Times New Roman" w:cs="Times New Roman"/>
                <w:color w:val="000000"/>
                <w:sz w:val="20"/>
                <w:szCs w:val="20"/>
              </w:rPr>
            </w:pPr>
            <w:r w:rsidRPr="00885416">
              <w:rPr>
                <w:rFonts w:ascii="Times New Roman" w:eastAsia="Times New Roman" w:hAnsi="Times New Roman" w:cs="Times New Roman"/>
                <w:color w:val="000000"/>
                <w:sz w:val="20"/>
                <w:szCs w:val="20"/>
              </w:rPr>
              <w:t xml:space="preserve">Persons employed in </w:t>
            </w:r>
            <w:r w:rsidRPr="00CC124A">
              <w:rPr>
                <w:rFonts w:ascii="Times New Roman" w:eastAsia="Times New Roman" w:hAnsi="Times New Roman" w:cs="Times New Roman"/>
                <w:color w:val="000000"/>
                <w:sz w:val="20"/>
                <w:szCs w:val="20"/>
              </w:rPr>
              <w:t>HH</w:t>
            </w:r>
            <w:r w:rsidRPr="00885416">
              <w:rPr>
                <w:rFonts w:ascii="Times New Roman" w:eastAsia="Times New Roman" w:hAnsi="Times New Roman" w:cs="Times New Roman"/>
                <w:color w:val="000000"/>
                <w:sz w:val="20"/>
                <w:szCs w:val="20"/>
              </w:rPr>
              <w:t xml:space="preserve"> </w:t>
            </w:r>
            <w:r w:rsidRPr="00CC124A">
              <w:rPr>
                <w:rFonts w:ascii="Times New Roman" w:eastAsia="Times New Roman" w:hAnsi="Times New Roman" w:cs="Times New Roman"/>
                <w:color w:val="000000"/>
                <w:sz w:val="20"/>
                <w:szCs w:val="20"/>
              </w:rPr>
              <w:t>MFG</w:t>
            </w:r>
            <w:r w:rsidRPr="00885416">
              <w:rPr>
                <w:rFonts w:ascii="Times New Roman" w:eastAsia="Times New Roman" w:hAnsi="Times New Roman" w:cs="Times New Roman"/>
                <w:color w:val="000000"/>
                <w:sz w:val="20"/>
                <w:szCs w:val="20"/>
              </w:rPr>
              <w:t xml:space="preserve"> enterprise</w:t>
            </w:r>
          </w:p>
        </w:tc>
        <w:tc>
          <w:tcPr>
            <w:tcW w:w="872" w:type="dxa"/>
            <w:noWrap/>
            <w:vAlign w:val="bottom"/>
            <w:hideMark/>
          </w:tcPr>
          <w:p w14:paraId="7279DC9D"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665</w:t>
            </w:r>
          </w:p>
        </w:tc>
        <w:tc>
          <w:tcPr>
            <w:tcW w:w="764" w:type="dxa"/>
            <w:noWrap/>
            <w:vAlign w:val="bottom"/>
            <w:hideMark/>
          </w:tcPr>
          <w:p w14:paraId="48115B09"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2.2%</w:t>
            </w:r>
          </w:p>
        </w:tc>
        <w:tc>
          <w:tcPr>
            <w:tcW w:w="872" w:type="dxa"/>
            <w:noWrap/>
            <w:vAlign w:val="bottom"/>
            <w:hideMark/>
          </w:tcPr>
          <w:p w14:paraId="5CDE469A"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657</w:t>
            </w:r>
          </w:p>
        </w:tc>
        <w:tc>
          <w:tcPr>
            <w:tcW w:w="877" w:type="dxa"/>
            <w:noWrap/>
            <w:vAlign w:val="bottom"/>
            <w:hideMark/>
          </w:tcPr>
          <w:p w14:paraId="56477615"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1.8%</w:t>
            </w:r>
          </w:p>
        </w:tc>
        <w:tc>
          <w:tcPr>
            <w:tcW w:w="872" w:type="dxa"/>
            <w:vAlign w:val="bottom"/>
          </w:tcPr>
          <w:p w14:paraId="0E89F24D"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870</w:t>
            </w:r>
          </w:p>
        </w:tc>
        <w:tc>
          <w:tcPr>
            <w:tcW w:w="764" w:type="dxa"/>
            <w:vAlign w:val="bottom"/>
          </w:tcPr>
          <w:p w14:paraId="5D213250"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2.1%</w:t>
            </w:r>
          </w:p>
        </w:tc>
      </w:tr>
      <w:tr w:rsidR="00F95321" w:rsidRPr="00CC124A" w14:paraId="65F7848B" w14:textId="77777777" w:rsidTr="00641B25">
        <w:trPr>
          <w:trHeight w:val="290"/>
          <w:jc w:val="center"/>
        </w:trPr>
        <w:tc>
          <w:tcPr>
            <w:tcW w:w="5472" w:type="dxa"/>
            <w:noWrap/>
            <w:hideMark/>
          </w:tcPr>
          <w:p w14:paraId="12AB6751" w14:textId="77777777" w:rsidR="00F95321" w:rsidRPr="00885416" w:rsidRDefault="00F95321" w:rsidP="00641B25">
            <w:pPr>
              <w:rPr>
                <w:rFonts w:ascii="Times New Roman" w:eastAsia="Times New Roman" w:hAnsi="Times New Roman" w:cs="Times New Roman"/>
                <w:color w:val="000000"/>
                <w:sz w:val="20"/>
                <w:szCs w:val="20"/>
              </w:rPr>
            </w:pPr>
            <w:r w:rsidRPr="00885416">
              <w:rPr>
                <w:rFonts w:ascii="Times New Roman" w:eastAsia="Times New Roman" w:hAnsi="Times New Roman" w:cs="Times New Roman"/>
                <w:color w:val="000000"/>
                <w:sz w:val="20"/>
                <w:szCs w:val="20"/>
              </w:rPr>
              <w:t xml:space="preserve">Persons employed in </w:t>
            </w:r>
            <w:r w:rsidRPr="00CC124A">
              <w:rPr>
                <w:rFonts w:ascii="Times New Roman" w:eastAsia="Times New Roman" w:hAnsi="Times New Roman" w:cs="Times New Roman"/>
                <w:color w:val="000000"/>
                <w:sz w:val="20"/>
                <w:szCs w:val="20"/>
              </w:rPr>
              <w:t>HH</w:t>
            </w:r>
            <w:r w:rsidRPr="00885416">
              <w:rPr>
                <w:rFonts w:ascii="Times New Roman" w:eastAsia="Times New Roman" w:hAnsi="Times New Roman" w:cs="Times New Roman"/>
                <w:color w:val="000000"/>
                <w:sz w:val="20"/>
                <w:szCs w:val="20"/>
              </w:rPr>
              <w:t xml:space="preserve"> </w:t>
            </w:r>
            <w:r w:rsidRPr="00CC124A">
              <w:rPr>
                <w:rFonts w:ascii="Times New Roman" w:eastAsia="Times New Roman" w:hAnsi="Times New Roman" w:cs="Times New Roman"/>
                <w:color w:val="000000"/>
                <w:sz w:val="20"/>
                <w:szCs w:val="20"/>
              </w:rPr>
              <w:t>MFG</w:t>
            </w:r>
            <w:r w:rsidRPr="00885416">
              <w:rPr>
                <w:rFonts w:ascii="Times New Roman" w:eastAsia="Times New Roman" w:hAnsi="Times New Roman" w:cs="Times New Roman"/>
                <w:color w:val="000000"/>
                <w:sz w:val="20"/>
                <w:szCs w:val="20"/>
              </w:rPr>
              <w:t xml:space="preserve"> enterprise with </w:t>
            </w:r>
            <w:proofErr w:type="spellStart"/>
            <w:r w:rsidRPr="00885416">
              <w:rPr>
                <w:rFonts w:ascii="Times New Roman" w:eastAsia="Times New Roman" w:hAnsi="Times New Roman" w:cs="Times New Roman"/>
                <w:color w:val="000000"/>
                <w:sz w:val="20"/>
                <w:szCs w:val="20"/>
              </w:rPr>
              <w:t>agri</w:t>
            </w:r>
            <w:proofErr w:type="spellEnd"/>
            <w:r w:rsidRPr="00885416">
              <w:rPr>
                <w:rFonts w:ascii="Times New Roman" w:eastAsia="Times New Roman" w:hAnsi="Times New Roman" w:cs="Times New Roman"/>
                <w:color w:val="000000"/>
                <w:sz w:val="20"/>
                <w:szCs w:val="20"/>
              </w:rPr>
              <w:t>-processing</w:t>
            </w:r>
            <w:r w:rsidRPr="00CC124A">
              <w:rPr>
                <w:rFonts w:ascii="Times New Roman" w:eastAsia="Times New Roman" w:hAnsi="Times New Roman" w:cs="Times New Roman"/>
                <w:color w:val="000000"/>
                <w:sz w:val="20"/>
                <w:szCs w:val="20"/>
              </w:rPr>
              <w:t>*</w:t>
            </w:r>
          </w:p>
        </w:tc>
        <w:tc>
          <w:tcPr>
            <w:tcW w:w="872" w:type="dxa"/>
            <w:noWrap/>
            <w:vAlign w:val="bottom"/>
            <w:hideMark/>
          </w:tcPr>
          <w:p w14:paraId="54A7463F"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459</w:t>
            </w:r>
          </w:p>
        </w:tc>
        <w:tc>
          <w:tcPr>
            <w:tcW w:w="764" w:type="dxa"/>
            <w:noWrap/>
            <w:vAlign w:val="bottom"/>
            <w:hideMark/>
          </w:tcPr>
          <w:p w14:paraId="303EC517"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1.5%</w:t>
            </w:r>
          </w:p>
        </w:tc>
        <w:tc>
          <w:tcPr>
            <w:tcW w:w="872" w:type="dxa"/>
            <w:noWrap/>
            <w:vAlign w:val="bottom"/>
            <w:hideMark/>
          </w:tcPr>
          <w:p w14:paraId="731BD3E7"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459</w:t>
            </w:r>
          </w:p>
        </w:tc>
        <w:tc>
          <w:tcPr>
            <w:tcW w:w="877" w:type="dxa"/>
            <w:noWrap/>
            <w:vAlign w:val="bottom"/>
            <w:hideMark/>
          </w:tcPr>
          <w:p w14:paraId="0D9D28E0"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1.2%</w:t>
            </w:r>
          </w:p>
        </w:tc>
        <w:tc>
          <w:tcPr>
            <w:tcW w:w="872" w:type="dxa"/>
            <w:vAlign w:val="bottom"/>
          </w:tcPr>
          <w:p w14:paraId="6135D8D6"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690</w:t>
            </w:r>
          </w:p>
        </w:tc>
        <w:tc>
          <w:tcPr>
            <w:tcW w:w="764" w:type="dxa"/>
            <w:vAlign w:val="bottom"/>
          </w:tcPr>
          <w:p w14:paraId="69CC842C"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1.7%</w:t>
            </w:r>
          </w:p>
        </w:tc>
      </w:tr>
      <w:tr w:rsidR="00F95321" w:rsidRPr="00CC124A" w14:paraId="44AEDF3C" w14:textId="77777777" w:rsidTr="00641B25">
        <w:trPr>
          <w:trHeight w:val="290"/>
          <w:jc w:val="center"/>
        </w:trPr>
        <w:tc>
          <w:tcPr>
            <w:tcW w:w="5472" w:type="dxa"/>
            <w:noWrap/>
            <w:hideMark/>
          </w:tcPr>
          <w:p w14:paraId="63A4AC4C" w14:textId="77777777" w:rsidR="00F95321" w:rsidRPr="00885416" w:rsidRDefault="00F95321" w:rsidP="00641B25">
            <w:pPr>
              <w:rPr>
                <w:rFonts w:ascii="Times New Roman" w:eastAsia="Times New Roman" w:hAnsi="Times New Roman" w:cs="Times New Roman"/>
                <w:color w:val="000000"/>
                <w:sz w:val="20"/>
                <w:szCs w:val="20"/>
              </w:rPr>
            </w:pPr>
            <w:r w:rsidRPr="00885416">
              <w:rPr>
                <w:rFonts w:ascii="Times New Roman" w:eastAsia="Times New Roman" w:hAnsi="Times New Roman" w:cs="Times New Roman"/>
                <w:color w:val="000000"/>
                <w:sz w:val="20"/>
                <w:szCs w:val="20"/>
              </w:rPr>
              <w:t>Persons employed in rural food processing</w:t>
            </w:r>
          </w:p>
        </w:tc>
        <w:tc>
          <w:tcPr>
            <w:tcW w:w="872" w:type="dxa"/>
            <w:noWrap/>
            <w:vAlign w:val="bottom"/>
            <w:hideMark/>
          </w:tcPr>
          <w:p w14:paraId="3F72DDB7"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540</w:t>
            </w:r>
          </w:p>
        </w:tc>
        <w:tc>
          <w:tcPr>
            <w:tcW w:w="764" w:type="dxa"/>
            <w:noWrap/>
            <w:vAlign w:val="bottom"/>
            <w:hideMark/>
          </w:tcPr>
          <w:p w14:paraId="34B083DB"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1.8%</w:t>
            </w:r>
          </w:p>
        </w:tc>
        <w:tc>
          <w:tcPr>
            <w:tcW w:w="872" w:type="dxa"/>
            <w:noWrap/>
            <w:vAlign w:val="bottom"/>
            <w:hideMark/>
          </w:tcPr>
          <w:p w14:paraId="72BF423F"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473</w:t>
            </w:r>
          </w:p>
        </w:tc>
        <w:tc>
          <w:tcPr>
            <w:tcW w:w="877" w:type="dxa"/>
            <w:noWrap/>
            <w:vAlign w:val="bottom"/>
            <w:hideMark/>
          </w:tcPr>
          <w:p w14:paraId="2E5D54FD" w14:textId="77777777" w:rsidR="00F95321" w:rsidRPr="00885416"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1.3%</w:t>
            </w:r>
          </w:p>
        </w:tc>
        <w:tc>
          <w:tcPr>
            <w:tcW w:w="872" w:type="dxa"/>
            <w:vAlign w:val="bottom"/>
          </w:tcPr>
          <w:p w14:paraId="4D92292E"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837</w:t>
            </w:r>
          </w:p>
        </w:tc>
        <w:tc>
          <w:tcPr>
            <w:tcW w:w="764" w:type="dxa"/>
            <w:vAlign w:val="bottom"/>
          </w:tcPr>
          <w:p w14:paraId="7B42972F"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hAnsi="Times New Roman" w:cs="Times New Roman"/>
                <w:color w:val="000000"/>
                <w:sz w:val="20"/>
                <w:szCs w:val="20"/>
              </w:rPr>
              <w:t>2.1%</w:t>
            </w:r>
          </w:p>
        </w:tc>
      </w:tr>
    </w:tbl>
    <w:p w14:paraId="10580728" w14:textId="622E6B6C" w:rsidR="00B5503C" w:rsidRDefault="00B5503C" w:rsidP="00B5503C">
      <w:pPr>
        <w:spacing w:after="0" w:line="240" w:lineRule="auto"/>
        <w:rPr>
          <w:rFonts w:ascii="Times New Roman" w:hAnsi="Times New Roman" w:cs="Times New Roman"/>
          <w:sz w:val="20"/>
          <w:szCs w:val="20"/>
        </w:rPr>
      </w:pPr>
      <w:r w:rsidRPr="00297BE0">
        <w:rPr>
          <w:rFonts w:ascii="Times New Roman" w:hAnsi="Times New Roman" w:cs="Times New Roman"/>
          <w:i/>
          <w:iCs/>
          <w:sz w:val="20"/>
          <w:szCs w:val="20"/>
        </w:rPr>
        <w:t>Note</w:t>
      </w:r>
      <w:r w:rsidRPr="00297BE0">
        <w:rPr>
          <w:rFonts w:ascii="Times New Roman" w:hAnsi="Times New Roman" w:cs="Times New Roman"/>
          <w:sz w:val="20"/>
          <w:szCs w:val="20"/>
        </w:rPr>
        <w:t xml:space="preserve">: </w:t>
      </w:r>
    </w:p>
    <w:p w14:paraId="1C1738D0" w14:textId="42B8BFBB" w:rsidR="00B5503C" w:rsidRDefault="00B5503C" w:rsidP="00B5503C">
      <w:pPr>
        <w:pStyle w:val="ListParagraph"/>
        <w:numPr>
          <w:ilvl w:val="0"/>
          <w:numId w:val="12"/>
        </w:numPr>
        <w:spacing w:line="240" w:lineRule="auto"/>
        <w:ind w:left="270"/>
        <w:rPr>
          <w:rFonts w:ascii="Times New Roman" w:hAnsi="Times New Roman" w:cs="Times New Roman"/>
          <w:sz w:val="20"/>
          <w:szCs w:val="20"/>
        </w:rPr>
      </w:pPr>
      <w:r w:rsidRPr="00641B25">
        <w:rPr>
          <w:rFonts w:ascii="Times New Roman" w:hAnsi="Times New Roman" w:cs="Times New Roman"/>
          <w:sz w:val="20"/>
          <w:szCs w:val="20"/>
        </w:rPr>
        <w:t xml:space="preserve">This table presents estimates of rural </w:t>
      </w:r>
      <w:proofErr w:type="spellStart"/>
      <w:r w:rsidRPr="00641B25">
        <w:rPr>
          <w:rFonts w:ascii="Times New Roman" w:hAnsi="Times New Roman" w:cs="Times New Roman"/>
          <w:sz w:val="20"/>
          <w:szCs w:val="20"/>
        </w:rPr>
        <w:t>agri</w:t>
      </w:r>
      <w:proofErr w:type="spellEnd"/>
      <w:r w:rsidRPr="00641B25">
        <w:rPr>
          <w:rFonts w:ascii="Times New Roman" w:hAnsi="Times New Roman" w:cs="Times New Roman"/>
          <w:sz w:val="20"/>
          <w:szCs w:val="20"/>
        </w:rPr>
        <w:t xml:space="preserve">-processing </w:t>
      </w:r>
      <w:r>
        <w:rPr>
          <w:rFonts w:ascii="Times New Roman" w:hAnsi="Times New Roman" w:cs="Times New Roman"/>
          <w:sz w:val="20"/>
          <w:szCs w:val="20"/>
        </w:rPr>
        <w:t xml:space="preserve">employment </w:t>
      </w:r>
      <w:r w:rsidRPr="00641B25">
        <w:rPr>
          <w:rFonts w:ascii="Times New Roman" w:hAnsi="Times New Roman" w:cs="Times New Roman"/>
          <w:sz w:val="20"/>
          <w:szCs w:val="20"/>
        </w:rPr>
        <w:t xml:space="preserve">from the LSMS 2012, </w:t>
      </w:r>
      <w:r>
        <w:rPr>
          <w:rFonts w:ascii="Times New Roman" w:hAnsi="Times New Roman" w:cs="Times New Roman"/>
          <w:sz w:val="20"/>
          <w:szCs w:val="20"/>
        </w:rPr>
        <w:t>2014</w:t>
      </w:r>
      <w:r w:rsidRPr="00641B25">
        <w:rPr>
          <w:rFonts w:ascii="Times New Roman" w:hAnsi="Times New Roman" w:cs="Times New Roman"/>
          <w:sz w:val="20"/>
          <w:szCs w:val="20"/>
        </w:rPr>
        <w:t xml:space="preserve">, and 2016. The LSMS asks sector of household NFEs  and whether a household has an </w:t>
      </w:r>
      <w:proofErr w:type="spellStart"/>
      <w:r w:rsidRPr="00641B25">
        <w:rPr>
          <w:rFonts w:ascii="Times New Roman" w:hAnsi="Times New Roman" w:cs="Times New Roman"/>
          <w:sz w:val="20"/>
          <w:szCs w:val="20"/>
        </w:rPr>
        <w:t>agri</w:t>
      </w:r>
      <w:proofErr w:type="spellEnd"/>
      <w:r w:rsidRPr="00641B25">
        <w:rPr>
          <w:rFonts w:ascii="Times New Roman" w:hAnsi="Times New Roman" w:cs="Times New Roman"/>
          <w:sz w:val="20"/>
          <w:szCs w:val="20"/>
        </w:rPr>
        <w:t xml:space="preserve">-processing NFE in two separate sections, which is the reason that number of households with </w:t>
      </w:r>
      <w:proofErr w:type="spellStart"/>
      <w:r w:rsidRPr="00641B25">
        <w:rPr>
          <w:rFonts w:ascii="Times New Roman" w:hAnsi="Times New Roman" w:cs="Times New Roman"/>
          <w:sz w:val="20"/>
          <w:szCs w:val="20"/>
        </w:rPr>
        <w:t>agri</w:t>
      </w:r>
      <w:proofErr w:type="spellEnd"/>
      <w:r w:rsidRPr="00641B25">
        <w:rPr>
          <w:rFonts w:ascii="Times New Roman" w:hAnsi="Times New Roman" w:cs="Times New Roman"/>
          <w:sz w:val="20"/>
          <w:szCs w:val="20"/>
        </w:rPr>
        <w:t>-processing enterprises is not necessar</w:t>
      </w:r>
      <w:r w:rsidR="00886909">
        <w:rPr>
          <w:rFonts w:ascii="Times New Roman" w:hAnsi="Times New Roman" w:cs="Times New Roman"/>
          <w:sz w:val="20"/>
          <w:szCs w:val="20"/>
        </w:rPr>
        <w:t>il</w:t>
      </w:r>
      <w:r w:rsidRPr="00641B25">
        <w:rPr>
          <w:rFonts w:ascii="Times New Roman" w:hAnsi="Times New Roman" w:cs="Times New Roman"/>
          <w:sz w:val="20"/>
          <w:szCs w:val="20"/>
        </w:rPr>
        <w:t xml:space="preserve">y smaller than the number of households with manufacturing enterprises. For the section with a question for </w:t>
      </w:r>
      <w:r>
        <w:rPr>
          <w:rFonts w:ascii="Times New Roman" w:hAnsi="Times New Roman" w:cs="Times New Roman"/>
          <w:sz w:val="20"/>
          <w:szCs w:val="20"/>
        </w:rPr>
        <w:t xml:space="preserve">the sector of </w:t>
      </w:r>
      <w:r w:rsidRPr="00641B25">
        <w:rPr>
          <w:rFonts w:ascii="Times New Roman" w:hAnsi="Times New Roman" w:cs="Times New Roman"/>
          <w:sz w:val="20"/>
          <w:szCs w:val="20"/>
        </w:rPr>
        <w:t xml:space="preserve">households NFE enterprises, there is no additional question for subsector within manufacturing. </w:t>
      </w:r>
    </w:p>
    <w:p w14:paraId="41EB4EA4" w14:textId="2F402A5D" w:rsidR="00B5503C" w:rsidRDefault="00B5503C" w:rsidP="00B5503C">
      <w:pPr>
        <w:pStyle w:val="ListParagraph"/>
        <w:numPr>
          <w:ilvl w:val="0"/>
          <w:numId w:val="12"/>
        </w:numPr>
        <w:spacing w:line="240" w:lineRule="auto"/>
        <w:ind w:left="270"/>
        <w:rPr>
          <w:rFonts w:ascii="Times New Roman" w:hAnsi="Times New Roman" w:cs="Times New Roman"/>
          <w:sz w:val="20"/>
          <w:szCs w:val="20"/>
        </w:rPr>
      </w:pPr>
      <w:r w:rsidRPr="00641B25">
        <w:rPr>
          <w:rFonts w:ascii="Times New Roman" w:hAnsi="Times New Roman" w:cs="Times New Roman"/>
          <w:sz w:val="20"/>
          <w:szCs w:val="20"/>
        </w:rPr>
        <w:t xml:space="preserve">The individuals recorded in rows 6 and 7 are </w:t>
      </w:r>
      <w:r>
        <w:rPr>
          <w:rFonts w:ascii="Times New Roman" w:hAnsi="Times New Roman" w:cs="Times New Roman"/>
          <w:sz w:val="20"/>
          <w:szCs w:val="20"/>
        </w:rPr>
        <w:t>members of</w:t>
      </w:r>
      <w:r w:rsidRPr="00641B25">
        <w:rPr>
          <w:rFonts w:ascii="Times New Roman" w:hAnsi="Times New Roman" w:cs="Times New Roman"/>
          <w:sz w:val="20"/>
          <w:szCs w:val="20"/>
        </w:rPr>
        <w:t xml:space="preserve"> the households in row 2 and 4 </w:t>
      </w:r>
      <w:r>
        <w:rPr>
          <w:rFonts w:ascii="Times New Roman" w:hAnsi="Times New Roman" w:cs="Times New Roman"/>
          <w:sz w:val="20"/>
          <w:szCs w:val="20"/>
        </w:rPr>
        <w:t xml:space="preserve">respectively, who were </w:t>
      </w:r>
      <w:r w:rsidRPr="00641B25">
        <w:rPr>
          <w:rFonts w:ascii="Times New Roman" w:hAnsi="Times New Roman" w:cs="Times New Roman"/>
          <w:sz w:val="20"/>
          <w:szCs w:val="20"/>
        </w:rPr>
        <w:t>reported as working for the</w:t>
      </w:r>
      <w:r>
        <w:rPr>
          <w:rFonts w:ascii="Times New Roman" w:hAnsi="Times New Roman" w:cs="Times New Roman"/>
          <w:sz w:val="20"/>
          <w:szCs w:val="20"/>
        </w:rPr>
        <w:t>ir</w:t>
      </w:r>
      <w:r w:rsidRPr="00641B25">
        <w:rPr>
          <w:rFonts w:ascii="Times New Roman" w:hAnsi="Times New Roman" w:cs="Times New Roman"/>
          <w:sz w:val="20"/>
          <w:szCs w:val="20"/>
        </w:rPr>
        <w:t xml:space="preserve"> household enterprise</w:t>
      </w:r>
      <w:r>
        <w:rPr>
          <w:rFonts w:ascii="Times New Roman" w:hAnsi="Times New Roman" w:cs="Times New Roman"/>
          <w:sz w:val="20"/>
          <w:szCs w:val="20"/>
        </w:rPr>
        <w:t>s</w:t>
      </w:r>
      <w:r w:rsidRPr="00641B25">
        <w:rPr>
          <w:rFonts w:ascii="Times New Roman" w:hAnsi="Times New Roman" w:cs="Times New Roman"/>
          <w:sz w:val="20"/>
          <w:szCs w:val="20"/>
        </w:rPr>
        <w:t xml:space="preserve">. </w:t>
      </w:r>
    </w:p>
    <w:p w14:paraId="7B34C390" w14:textId="77777777" w:rsidR="00B5503C" w:rsidRDefault="00B5503C" w:rsidP="00B5503C">
      <w:pPr>
        <w:pStyle w:val="ListParagraph"/>
        <w:numPr>
          <w:ilvl w:val="0"/>
          <w:numId w:val="12"/>
        </w:numPr>
        <w:spacing w:line="240" w:lineRule="auto"/>
        <w:ind w:left="270"/>
        <w:rPr>
          <w:rFonts w:ascii="Times New Roman" w:hAnsi="Times New Roman" w:cs="Times New Roman"/>
          <w:sz w:val="20"/>
          <w:szCs w:val="20"/>
        </w:rPr>
      </w:pPr>
      <w:r w:rsidRPr="00641B25">
        <w:rPr>
          <w:rFonts w:ascii="Times New Roman" w:hAnsi="Times New Roman" w:cs="Times New Roman"/>
          <w:sz w:val="20"/>
          <w:szCs w:val="20"/>
        </w:rPr>
        <w:t xml:space="preserve">The </w:t>
      </w:r>
      <w:r>
        <w:rPr>
          <w:rFonts w:ascii="Times New Roman" w:hAnsi="Times New Roman" w:cs="Times New Roman"/>
          <w:sz w:val="20"/>
          <w:szCs w:val="20"/>
        </w:rPr>
        <w:t xml:space="preserve">last </w:t>
      </w:r>
      <w:r w:rsidRPr="00641B25">
        <w:rPr>
          <w:rFonts w:ascii="Times New Roman" w:hAnsi="Times New Roman" w:cs="Times New Roman"/>
          <w:sz w:val="20"/>
          <w:szCs w:val="20"/>
        </w:rPr>
        <w:t xml:space="preserve">row in the table is our final </w:t>
      </w:r>
      <w:r>
        <w:rPr>
          <w:rFonts w:ascii="Times New Roman" w:hAnsi="Times New Roman" w:cs="Times New Roman"/>
          <w:sz w:val="20"/>
          <w:szCs w:val="20"/>
        </w:rPr>
        <w:t>estimates</w:t>
      </w:r>
      <w:r w:rsidRPr="00641B25">
        <w:rPr>
          <w:rFonts w:ascii="Times New Roman" w:hAnsi="Times New Roman" w:cs="Times New Roman"/>
          <w:sz w:val="20"/>
          <w:szCs w:val="20"/>
        </w:rPr>
        <w:t xml:space="preserve"> of persons employed in rural food processing</w:t>
      </w:r>
      <w:r>
        <w:rPr>
          <w:rFonts w:ascii="Times New Roman" w:hAnsi="Times New Roman" w:cs="Times New Roman"/>
          <w:sz w:val="20"/>
          <w:szCs w:val="20"/>
        </w:rPr>
        <w:t>, which</w:t>
      </w:r>
      <w:r w:rsidRPr="00641B25">
        <w:rPr>
          <w:rFonts w:ascii="Times New Roman" w:hAnsi="Times New Roman" w:cs="Times New Roman"/>
          <w:sz w:val="20"/>
          <w:szCs w:val="20"/>
        </w:rPr>
        <w:t xml:space="preserve"> is the sum of the rows </w:t>
      </w:r>
      <w:r>
        <w:rPr>
          <w:rFonts w:ascii="Times New Roman" w:hAnsi="Times New Roman" w:cs="Times New Roman"/>
          <w:sz w:val="20"/>
          <w:szCs w:val="20"/>
        </w:rPr>
        <w:t xml:space="preserve">5 and 7 </w:t>
      </w:r>
      <w:r w:rsidRPr="00641B25">
        <w:rPr>
          <w:rFonts w:ascii="Times New Roman" w:hAnsi="Times New Roman" w:cs="Times New Roman"/>
          <w:sz w:val="20"/>
          <w:szCs w:val="20"/>
        </w:rPr>
        <w:t xml:space="preserve">indicated by *. </w:t>
      </w:r>
    </w:p>
    <w:p w14:paraId="323F7149" w14:textId="77777777" w:rsidR="00B5503C" w:rsidRPr="00641B25" w:rsidRDefault="00B5503C" w:rsidP="00B5503C">
      <w:pPr>
        <w:pStyle w:val="ListParagraph"/>
        <w:numPr>
          <w:ilvl w:val="0"/>
          <w:numId w:val="12"/>
        </w:numPr>
        <w:spacing w:line="240" w:lineRule="auto"/>
        <w:ind w:left="270"/>
        <w:rPr>
          <w:rFonts w:ascii="Times New Roman" w:hAnsi="Times New Roman" w:cs="Times New Roman"/>
          <w:sz w:val="20"/>
          <w:szCs w:val="20"/>
        </w:rPr>
      </w:pPr>
      <w:r w:rsidRPr="00641B25">
        <w:rPr>
          <w:rFonts w:ascii="Times New Roman" w:hAnsi="Times New Roman" w:cs="Times New Roman"/>
          <w:sz w:val="20"/>
          <w:szCs w:val="20"/>
        </w:rPr>
        <w:t xml:space="preserve">All numbers—households and workers—are reported in 1000s. </w:t>
      </w:r>
      <w:r>
        <w:rPr>
          <w:rFonts w:ascii="Times New Roman" w:hAnsi="Times New Roman" w:cs="Times New Roman"/>
          <w:sz w:val="20"/>
          <w:szCs w:val="20"/>
        </w:rPr>
        <w:t>Numbers in the</w:t>
      </w:r>
      <w:r w:rsidRPr="00641B25">
        <w:rPr>
          <w:rFonts w:ascii="Times New Roman" w:hAnsi="Times New Roman" w:cs="Times New Roman"/>
          <w:sz w:val="20"/>
          <w:szCs w:val="20"/>
        </w:rPr>
        <w:t xml:space="preserve"> ‘share in total’ column</w:t>
      </w:r>
      <w:r>
        <w:rPr>
          <w:rFonts w:ascii="Times New Roman" w:hAnsi="Times New Roman" w:cs="Times New Roman"/>
          <w:sz w:val="20"/>
          <w:szCs w:val="20"/>
        </w:rPr>
        <w:t>s</w:t>
      </w:r>
      <w:r w:rsidRPr="00641B25">
        <w:rPr>
          <w:rFonts w:ascii="Times New Roman" w:hAnsi="Times New Roman" w:cs="Times New Roman"/>
          <w:sz w:val="20"/>
          <w:szCs w:val="20"/>
        </w:rPr>
        <w:t xml:space="preserve"> </w:t>
      </w:r>
      <w:r>
        <w:rPr>
          <w:rFonts w:ascii="Times New Roman" w:hAnsi="Times New Roman" w:cs="Times New Roman"/>
          <w:sz w:val="20"/>
          <w:szCs w:val="20"/>
        </w:rPr>
        <w:t>are</w:t>
      </w:r>
      <w:r w:rsidRPr="00641B25">
        <w:rPr>
          <w:rFonts w:ascii="Times New Roman" w:hAnsi="Times New Roman" w:cs="Times New Roman"/>
          <w:sz w:val="20"/>
          <w:szCs w:val="20"/>
        </w:rPr>
        <w:t xml:space="preserve"> the share</w:t>
      </w:r>
      <w:r>
        <w:rPr>
          <w:rFonts w:ascii="Times New Roman" w:hAnsi="Times New Roman" w:cs="Times New Roman"/>
          <w:sz w:val="20"/>
          <w:szCs w:val="20"/>
        </w:rPr>
        <w:t>s</w:t>
      </w:r>
      <w:r w:rsidRPr="00641B25">
        <w:rPr>
          <w:rFonts w:ascii="Times New Roman" w:hAnsi="Times New Roman" w:cs="Times New Roman"/>
          <w:sz w:val="20"/>
          <w:szCs w:val="20"/>
        </w:rPr>
        <w:t xml:space="preserve"> </w:t>
      </w:r>
      <w:r>
        <w:rPr>
          <w:rFonts w:ascii="Times New Roman" w:hAnsi="Times New Roman" w:cs="Times New Roman"/>
          <w:sz w:val="20"/>
          <w:szCs w:val="20"/>
        </w:rPr>
        <w:t>of</w:t>
      </w:r>
      <w:r w:rsidRPr="00641B25">
        <w:rPr>
          <w:rFonts w:ascii="Times New Roman" w:hAnsi="Times New Roman" w:cs="Times New Roman"/>
          <w:sz w:val="20"/>
          <w:szCs w:val="20"/>
        </w:rPr>
        <w:t xml:space="preserve"> total </w:t>
      </w:r>
      <w:r>
        <w:rPr>
          <w:rFonts w:ascii="Times New Roman" w:hAnsi="Times New Roman" w:cs="Times New Roman"/>
          <w:sz w:val="20"/>
          <w:szCs w:val="20"/>
        </w:rPr>
        <w:t xml:space="preserve">rural </w:t>
      </w:r>
      <w:r w:rsidRPr="00641B25">
        <w:rPr>
          <w:rFonts w:ascii="Times New Roman" w:hAnsi="Times New Roman" w:cs="Times New Roman"/>
          <w:sz w:val="20"/>
          <w:szCs w:val="20"/>
        </w:rPr>
        <w:t xml:space="preserve">households </w:t>
      </w:r>
      <w:r>
        <w:rPr>
          <w:rFonts w:ascii="Times New Roman" w:hAnsi="Times New Roman" w:cs="Times New Roman"/>
          <w:sz w:val="20"/>
          <w:szCs w:val="20"/>
        </w:rPr>
        <w:t>or</w:t>
      </w:r>
      <w:r w:rsidRPr="00641B25">
        <w:rPr>
          <w:rFonts w:ascii="Times New Roman" w:hAnsi="Times New Roman" w:cs="Times New Roman"/>
          <w:sz w:val="20"/>
          <w:szCs w:val="20"/>
        </w:rPr>
        <w:t xml:space="preserve"> total </w:t>
      </w:r>
      <w:r>
        <w:rPr>
          <w:rFonts w:ascii="Times New Roman" w:hAnsi="Times New Roman" w:cs="Times New Roman"/>
          <w:sz w:val="20"/>
          <w:szCs w:val="20"/>
        </w:rPr>
        <w:t xml:space="preserve">rural </w:t>
      </w:r>
      <w:r w:rsidRPr="00641B25">
        <w:rPr>
          <w:rFonts w:ascii="Times New Roman" w:hAnsi="Times New Roman" w:cs="Times New Roman"/>
          <w:sz w:val="20"/>
          <w:szCs w:val="20"/>
        </w:rPr>
        <w:t>persons employed</w:t>
      </w:r>
      <w:r>
        <w:rPr>
          <w:rFonts w:ascii="Times New Roman" w:hAnsi="Times New Roman" w:cs="Times New Roman"/>
          <w:sz w:val="20"/>
          <w:szCs w:val="20"/>
        </w:rPr>
        <w:t xml:space="preserve"> respectively</w:t>
      </w:r>
      <w:r w:rsidRPr="00641B25">
        <w:rPr>
          <w:rFonts w:ascii="Times New Roman" w:hAnsi="Times New Roman" w:cs="Times New Roman"/>
          <w:sz w:val="20"/>
          <w:szCs w:val="20"/>
        </w:rPr>
        <w:t>.</w:t>
      </w:r>
    </w:p>
    <w:p w14:paraId="7ED41FEF" w14:textId="77777777" w:rsidR="00F95321" w:rsidRDefault="00F95321">
      <w:pPr>
        <w:rPr>
          <w:rFonts w:ascii="Times New Roman" w:hAnsi="Times New Roman" w:cs="Times New Roman"/>
          <w:b/>
          <w:bCs/>
          <w:sz w:val="24"/>
          <w:szCs w:val="24"/>
        </w:rPr>
      </w:pPr>
      <w:r>
        <w:rPr>
          <w:rFonts w:ascii="Times New Roman" w:hAnsi="Times New Roman" w:cs="Times New Roman"/>
          <w:b/>
          <w:bCs/>
          <w:sz w:val="24"/>
          <w:szCs w:val="24"/>
        </w:rPr>
        <w:br w:type="page"/>
      </w:r>
    </w:p>
    <w:p w14:paraId="174AC3C5" w14:textId="2C688C7E" w:rsidR="00F95321" w:rsidRPr="003F6C67" w:rsidRDefault="00F95321" w:rsidP="00F95321">
      <w:pPr>
        <w:spacing w:after="0" w:line="240" w:lineRule="auto"/>
        <w:ind w:firstLine="720"/>
        <w:rPr>
          <w:rFonts w:ascii="Times New Roman" w:hAnsi="Times New Roman" w:cs="Times New Roman"/>
          <w:sz w:val="24"/>
          <w:szCs w:val="24"/>
        </w:rPr>
      </w:pPr>
      <w:r w:rsidRPr="003F6C67">
        <w:rPr>
          <w:rFonts w:ascii="Times New Roman" w:hAnsi="Times New Roman" w:cs="Times New Roman"/>
          <w:b/>
          <w:bCs/>
          <w:sz w:val="24"/>
          <w:szCs w:val="24"/>
        </w:rPr>
        <w:lastRenderedPageBreak/>
        <w:t xml:space="preserve">Table </w:t>
      </w:r>
      <w:r w:rsidR="00206C87">
        <w:rPr>
          <w:rFonts w:ascii="Times New Roman" w:hAnsi="Times New Roman" w:cs="Times New Roman"/>
          <w:b/>
          <w:bCs/>
          <w:sz w:val="24"/>
          <w:szCs w:val="24"/>
        </w:rPr>
        <w:t xml:space="preserve">1.4 </w:t>
      </w:r>
      <w:r w:rsidRPr="003F6C67">
        <w:rPr>
          <w:rFonts w:ascii="Times New Roman" w:hAnsi="Times New Roman" w:cs="Times New Roman"/>
          <w:b/>
          <w:bCs/>
          <w:sz w:val="24"/>
          <w:szCs w:val="24"/>
        </w:rPr>
        <w:t>Estimates for rural (food processing and non-food processing), urban, and total</w:t>
      </w:r>
    </w:p>
    <w:tbl>
      <w:tblPr>
        <w:tblStyle w:val="TableGrid"/>
        <w:tblW w:w="10804" w:type="dxa"/>
        <w:jc w:val="center"/>
        <w:tblLook w:val="04A0" w:firstRow="1" w:lastRow="0" w:firstColumn="1" w:lastColumn="0" w:noHBand="0" w:noVBand="1"/>
      </w:tblPr>
      <w:tblGrid>
        <w:gridCol w:w="5904"/>
        <w:gridCol w:w="980"/>
        <w:gridCol w:w="980"/>
        <w:gridCol w:w="980"/>
        <w:gridCol w:w="980"/>
        <w:gridCol w:w="980"/>
      </w:tblGrid>
      <w:tr w:rsidR="00B5503C" w:rsidRPr="00CC124A" w14:paraId="6733BE73" w14:textId="77777777" w:rsidTr="00B5503C">
        <w:trPr>
          <w:trHeight w:val="290"/>
          <w:jc w:val="center"/>
        </w:trPr>
        <w:tc>
          <w:tcPr>
            <w:tcW w:w="5904" w:type="dxa"/>
            <w:noWrap/>
            <w:vAlign w:val="center"/>
            <w:hideMark/>
          </w:tcPr>
          <w:p w14:paraId="2A4529D2" w14:textId="77777777" w:rsidR="00F95321" w:rsidRPr="00CC124A" w:rsidRDefault="00F95321" w:rsidP="00641B25">
            <w:pP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 </w:t>
            </w:r>
          </w:p>
        </w:tc>
        <w:tc>
          <w:tcPr>
            <w:tcW w:w="980" w:type="dxa"/>
            <w:noWrap/>
            <w:vAlign w:val="center"/>
            <w:hideMark/>
          </w:tcPr>
          <w:p w14:paraId="3A621B2E" w14:textId="77777777" w:rsidR="00F95321" w:rsidRPr="00CC124A" w:rsidRDefault="00F95321" w:rsidP="00641B25">
            <w:pPr>
              <w:jc w:val="right"/>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1999</w:t>
            </w:r>
          </w:p>
        </w:tc>
        <w:tc>
          <w:tcPr>
            <w:tcW w:w="980" w:type="dxa"/>
            <w:noWrap/>
            <w:vAlign w:val="center"/>
            <w:hideMark/>
          </w:tcPr>
          <w:p w14:paraId="60B98EE6" w14:textId="77777777" w:rsidR="00F95321" w:rsidRPr="00CC124A" w:rsidRDefault="00F95321" w:rsidP="00641B25">
            <w:pPr>
              <w:jc w:val="right"/>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2005</w:t>
            </w:r>
          </w:p>
        </w:tc>
        <w:tc>
          <w:tcPr>
            <w:tcW w:w="980" w:type="dxa"/>
            <w:noWrap/>
            <w:vAlign w:val="center"/>
            <w:hideMark/>
          </w:tcPr>
          <w:p w14:paraId="49ABE991" w14:textId="77777777" w:rsidR="00F95321" w:rsidRPr="00CC124A" w:rsidRDefault="00F95321" w:rsidP="00641B25">
            <w:pPr>
              <w:jc w:val="right"/>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2012</w:t>
            </w:r>
          </w:p>
        </w:tc>
        <w:tc>
          <w:tcPr>
            <w:tcW w:w="980" w:type="dxa"/>
            <w:noWrap/>
            <w:vAlign w:val="center"/>
            <w:hideMark/>
          </w:tcPr>
          <w:p w14:paraId="632C3B9C" w14:textId="77777777" w:rsidR="00F95321" w:rsidRPr="00CC124A" w:rsidRDefault="00F95321" w:rsidP="00641B25">
            <w:pPr>
              <w:jc w:val="right"/>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2013</w:t>
            </w:r>
          </w:p>
        </w:tc>
        <w:tc>
          <w:tcPr>
            <w:tcW w:w="980" w:type="dxa"/>
            <w:noWrap/>
            <w:vAlign w:val="center"/>
            <w:hideMark/>
          </w:tcPr>
          <w:p w14:paraId="32F7CB01" w14:textId="77777777" w:rsidR="00F95321" w:rsidRPr="00CC124A" w:rsidRDefault="00F95321" w:rsidP="00641B25">
            <w:pPr>
              <w:jc w:val="right"/>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2016</w:t>
            </w:r>
          </w:p>
        </w:tc>
      </w:tr>
      <w:tr w:rsidR="00B5503C" w:rsidRPr="00CC124A" w14:paraId="4F2BC7D8" w14:textId="77777777" w:rsidTr="00B5503C">
        <w:trPr>
          <w:trHeight w:val="288"/>
          <w:jc w:val="center"/>
        </w:trPr>
        <w:tc>
          <w:tcPr>
            <w:tcW w:w="5904" w:type="dxa"/>
            <w:noWrap/>
            <w:vAlign w:val="center"/>
            <w:hideMark/>
          </w:tcPr>
          <w:p w14:paraId="471E40DB" w14:textId="77777777" w:rsidR="00F95321" w:rsidRPr="00CC124A" w:rsidRDefault="00F95321" w:rsidP="00641B25">
            <w:pPr>
              <w:rPr>
                <w:rFonts w:ascii="Times New Roman" w:eastAsia="Times New Roman" w:hAnsi="Times New Roman" w:cs="Times New Roman"/>
                <w:sz w:val="20"/>
                <w:szCs w:val="20"/>
              </w:rPr>
            </w:pPr>
            <w:r w:rsidRPr="00CC124A">
              <w:rPr>
                <w:rFonts w:ascii="Times New Roman" w:eastAsia="Times New Roman" w:hAnsi="Times New Roman" w:cs="Times New Roman"/>
                <w:sz w:val="20"/>
                <w:szCs w:val="20"/>
              </w:rPr>
              <w:t>Rural food processing (LSMS)</w:t>
            </w:r>
          </w:p>
        </w:tc>
        <w:tc>
          <w:tcPr>
            <w:tcW w:w="980" w:type="dxa"/>
            <w:noWrap/>
            <w:vAlign w:val="center"/>
            <w:hideMark/>
          </w:tcPr>
          <w:p w14:paraId="6EAAEDCB"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130*</w:t>
            </w:r>
          </w:p>
        </w:tc>
        <w:tc>
          <w:tcPr>
            <w:tcW w:w="980" w:type="dxa"/>
            <w:noWrap/>
            <w:vAlign w:val="center"/>
            <w:hideMark/>
          </w:tcPr>
          <w:p w14:paraId="2E717597"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251*</w:t>
            </w:r>
          </w:p>
        </w:tc>
        <w:tc>
          <w:tcPr>
            <w:tcW w:w="980" w:type="dxa"/>
            <w:noWrap/>
            <w:vAlign w:val="center"/>
            <w:hideMark/>
          </w:tcPr>
          <w:p w14:paraId="51B8EA9C"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540</w:t>
            </w:r>
          </w:p>
        </w:tc>
        <w:tc>
          <w:tcPr>
            <w:tcW w:w="980" w:type="dxa"/>
            <w:noWrap/>
            <w:vAlign w:val="center"/>
            <w:hideMark/>
          </w:tcPr>
          <w:p w14:paraId="3E0D4AD3"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424*</w:t>
            </w:r>
          </w:p>
        </w:tc>
        <w:tc>
          <w:tcPr>
            <w:tcW w:w="980" w:type="dxa"/>
            <w:noWrap/>
            <w:vAlign w:val="center"/>
            <w:hideMark/>
          </w:tcPr>
          <w:p w14:paraId="1EFC4690"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837</w:t>
            </w:r>
          </w:p>
        </w:tc>
      </w:tr>
      <w:tr w:rsidR="00B5503C" w:rsidRPr="00CC124A" w14:paraId="3E613772" w14:textId="77777777" w:rsidTr="00B5503C">
        <w:trPr>
          <w:trHeight w:val="288"/>
          <w:jc w:val="center"/>
        </w:trPr>
        <w:tc>
          <w:tcPr>
            <w:tcW w:w="5904" w:type="dxa"/>
            <w:noWrap/>
            <w:vAlign w:val="center"/>
            <w:hideMark/>
          </w:tcPr>
          <w:p w14:paraId="5D9E98E3" w14:textId="77777777" w:rsidR="00F95321" w:rsidRPr="00CC124A" w:rsidRDefault="00F95321" w:rsidP="00641B25">
            <w:pPr>
              <w:rPr>
                <w:rFonts w:ascii="Times New Roman" w:eastAsia="Times New Roman" w:hAnsi="Times New Roman" w:cs="Times New Roman"/>
                <w:sz w:val="20"/>
                <w:szCs w:val="20"/>
              </w:rPr>
            </w:pPr>
            <w:r w:rsidRPr="00CC124A">
              <w:rPr>
                <w:rFonts w:ascii="Times New Roman" w:eastAsia="Times New Roman" w:hAnsi="Times New Roman" w:cs="Times New Roman"/>
                <w:sz w:val="20"/>
                <w:szCs w:val="20"/>
              </w:rPr>
              <w:t>Rural non-food processing (LFS)</w:t>
            </w:r>
          </w:p>
        </w:tc>
        <w:tc>
          <w:tcPr>
            <w:tcW w:w="980" w:type="dxa"/>
            <w:noWrap/>
            <w:vAlign w:val="center"/>
            <w:hideMark/>
          </w:tcPr>
          <w:p w14:paraId="285C1A21"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273</w:t>
            </w:r>
          </w:p>
        </w:tc>
        <w:tc>
          <w:tcPr>
            <w:tcW w:w="980" w:type="dxa"/>
            <w:noWrap/>
            <w:vAlign w:val="center"/>
            <w:hideMark/>
          </w:tcPr>
          <w:p w14:paraId="70631969"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312</w:t>
            </w:r>
          </w:p>
        </w:tc>
        <w:tc>
          <w:tcPr>
            <w:tcW w:w="980" w:type="dxa"/>
            <w:noWrap/>
            <w:vAlign w:val="center"/>
            <w:hideMark/>
          </w:tcPr>
          <w:p w14:paraId="24D2BE8B"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783*</w:t>
            </w:r>
          </w:p>
        </w:tc>
        <w:tc>
          <w:tcPr>
            <w:tcW w:w="980" w:type="dxa"/>
            <w:noWrap/>
            <w:vAlign w:val="center"/>
            <w:hideMark/>
          </w:tcPr>
          <w:p w14:paraId="43E49577"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893</w:t>
            </w:r>
          </w:p>
        </w:tc>
        <w:tc>
          <w:tcPr>
            <w:tcW w:w="980" w:type="dxa"/>
            <w:noWrap/>
            <w:vAlign w:val="center"/>
            <w:hideMark/>
          </w:tcPr>
          <w:p w14:paraId="3346CE33"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1,325*</w:t>
            </w:r>
          </w:p>
        </w:tc>
      </w:tr>
      <w:tr w:rsidR="00B5503C" w:rsidRPr="00CC124A" w14:paraId="10525ECD" w14:textId="77777777" w:rsidTr="00B5503C">
        <w:trPr>
          <w:trHeight w:val="288"/>
          <w:jc w:val="center"/>
        </w:trPr>
        <w:tc>
          <w:tcPr>
            <w:tcW w:w="5904" w:type="dxa"/>
            <w:noWrap/>
            <w:vAlign w:val="center"/>
            <w:hideMark/>
          </w:tcPr>
          <w:p w14:paraId="3298DDBE" w14:textId="2675B8A0" w:rsidR="00F95321" w:rsidRPr="00CC124A" w:rsidRDefault="00F95321" w:rsidP="00641B25">
            <w:pPr>
              <w:rPr>
                <w:rFonts w:ascii="Times New Roman" w:eastAsia="Times New Roman" w:hAnsi="Times New Roman" w:cs="Times New Roman"/>
                <w:sz w:val="20"/>
                <w:szCs w:val="20"/>
              </w:rPr>
            </w:pPr>
            <w:r w:rsidRPr="00CC124A">
              <w:rPr>
                <w:rFonts w:ascii="Times New Roman" w:eastAsia="Times New Roman" w:hAnsi="Times New Roman" w:cs="Times New Roman"/>
                <w:sz w:val="20"/>
                <w:szCs w:val="20"/>
              </w:rPr>
              <w:t xml:space="preserve">Urban </w:t>
            </w:r>
            <w:r w:rsidR="00B5503C">
              <w:rPr>
                <w:rFonts w:ascii="Times New Roman" w:eastAsia="Times New Roman" w:hAnsi="Times New Roman" w:cs="Times New Roman"/>
                <w:sz w:val="20"/>
                <w:szCs w:val="20"/>
              </w:rPr>
              <w:t xml:space="preserve">manufacturing </w:t>
            </w:r>
            <w:r w:rsidRPr="00CC124A">
              <w:rPr>
                <w:rFonts w:ascii="Times New Roman" w:eastAsia="Times New Roman" w:hAnsi="Times New Roman" w:cs="Times New Roman"/>
                <w:sz w:val="20"/>
                <w:szCs w:val="20"/>
              </w:rPr>
              <w:t>(LFS, UEU)</w:t>
            </w:r>
          </w:p>
        </w:tc>
        <w:tc>
          <w:tcPr>
            <w:tcW w:w="980" w:type="dxa"/>
            <w:noWrap/>
            <w:vAlign w:val="center"/>
            <w:hideMark/>
          </w:tcPr>
          <w:p w14:paraId="2D7F86E2"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379</w:t>
            </w:r>
          </w:p>
        </w:tc>
        <w:tc>
          <w:tcPr>
            <w:tcW w:w="980" w:type="dxa"/>
            <w:noWrap/>
            <w:vAlign w:val="center"/>
            <w:hideMark/>
          </w:tcPr>
          <w:p w14:paraId="1066632C"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493</w:t>
            </w:r>
          </w:p>
        </w:tc>
        <w:tc>
          <w:tcPr>
            <w:tcW w:w="980" w:type="dxa"/>
            <w:noWrap/>
            <w:vAlign w:val="center"/>
            <w:hideMark/>
          </w:tcPr>
          <w:p w14:paraId="42F74502"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757</w:t>
            </w:r>
          </w:p>
        </w:tc>
        <w:tc>
          <w:tcPr>
            <w:tcW w:w="980" w:type="dxa"/>
            <w:noWrap/>
            <w:vAlign w:val="center"/>
            <w:hideMark/>
          </w:tcPr>
          <w:p w14:paraId="231F3625"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919</w:t>
            </w:r>
          </w:p>
        </w:tc>
        <w:tc>
          <w:tcPr>
            <w:tcW w:w="980" w:type="dxa"/>
            <w:noWrap/>
            <w:vAlign w:val="center"/>
            <w:hideMark/>
          </w:tcPr>
          <w:p w14:paraId="7F6CE9CD"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1,010</w:t>
            </w:r>
          </w:p>
        </w:tc>
      </w:tr>
      <w:tr w:rsidR="00B5503C" w:rsidRPr="00CC124A" w14:paraId="032EE1C2" w14:textId="77777777" w:rsidTr="00B5503C">
        <w:trPr>
          <w:trHeight w:val="288"/>
          <w:jc w:val="center"/>
        </w:trPr>
        <w:tc>
          <w:tcPr>
            <w:tcW w:w="5904" w:type="dxa"/>
            <w:noWrap/>
            <w:vAlign w:val="center"/>
            <w:hideMark/>
          </w:tcPr>
          <w:p w14:paraId="430BA5BB" w14:textId="4E556D97" w:rsidR="00F95321" w:rsidRPr="00CC124A" w:rsidRDefault="00B5503C" w:rsidP="00641B25">
            <w:pPr>
              <w:rPr>
                <w:rFonts w:ascii="Times New Roman" w:hAnsi="Times New Roman" w:cs="Times New Roman"/>
                <w:color w:val="000000"/>
                <w:sz w:val="20"/>
                <w:szCs w:val="20"/>
              </w:rPr>
            </w:pPr>
            <w:r>
              <w:rPr>
                <w:rFonts w:ascii="Times New Roman" w:hAnsi="Times New Roman" w:cs="Times New Roman"/>
                <w:color w:val="000000"/>
                <w:sz w:val="20"/>
                <w:szCs w:val="20"/>
              </w:rPr>
              <w:t>Estimated t</w:t>
            </w:r>
            <w:r w:rsidR="00F95321" w:rsidRPr="00CC124A">
              <w:rPr>
                <w:rFonts w:ascii="Times New Roman" w:hAnsi="Times New Roman" w:cs="Times New Roman"/>
                <w:color w:val="000000"/>
                <w:sz w:val="20"/>
                <w:szCs w:val="20"/>
              </w:rPr>
              <w:t>otal manufacturing</w:t>
            </w:r>
          </w:p>
        </w:tc>
        <w:tc>
          <w:tcPr>
            <w:tcW w:w="980" w:type="dxa"/>
            <w:noWrap/>
            <w:vAlign w:val="center"/>
            <w:hideMark/>
          </w:tcPr>
          <w:p w14:paraId="30E1C6CF"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782</w:t>
            </w:r>
          </w:p>
        </w:tc>
        <w:tc>
          <w:tcPr>
            <w:tcW w:w="980" w:type="dxa"/>
            <w:noWrap/>
            <w:vAlign w:val="center"/>
            <w:hideMark/>
          </w:tcPr>
          <w:p w14:paraId="6094BECD"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1,055</w:t>
            </w:r>
          </w:p>
        </w:tc>
        <w:tc>
          <w:tcPr>
            <w:tcW w:w="980" w:type="dxa"/>
            <w:noWrap/>
            <w:vAlign w:val="center"/>
            <w:hideMark/>
          </w:tcPr>
          <w:p w14:paraId="4568A2E0"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2,080</w:t>
            </w:r>
          </w:p>
        </w:tc>
        <w:tc>
          <w:tcPr>
            <w:tcW w:w="980" w:type="dxa"/>
            <w:noWrap/>
            <w:vAlign w:val="center"/>
            <w:hideMark/>
          </w:tcPr>
          <w:p w14:paraId="5A3D5480"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2,236</w:t>
            </w:r>
          </w:p>
        </w:tc>
        <w:tc>
          <w:tcPr>
            <w:tcW w:w="980" w:type="dxa"/>
            <w:noWrap/>
            <w:vAlign w:val="center"/>
            <w:hideMark/>
          </w:tcPr>
          <w:p w14:paraId="7DDF8644" w14:textId="77777777" w:rsidR="00F95321" w:rsidRPr="00CC124A" w:rsidRDefault="00F95321" w:rsidP="00641B25">
            <w:pPr>
              <w:jc w:val="center"/>
              <w:rPr>
                <w:rFonts w:ascii="Times New Roman" w:eastAsia="Times New Roman" w:hAnsi="Times New Roman" w:cs="Times New Roman"/>
                <w:color w:val="000000"/>
                <w:sz w:val="20"/>
                <w:szCs w:val="20"/>
              </w:rPr>
            </w:pPr>
            <w:r w:rsidRPr="00CC124A">
              <w:rPr>
                <w:rFonts w:ascii="Times New Roman" w:eastAsia="Times New Roman" w:hAnsi="Times New Roman" w:cs="Times New Roman"/>
                <w:color w:val="000000"/>
                <w:sz w:val="20"/>
                <w:szCs w:val="20"/>
              </w:rPr>
              <w:t>3,172</w:t>
            </w:r>
          </w:p>
        </w:tc>
      </w:tr>
      <w:tr w:rsidR="00B5503C" w:rsidRPr="00CC124A" w14:paraId="3A6441FC" w14:textId="77777777" w:rsidTr="00B5503C">
        <w:trPr>
          <w:trHeight w:val="288"/>
          <w:jc w:val="center"/>
        </w:trPr>
        <w:tc>
          <w:tcPr>
            <w:tcW w:w="5904" w:type="dxa"/>
            <w:noWrap/>
            <w:vAlign w:val="center"/>
          </w:tcPr>
          <w:p w14:paraId="2597BB8F" w14:textId="49EA5950" w:rsidR="00B5503C" w:rsidRPr="00CC124A" w:rsidRDefault="00B5503C" w:rsidP="00B5503C">
            <w:pPr>
              <w:rPr>
                <w:rFonts w:ascii="Times New Roman" w:hAnsi="Times New Roman" w:cs="Times New Roman"/>
                <w:color w:val="000000"/>
                <w:sz w:val="20"/>
                <w:szCs w:val="20"/>
              </w:rPr>
            </w:pPr>
            <w:r>
              <w:rPr>
                <w:rFonts w:ascii="Times New Roman" w:hAnsi="Times New Roman" w:cs="Times New Roman"/>
                <w:color w:val="000000"/>
                <w:sz w:val="20"/>
                <w:szCs w:val="20"/>
              </w:rPr>
              <w:t>Share of manufacturing in national total employment (new estimates)</w:t>
            </w:r>
          </w:p>
        </w:tc>
        <w:tc>
          <w:tcPr>
            <w:tcW w:w="980" w:type="dxa"/>
            <w:noWrap/>
            <w:vAlign w:val="center"/>
          </w:tcPr>
          <w:p w14:paraId="49031586" w14:textId="748AA33D" w:rsidR="00B5503C" w:rsidRPr="00CC124A" w:rsidRDefault="00B5503C" w:rsidP="00B5503C">
            <w:pPr>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980" w:type="dxa"/>
            <w:noWrap/>
            <w:vAlign w:val="center"/>
          </w:tcPr>
          <w:p w14:paraId="165D857B" w14:textId="05A53F6B" w:rsidR="00B5503C" w:rsidRPr="00CC124A" w:rsidRDefault="00B5503C" w:rsidP="00B5503C">
            <w:pPr>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980" w:type="dxa"/>
            <w:noWrap/>
            <w:vAlign w:val="center"/>
          </w:tcPr>
          <w:p w14:paraId="1CD68452" w14:textId="2F7EA0D9" w:rsidR="00B5503C" w:rsidRPr="00CC124A" w:rsidRDefault="00B5503C" w:rsidP="00B5503C">
            <w:pPr>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rPr>
              <w:t>4.9%</w:t>
            </w:r>
          </w:p>
        </w:tc>
        <w:tc>
          <w:tcPr>
            <w:tcW w:w="980" w:type="dxa"/>
            <w:noWrap/>
            <w:vAlign w:val="center"/>
          </w:tcPr>
          <w:p w14:paraId="6C9EFFF3" w14:textId="27ED686B" w:rsidR="00B5503C" w:rsidRPr="00CC124A" w:rsidRDefault="00B5503C" w:rsidP="00B5503C">
            <w:pPr>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980" w:type="dxa"/>
            <w:noWrap/>
            <w:vAlign w:val="center"/>
          </w:tcPr>
          <w:p w14:paraId="2ACDF607" w14:textId="59CBA491" w:rsidR="00B5503C" w:rsidRPr="00CC124A" w:rsidRDefault="00B5503C" w:rsidP="00B5503C">
            <w:pPr>
              <w:jc w:val="center"/>
              <w:rPr>
                <w:rFonts w:ascii="Times New Roman" w:hAnsi="Times New Roman" w:cs="Times New Roman"/>
                <w:color w:val="000000"/>
                <w:sz w:val="20"/>
                <w:szCs w:val="20"/>
              </w:rPr>
            </w:pPr>
            <w:r>
              <w:rPr>
                <w:rFonts w:ascii="Times New Roman" w:eastAsia="Times New Roman" w:hAnsi="Times New Roman" w:cs="Times New Roman"/>
                <w:color w:val="000000"/>
                <w:sz w:val="20"/>
                <w:szCs w:val="20"/>
              </w:rPr>
              <w:t>6.5%</w:t>
            </w:r>
          </w:p>
        </w:tc>
      </w:tr>
      <w:tr w:rsidR="00B5503C" w:rsidRPr="00CC124A" w14:paraId="164E69E9" w14:textId="77777777" w:rsidTr="00B5503C">
        <w:trPr>
          <w:trHeight w:val="288"/>
          <w:jc w:val="center"/>
        </w:trPr>
        <w:tc>
          <w:tcPr>
            <w:tcW w:w="5904" w:type="dxa"/>
            <w:noWrap/>
            <w:vAlign w:val="center"/>
          </w:tcPr>
          <w:p w14:paraId="3344396A" w14:textId="16CACDF7" w:rsidR="00B5503C" w:rsidRPr="00CC124A" w:rsidRDefault="00B5503C" w:rsidP="00B5503C">
            <w:pPr>
              <w:rPr>
                <w:rFonts w:ascii="Times New Roman" w:hAnsi="Times New Roman" w:cs="Times New Roman"/>
                <w:color w:val="000000"/>
                <w:sz w:val="20"/>
                <w:szCs w:val="20"/>
              </w:rPr>
            </w:pPr>
            <w:r w:rsidRPr="00CC124A">
              <w:rPr>
                <w:rFonts w:ascii="Times New Roman" w:hAnsi="Times New Roman" w:cs="Times New Roman"/>
                <w:color w:val="000000"/>
                <w:sz w:val="20"/>
                <w:szCs w:val="20"/>
              </w:rPr>
              <w:t>Share of manufacturing in national employment (</w:t>
            </w:r>
            <w:r>
              <w:rPr>
                <w:rFonts w:ascii="Times New Roman" w:hAnsi="Times New Roman" w:cs="Times New Roman"/>
                <w:color w:val="000000"/>
                <w:sz w:val="20"/>
                <w:szCs w:val="20"/>
              </w:rPr>
              <w:t xml:space="preserve">original </w:t>
            </w:r>
            <w:r w:rsidRPr="00CC124A">
              <w:rPr>
                <w:rFonts w:ascii="Times New Roman" w:hAnsi="Times New Roman" w:cs="Times New Roman"/>
                <w:color w:val="000000"/>
                <w:sz w:val="20"/>
                <w:szCs w:val="20"/>
              </w:rPr>
              <w:t>ETD)</w:t>
            </w:r>
          </w:p>
        </w:tc>
        <w:tc>
          <w:tcPr>
            <w:tcW w:w="980" w:type="dxa"/>
            <w:noWrap/>
            <w:vAlign w:val="center"/>
          </w:tcPr>
          <w:p w14:paraId="5B5B5B51" w14:textId="631C0A8F" w:rsidR="00B5503C" w:rsidRPr="00CC124A" w:rsidRDefault="00B5503C" w:rsidP="00B5503C">
            <w:pPr>
              <w:jc w:val="center"/>
              <w:rPr>
                <w:rFonts w:ascii="Times New Roman" w:hAnsi="Times New Roman" w:cs="Times New Roman"/>
                <w:color w:val="000000"/>
                <w:sz w:val="20"/>
                <w:szCs w:val="20"/>
              </w:rPr>
            </w:pPr>
            <w:r>
              <w:rPr>
                <w:rFonts w:ascii="Times New Roman" w:hAnsi="Times New Roman" w:cs="Times New Roman"/>
                <w:color w:val="000000"/>
                <w:sz w:val="20"/>
                <w:szCs w:val="20"/>
              </w:rPr>
              <w:t>3.4</w:t>
            </w:r>
            <w:r w:rsidRPr="00CC124A">
              <w:rPr>
                <w:rFonts w:ascii="Times New Roman" w:hAnsi="Times New Roman" w:cs="Times New Roman"/>
                <w:color w:val="000000"/>
                <w:sz w:val="20"/>
                <w:szCs w:val="20"/>
              </w:rPr>
              <w:t>%</w:t>
            </w:r>
          </w:p>
        </w:tc>
        <w:tc>
          <w:tcPr>
            <w:tcW w:w="980" w:type="dxa"/>
            <w:noWrap/>
            <w:vAlign w:val="center"/>
          </w:tcPr>
          <w:p w14:paraId="5ACB1B06" w14:textId="45CDEDE9" w:rsidR="00B5503C" w:rsidRPr="00CC124A" w:rsidRDefault="00B5503C" w:rsidP="00B5503C">
            <w:pPr>
              <w:jc w:val="center"/>
              <w:rPr>
                <w:rFonts w:ascii="Times New Roman" w:hAnsi="Times New Roman" w:cs="Times New Roman"/>
                <w:color w:val="000000"/>
                <w:sz w:val="20"/>
                <w:szCs w:val="20"/>
              </w:rPr>
            </w:pPr>
            <w:r>
              <w:rPr>
                <w:rFonts w:ascii="Times New Roman" w:hAnsi="Times New Roman" w:cs="Times New Roman"/>
                <w:color w:val="000000"/>
                <w:sz w:val="20"/>
                <w:szCs w:val="20"/>
              </w:rPr>
              <w:t>4.7</w:t>
            </w:r>
            <w:r w:rsidRPr="00CC124A">
              <w:rPr>
                <w:rFonts w:ascii="Times New Roman" w:hAnsi="Times New Roman" w:cs="Times New Roman"/>
                <w:color w:val="000000"/>
                <w:sz w:val="20"/>
                <w:szCs w:val="20"/>
              </w:rPr>
              <w:t>%</w:t>
            </w:r>
          </w:p>
        </w:tc>
        <w:tc>
          <w:tcPr>
            <w:tcW w:w="980" w:type="dxa"/>
            <w:noWrap/>
            <w:vAlign w:val="center"/>
          </w:tcPr>
          <w:p w14:paraId="3CD8A4E6" w14:textId="082CD4F2" w:rsidR="00B5503C" w:rsidRPr="00CC124A" w:rsidRDefault="00B5503C" w:rsidP="00B5503C">
            <w:pPr>
              <w:jc w:val="center"/>
              <w:rPr>
                <w:rFonts w:ascii="Times New Roman" w:hAnsi="Times New Roman" w:cs="Times New Roman"/>
                <w:color w:val="000000"/>
                <w:sz w:val="20"/>
                <w:szCs w:val="20"/>
              </w:rPr>
            </w:pPr>
            <w:r>
              <w:rPr>
                <w:rFonts w:ascii="Times New Roman" w:hAnsi="Times New Roman" w:cs="Times New Roman"/>
                <w:color w:val="000000"/>
                <w:sz w:val="20"/>
                <w:szCs w:val="20"/>
              </w:rPr>
              <w:t>8.0</w:t>
            </w:r>
            <w:r w:rsidRPr="00CC124A">
              <w:rPr>
                <w:rFonts w:ascii="Times New Roman" w:hAnsi="Times New Roman" w:cs="Times New Roman"/>
                <w:color w:val="000000"/>
                <w:sz w:val="20"/>
                <w:szCs w:val="20"/>
              </w:rPr>
              <w:t>%</w:t>
            </w:r>
          </w:p>
        </w:tc>
        <w:tc>
          <w:tcPr>
            <w:tcW w:w="980" w:type="dxa"/>
            <w:noWrap/>
            <w:vAlign w:val="center"/>
          </w:tcPr>
          <w:p w14:paraId="5E3ADEB9" w14:textId="3AF1FE76" w:rsidR="00B5503C" w:rsidRPr="00CC124A" w:rsidRDefault="00B5503C" w:rsidP="00B5503C">
            <w:pPr>
              <w:jc w:val="center"/>
              <w:rPr>
                <w:rFonts w:ascii="Times New Roman" w:hAnsi="Times New Roman" w:cs="Times New Roman"/>
                <w:color w:val="000000"/>
                <w:sz w:val="20"/>
                <w:szCs w:val="20"/>
              </w:rPr>
            </w:pPr>
            <w:r>
              <w:rPr>
                <w:rFonts w:ascii="Times New Roman" w:hAnsi="Times New Roman" w:cs="Times New Roman"/>
                <w:color w:val="000000"/>
                <w:sz w:val="20"/>
                <w:szCs w:val="20"/>
              </w:rPr>
              <w:t>8.4</w:t>
            </w:r>
            <w:r w:rsidRPr="00CC124A">
              <w:rPr>
                <w:rFonts w:ascii="Times New Roman" w:hAnsi="Times New Roman" w:cs="Times New Roman"/>
                <w:color w:val="000000"/>
                <w:sz w:val="20"/>
                <w:szCs w:val="20"/>
              </w:rPr>
              <w:t>%</w:t>
            </w:r>
          </w:p>
        </w:tc>
        <w:tc>
          <w:tcPr>
            <w:tcW w:w="980" w:type="dxa"/>
            <w:noWrap/>
            <w:vAlign w:val="center"/>
          </w:tcPr>
          <w:p w14:paraId="137F50E0" w14:textId="70BBD7B2" w:rsidR="00B5503C" w:rsidRPr="00CC124A" w:rsidRDefault="00B5503C" w:rsidP="00B5503C">
            <w:pPr>
              <w:jc w:val="center"/>
              <w:rPr>
                <w:rFonts w:ascii="Times New Roman" w:hAnsi="Times New Roman" w:cs="Times New Roman"/>
                <w:color w:val="000000"/>
                <w:sz w:val="20"/>
                <w:szCs w:val="20"/>
              </w:rPr>
            </w:pPr>
            <w:r>
              <w:rPr>
                <w:rFonts w:ascii="Times New Roman" w:hAnsi="Times New Roman" w:cs="Times New Roman"/>
                <w:color w:val="000000"/>
                <w:sz w:val="20"/>
                <w:szCs w:val="20"/>
              </w:rPr>
              <w:t>8.9</w:t>
            </w:r>
            <w:r w:rsidRPr="00CC124A">
              <w:rPr>
                <w:rFonts w:ascii="Times New Roman" w:hAnsi="Times New Roman" w:cs="Times New Roman"/>
                <w:color w:val="000000"/>
                <w:sz w:val="20"/>
                <w:szCs w:val="20"/>
              </w:rPr>
              <w:t>%</w:t>
            </w:r>
          </w:p>
        </w:tc>
      </w:tr>
    </w:tbl>
    <w:p w14:paraId="27EB4B31" w14:textId="72EB6D44" w:rsidR="00B5503C" w:rsidRDefault="00B5503C" w:rsidP="00B5503C">
      <w:pPr>
        <w:spacing w:line="240" w:lineRule="auto"/>
        <w:rPr>
          <w:rFonts w:ascii="Times New Roman" w:hAnsi="Times New Roman" w:cs="Times New Roman"/>
          <w:sz w:val="20"/>
          <w:szCs w:val="20"/>
        </w:rPr>
      </w:pPr>
      <w:r w:rsidRPr="00297BE0">
        <w:rPr>
          <w:rFonts w:ascii="Times New Roman" w:hAnsi="Times New Roman" w:cs="Times New Roman"/>
          <w:i/>
          <w:iCs/>
          <w:sz w:val="20"/>
          <w:szCs w:val="20"/>
        </w:rPr>
        <w:t>Note</w:t>
      </w:r>
      <w:r w:rsidRPr="00297BE0">
        <w:rPr>
          <w:rFonts w:ascii="Times New Roman" w:hAnsi="Times New Roman" w:cs="Times New Roman"/>
          <w:sz w:val="20"/>
          <w:szCs w:val="20"/>
        </w:rPr>
        <w:t xml:space="preserve">: </w:t>
      </w:r>
    </w:p>
    <w:p w14:paraId="08B05811" w14:textId="6ED5250E" w:rsidR="00B5503C" w:rsidRDefault="00B5503C" w:rsidP="00B5503C">
      <w:pPr>
        <w:pStyle w:val="ListParagraph"/>
        <w:numPr>
          <w:ilvl w:val="0"/>
          <w:numId w:val="13"/>
        </w:numPr>
        <w:spacing w:line="240" w:lineRule="auto"/>
        <w:ind w:left="270"/>
        <w:rPr>
          <w:rFonts w:ascii="Times New Roman" w:hAnsi="Times New Roman" w:cs="Times New Roman"/>
          <w:sz w:val="20"/>
          <w:szCs w:val="20"/>
        </w:rPr>
      </w:pPr>
      <w:r w:rsidRPr="00641B25">
        <w:rPr>
          <w:rFonts w:ascii="Times New Roman" w:hAnsi="Times New Roman" w:cs="Times New Roman"/>
          <w:sz w:val="20"/>
          <w:szCs w:val="20"/>
        </w:rPr>
        <w:t>This table shows the estimated number</w:t>
      </w:r>
      <w:r>
        <w:rPr>
          <w:rFonts w:ascii="Times New Roman" w:hAnsi="Times New Roman" w:cs="Times New Roman"/>
          <w:sz w:val="20"/>
          <w:szCs w:val="20"/>
        </w:rPr>
        <w:t>s</w:t>
      </w:r>
      <w:r w:rsidRPr="00641B25">
        <w:rPr>
          <w:rFonts w:ascii="Times New Roman" w:hAnsi="Times New Roman" w:cs="Times New Roman"/>
          <w:sz w:val="20"/>
          <w:szCs w:val="20"/>
        </w:rPr>
        <w:t xml:space="preserve"> of </w:t>
      </w:r>
      <w:r>
        <w:rPr>
          <w:rFonts w:ascii="Times New Roman" w:hAnsi="Times New Roman" w:cs="Times New Roman"/>
          <w:sz w:val="20"/>
          <w:szCs w:val="20"/>
        </w:rPr>
        <w:t xml:space="preserve">Ethiopia’s total manufacturing employment, which are the aggregate of </w:t>
      </w:r>
      <w:r w:rsidRPr="00641B25">
        <w:rPr>
          <w:rFonts w:ascii="Times New Roman" w:hAnsi="Times New Roman" w:cs="Times New Roman"/>
          <w:sz w:val="20"/>
          <w:szCs w:val="20"/>
        </w:rPr>
        <w:t xml:space="preserve">workers in rural food processing </w:t>
      </w:r>
      <w:r>
        <w:rPr>
          <w:rFonts w:ascii="Times New Roman" w:hAnsi="Times New Roman" w:cs="Times New Roman"/>
          <w:sz w:val="20"/>
          <w:szCs w:val="20"/>
        </w:rPr>
        <w:t xml:space="preserve">estimated from </w:t>
      </w:r>
      <w:r w:rsidRPr="00641B25">
        <w:rPr>
          <w:rFonts w:ascii="Times New Roman" w:hAnsi="Times New Roman" w:cs="Times New Roman"/>
          <w:sz w:val="20"/>
          <w:szCs w:val="20"/>
        </w:rPr>
        <w:t xml:space="preserve">LSMS </w:t>
      </w:r>
      <w:r>
        <w:rPr>
          <w:rFonts w:ascii="Times New Roman" w:hAnsi="Times New Roman" w:cs="Times New Roman"/>
          <w:sz w:val="20"/>
          <w:szCs w:val="20"/>
        </w:rPr>
        <w:t xml:space="preserve">for </w:t>
      </w:r>
      <w:r w:rsidRPr="00641B25">
        <w:rPr>
          <w:rFonts w:ascii="Times New Roman" w:hAnsi="Times New Roman" w:cs="Times New Roman"/>
          <w:sz w:val="20"/>
          <w:szCs w:val="20"/>
        </w:rPr>
        <w:t>2012 and 2016</w:t>
      </w:r>
      <w:r>
        <w:rPr>
          <w:rFonts w:ascii="Times New Roman" w:hAnsi="Times New Roman" w:cs="Times New Roman"/>
          <w:sz w:val="20"/>
          <w:szCs w:val="20"/>
        </w:rPr>
        <w:t xml:space="preserve"> in row 1</w:t>
      </w:r>
      <w:r w:rsidRPr="00641B25">
        <w:rPr>
          <w:rFonts w:ascii="Times New Roman" w:hAnsi="Times New Roman" w:cs="Times New Roman"/>
          <w:sz w:val="20"/>
          <w:szCs w:val="20"/>
        </w:rPr>
        <w:t xml:space="preserve">, rural non-food processing </w:t>
      </w:r>
      <w:r>
        <w:rPr>
          <w:rFonts w:ascii="Times New Roman" w:hAnsi="Times New Roman" w:cs="Times New Roman"/>
          <w:sz w:val="20"/>
          <w:szCs w:val="20"/>
        </w:rPr>
        <w:t xml:space="preserve">estimated from </w:t>
      </w:r>
      <w:r w:rsidRPr="00641B25">
        <w:rPr>
          <w:rFonts w:ascii="Times New Roman" w:hAnsi="Times New Roman" w:cs="Times New Roman"/>
          <w:sz w:val="20"/>
          <w:szCs w:val="20"/>
        </w:rPr>
        <w:t xml:space="preserve">LFS </w:t>
      </w:r>
      <w:r>
        <w:rPr>
          <w:rFonts w:ascii="Times New Roman" w:hAnsi="Times New Roman" w:cs="Times New Roman"/>
          <w:sz w:val="20"/>
          <w:szCs w:val="20"/>
        </w:rPr>
        <w:t xml:space="preserve">for </w:t>
      </w:r>
      <w:r w:rsidRPr="00641B25">
        <w:rPr>
          <w:rFonts w:ascii="Times New Roman" w:hAnsi="Times New Roman" w:cs="Times New Roman"/>
          <w:sz w:val="20"/>
          <w:szCs w:val="20"/>
        </w:rPr>
        <w:t xml:space="preserve">1999, 2005, </w:t>
      </w:r>
      <w:r>
        <w:rPr>
          <w:rFonts w:ascii="Times New Roman" w:hAnsi="Times New Roman" w:cs="Times New Roman"/>
          <w:sz w:val="20"/>
          <w:szCs w:val="20"/>
        </w:rPr>
        <w:t xml:space="preserve">and </w:t>
      </w:r>
      <w:r w:rsidRPr="00641B25">
        <w:rPr>
          <w:rFonts w:ascii="Times New Roman" w:hAnsi="Times New Roman" w:cs="Times New Roman"/>
          <w:sz w:val="20"/>
          <w:szCs w:val="20"/>
        </w:rPr>
        <w:t>2013</w:t>
      </w:r>
      <w:r>
        <w:rPr>
          <w:rFonts w:ascii="Times New Roman" w:hAnsi="Times New Roman" w:cs="Times New Roman"/>
          <w:sz w:val="20"/>
          <w:szCs w:val="20"/>
        </w:rPr>
        <w:t xml:space="preserve"> in row</w:t>
      </w:r>
      <w:r w:rsidR="00886909">
        <w:rPr>
          <w:rFonts w:ascii="Times New Roman" w:hAnsi="Times New Roman" w:cs="Times New Roman"/>
          <w:sz w:val="20"/>
          <w:szCs w:val="20"/>
        </w:rPr>
        <w:t xml:space="preserve"> 2</w:t>
      </w:r>
      <w:r w:rsidRPr="00641B25">
        <w:rPr>
          <w:rFonts w:ascii="Times New Roman" w:hAnsi="Times New Roman" w:cs="Times New Roman"/>
          <w:sz w:val="20"/>
          <w:szCs w:val="20"/>
        </w:rPr>
        <w:t xml:space="preserve">, and urban manufacturing </w:t>
      </w:r>
      <w:r>
        <w:rPr>
          <w:rFonts w:ascii="Times New Roman" w:hAnsi="Times New Roman" w:cs="Times New Roman"/>
          <w:sz w:val="20"/>
          <w:szCs w:val="20"/>
        </w:rPr>
        <w:t xml:space="preserve">estimated from </w:t>
      </w:r>
      <w:r w:rsidRPr="00641B25">
        <w:rPr>
          <w:rFonts w:ascii="Times New Roman" w:hAnsi="Times New Roman" w:cs="Times New Roman"/>
          <w:sz w:val="20"/>
          <w:szCs w:val="20"/>
        </w:rPr>
        <w:t xml:space="preserve">LFS </w:t>
      </w:r>
      <w:r>
        <w:rPr>
          <w:rFonts w:ascii="Times New Roman" w:hAnsi="Times New Roman" w:cs="Times New Roman"/>
          <w:sz w:val="20"/>
          <w:szCs w:val="20"/>
        </w:rPr>
        <w:t xml:space="preserve">for </w:t>
      </w:r>
      <w:r w:rsidRPr="00641B25">
        <w:rPr>
          <w:rFonts w:ascii="Times New Roman" w:hAnsi="Times New Roman" w:cs="Times New Roman"/>
          <w:sz w:val="20"/>
          <w:szCs w:val="20"/>
        </w:rPr>
        <w:t xml:space="preserve">1999, 2005, </w:t>
      </w:r>
      <w:r>
        <w:rPr>
          <w:rFonts w:ascii="Times New Roman" w:hAnsi="Times New Roman" w:cs="Times New Roman"/>
          <w:sz w:val="20"/>
          <w:szCs w:val="20"/>
        </w:rPr>
        <w:t xml:space="preserve">and </w:t>
      </w:r>
      <w:r w:rsidRPr="00641B25">
        <w:rPr>
          <w:rFonts w:ascii="Times New Roman" w:hAnsi="Times New Roman" w:cs="Times New Roman"/>
          <w:sz w:val="20"/>
          <w:szCs w:val="20"/>
        </w:rPr>
        <w:t xml:space="preserve">2013 and UEU </w:t>
      </w:r>
      <w:r>
        <w:rPr>
          <w:rFonts w:ascii="Times New Roman" w:hAnsi="Times New Roman" w:cs="Times New Roman"/>
          <w:sz w:val="20"/>
          <w:szCs w:val="20"/>
        </w:rPr>
        <w:t xml:space="preserve">for </w:t>
      </w:r>
      <w:r w:rsidRPr="00641B25">
        <w:rPr>
          <w:rFonts w:ascii="Times New Roman" w:hAnsi="Times New Roman" w:cs="Times New Roman"/>
          <w:sz w:val="20"/>
          <w:szCs w:val="20"/>
        </w:rPr>
        <w:t>2012 and 2016</w:t>
      </w:r>
      <w:r>
        <w:rPr>
          <w:rFonts w:ascii="Times New Roman" w:hAnsi="Times New Roman" w:cs="Times New Roman"/>
          <w:sz w:val="20"/>
          <w:szCs w:val="20"/>
        </w:rPr>
        <w:t xml:space="preserve"> in row </w:t>
      </w:r>
      <w:r w:rsidR="00886909">
        <w:rPr>
          <w:rFonts w:ascii="Times New Roman" w:hAnsi="Times New Roman" w:cs="Times New Roman"/>
          <w:sz w:val="20"/>
          <w:szCs w:val="20"/>
        </w:rPr>
        <w:t>3</w:t>
      </w:r>
      <w:r>
        <w:rPr>
          <w:rFonts w:ascii="Times New Roman" w:hAnsi="Times New Roman" w:cs="Times New Roman"/>
          <w:sz w:val="20"/>
          <w:szCs w:val="20"/>
        </w:rPr>
        <w:t>.</w:t>
      </w:r>
      <w:r w:rsidRPr="00641B25">
        <w:rPr>
          <w:rFonts w:ascii="Times New Roman" w:hAnsi="Times New Roman" w:cs="Times New Roman"/>
          <w:sz w:val="20"/>
          <w:szCs w:val="20"/>
        </w:rPr>
        <w:t xml:space="preserve"> </w:t>
      </w:r>
      <w:r>
        <w:rPr>
          <w:rFonts w:ascii="Times New Roman" w:hAnsi="Times New Roman" w:cs="Times New Roman"/>
          <w:sz w:val="20"/>
          <w:szCs w:val="20"/>
        </w:rPr>
        <w:t xml:space="preserve">The table shows only </w:t>
      </w:r>
      <w:r w:rsidR="00886909">
        <w:rPr>
          <w:rFonts w:ascii="Times New Roman" w:hAnsi="Times New Roman" w:cs="Times New Roman"/>
          <w:sz w:val="20"/>
          <w:szCs w:val="20"/>
        </w:rPr>
        <w:t>selected</w:t>
      </w:r>
      <w:r>
        <w:rPr>
          <w:rFonts w:ascii="Times New Roman" w:hAnsi="Times New Roman" w:cs="Times New Roman"/>
          <w:sz w:val="20"/>
          <w:szCs w:val="20"/>
        </w:rPr>
        <w:t xml:space="preserve"> years with corresponding surveys from which </w:t>
      </w:r>
      <w:r w:rsidRPr="00641B25">
        <w:rPr>
          <w:rFonts w:ascii="Times New Roman" w:hAnsi="Times New Roman" w:cs="Times New Roman"/>
          <w:sz w:val="20"/>
          <w:szCs w:val="20"/>
        </w:rPr>
        <w:t xml:space="preserve">we </w:t>
      </w:r>
      <w:r>
        <w:rPr>
          <w:rFonts w:ascii="Times New Roman" w:hAnsi="Times New Roman" w:cs="Times New Roman"/>
          <w:sz w:val="20"/>
          <w:szCs w:val="20"/>
        </w:rPr>
        <w:t>estimated the numbers</w:t>
      </w:r>
      <w:r w:rsidRPr="00641B25">
        <w:rPr>
          <w:rFonts w:ascii="Times New Roman" w:hAnsi="Times New Roman" w:cs="Times New Roman"/>
          <w:sz w:val="20"/>
          <w:szCs w:val="20"/>
        </w:rPr>
        <w:t xml:space="preserve">. </w:t>
      </w:r>
      <w:r>
        <w:rPr>
          <w:rFonts w:ascii="Times New Roman" w:hAnsi="Times New Roman" w:cs="Times New Roman"/>
          <w:sz w:val="20"/>
          <w:szCs w:val="20"/>
        </w:rPr>
        <w:t>Urban manufacturing employment data from the</w:t>
      </w:r>
      <w:r w:rsidRPr="00641B25">
        <w:rPr>
          <w:rFonts w:ascii="Times New Roman" w:hAnsi="Times New Roman" w:cs="Times New Roman"/>
          <w:sz w:val="20"/>
          <w:szCs w:val="20"/>
        </w:rPr>
        <w:t xml:space="preserve"> UEU for 2003, 2004, 2006, 2010, 2014, and 2015 </w:t>
      </w:r>
      <w:r>
        <w:rPr>
          <w:rFonts w:ascii="Times New Roman" w:hAnsi="Times New Roman" w:cs="Times New Roman"/>
          <w:sz w:val="20"/>
          <w:szCs w:val="20"/>
        </w:rPr>
        <w:t xml:space="preserve">is also available </w:t>
      </w:r>
      <w:r w:rsidRPr="00641B25">
        <w:rPr>
          <w:rFonts w:ascii="Times New Roman" w:hAnsi="Times New Roman" w:cs="Times New Roman"/>
          <w:sz w:val="20"/>
          <w:szCs w:val="20"/>
        </w:rPr>
        <w:t xml:space="preserve">but </w:t>
      </w:r>
      <w:r>
        <w:rPr>
          <w:rFonts w:ascii="Times New Roman" w:hAnsi="Times New Roman" w:cs="Times New Roman"/>
          <w:sz w:val="20"/>
          <w:szCs w:val="20"/>
        </w:rPr>
        <w:t xml:space="preserve">is </w:t>
      </w:r>
      <w:r w:rsidRPr="00641B25">
        <w:rPr>
          <w:rFonts w:ascii="Times New Roman" w:hAnsi="Times New Roman" w:cs="Times New Roman"/>
          <w:sz w:val="20"/>
          <w:szCs w:val="20"/>
        </w:rPr>
        <w:t>not report</w:t>
      </w:r>
      <w:r>
        <w:rPr>
          <w:rFonts w:ascii="Times New Roman" w:hAnsi="Times New Roman" w:cs="Times New Roman"/>
          <w:sz w:val="20"/>
          <w:szCs w:val="20"/>
        </w:rPr>
        <w:t>ed</w:t>
      </w:r>
      <w:r w:rsidRPr="00641B25">
        <w:rPr>
          <w:rFonts w:ascii="Times New Roman" w:hAnsi="Times New Roman" w:cs="Times New Roman"/>
          <w:sz w:val="20"/>
          <w:szCs w:val="20"/>
        </w:rPr>
        <w:t xml:space="preserve"> </w:t>
      </w:r>
      <w:r>
        <w:rPr>
          <w:rFonts w:ascii="Times New Roman" w:hAnsi="Times New Roman" w:cs="Times New Roman"/>
          <w:sz w:val="20"/>
          <w:szCs w:val="20"/>
        </w:rPr>
        <w:t>here</w:t>
      </w:r>
      <w:r w:rsidRPr="00641B25">
        <w:rPr>
          <w:rFonts w:ascii="Times New Roman" w:hAnsi="Times New Roman" w:cs="Times New Roman"/>
          <w:sz w:val="20"/>
          <w:szCs w:val="20"/>
        </w:rPr>
        <w:t xml:space="preserve"> for brevity. Starred (*) values are </w:t>
      </w:r>
      <w:r>
        <w:rPr>
          <w:rFonts w:ascii="Times New Roman" w:hAnsi="Times New Roman" w:cs="Times New Roman"/>
          <w:sz w:val="20"/>
          <w:szCs w:val="20"/>
        </w:rPr>
        <w:t xml:space="preserve">the </w:t>
      </w:r>
      <w:r w:rsidRPr="00641B25">
        <w:rPr>
          <w:rFonts w:ascii="Times New Roman" w:hAnsi="Times New Roman" w:cs="Times New Roman"/>
          <w:sz w:val="20"/>
          <w:szCs w:val="20"/>
        </w:rPr>
        <w:t>estimates from the LSMS using annual</w:t>
      </w:r>
      <w:r>
        <w:rPr>
          <w:rFonts w:ascii="Times New Roman" w:hAnsi="Times New Roman" w:cs="Times New Roman"/>
          <w:sz w:val="20"/>
          <w:szCs w:val="20"/>
        </w:rPr>
        <w:t>ized</w:t>
      </w:r>
      <w:r w:rsidRPr="00641B25">
        <w:rPr>
          <w:rFonts w:ascii="Times New Roman" w:hAnsi="Times New Roman" w:cs="Times New Roman"/>
          <w:sz w:val="20"/>
          <w:szCs w:val="20"/>
        </w:rPr>
        <w:t xml:space="preserve"> growth rate </w:t>
      </w:r>
      <w:r>
        <w:rPr>
          <w:rFonts w:ascii="Times New Roman" w:hAnsi="Times New Roman" w:cs="Times New Roman"/>
          <w:sz w:val="20"/>
          <w:szCs w:val="20"/>
        </w:rPr>
        <w:t xml:space="preserve">between </w:t>
      </w:r>
      <w:r w:rsidRPr="00641B25">
        <w:rPr>
          <w:rFonts w:ascii="Times New Roman" w:hAnsi="Times New Roman" w:cs="Times New Roman"/>
          <w:sz w:val="20"/>
          <w:szCs w:val="20"/>
        </w:rPr>
        <w:t>2012</w:t>
      </w:r>
      <w:r>
        <w:rPr>
          <w:rFonts w:ascii="Times New Roman" w:hAnsi="Times New Roman" w:cs="Times New Roman"/>
          <w:sz w:val="20"/>
          <w:szCs w:val="20"/>
        </w:rPr>
        <w:t xml:space="preserve"> and </w:t>
      </w:r>
      <w:r w:rsidRPr="00641B25">
        <w:rPr>
          <w:rFonts w:ascii="Times New Roman" w:hAnsi="Times New Roman" w:cs="Times New Roman"/>
          <w:sz w:val="20"/>
          <w:szCs w:val="20"/>
        </w:rPr>
        <w:t xml:space="preserve">2016 and from LFS using </w:t>
      </w:r>
      <w:r>
        <w:rPr>
          <w:rFonts w:ascii="Times New Roman" w:hAnsi="Times New Roman" w:cs="Times New Roman"/>
          <w:sz w:val="20"/>
          <w:szCs w:val="20"/>
        </w:rPr>
        <w:t>annualized</w:t>
      </w:r>
      <w:r w:rsidRPr="00641B25">
        <w:rPr>
          <w:rFonts w:ascii="Times New Roman" w:hAnsi="Times New Roman" w:cs="Times New Roman"/>
          <w:sz w:val="20"/>
          <w:szCs w:val="20"/>
        </w:rPr>
        <w:t xml:space="preserve"> growth rate </w:t>
      </w:r>
      <w:r>
        <w:rPr>
          <w:rFonts w:ascii="Times New Roman" w:hAnsi="Times New Roman" w:cs="Times New Roman"/>
          <w:sz w:val="20"/>
          <w:szCs w:val="20"/>
        </w:rPr>
        <w:t>between</w:t>
      </w:r>
      <w:r w:rsidRPr="00641B25">
        <w:rPr>
          <w:rFonts w:ascii="Times New Roman" w:hAnsi="Times New Roman" w:cs="Times New Roman"/>
          <w:sz w:val="20"/>
          <w:szCs w:val="20"/>
        </w:rPr>
        <w:t xml:space="preserve"> 2005</w:t>
      </w:r>
      <w:r>
        <w:rPr>
          <w:rFonts w:ascii="Times New Roman" w:hAnsi="Times New Roman" w:cs="Times New Roman"/>
          <w:sz w:val="20"/>
          <w:szCs w:val="20"/>
        </w:rPr>
        <w:t xml:space="preserve"> and </w:t>
      </w:r>
      <w:r w:rsidRPr="00641B25">
        <w:rPr>
          <w:rFonts w:ascii="Times New Roman" w:hAnsi="Times New Roman" w:cs="Times New Roman"/>
          <w:sz w:val="20"/>
          <w:szCs w:val="20"/>
        </w:rPr>
        <w:t>2013 respectively.</w:t>
      </w:r>
    </w:p>
    <w:p w14:paraId="702F3FAB" w14:textId="7F21E3C1" w:rsidR="00B5503C" w:rsidRPr="00641B25" w:rsidRDefault="00B5503C" w:rsidP="00B5503C">
      <w:pPr>
        <w:pStyle w:val="ListParagraph"/>
        <w:numPr>
          <w:ilvl w:val="0"/>
          <w:numId w:val="13"/>
        </w:numPr>
        <w:spacing w:line="240" w:lineRule="auto"/>
        <w:ind w:left="270"/>
        <w:rPr>
          <w:rFonts w:ascii="Times New Roman" w:hAnsi="Times New Roman" w:cs="Times New Roman"/>
          <w:sz w:val="20"/>
          <w:szCs w:val="20"/>
        </w:rPr>
      </w:pPr>
      <w:r>
        <w:rPr>
          <w:rFonts w:ascii="Times New Roman" w:hAnsi="Times New Roman" w:cs="Times New Roman"/>
          <w:sz w:val="20"/>
          <w:szCs w:val="20"/>
        </w:rPr>
        <w:t xml:space="preserve">National total employment </w:t>
      </w:r>
      <w:r w:rsidR="00886909">
        <w:rPr>
          <w:rFonts w:ascii="Times New Roman" w:hAnsi="Times New Roman" w:cs="Times New Roman"/>
          <w:sz w:val="20"/>
          <w:szCs w:val="20"/>
        </w:rPr>
        <w:t xml:space="preserve">used </w:t>
      </w:r>
      <w:r>
        <w:rPr>
          <w:rFonts w:ascii="Times New Roman" w:hAnsi="Times New Roman" w:cs="Times New Roman"/>
          <w:sz w:val="20"/>
          <w:szCs w:val="20"/>
        </w:rPr>
        <w:t xml:space="preserve">in the four rows </w:t>
      </w:r>
      <w:r w:rsidR="00886909">
        <w:rPr>
          <w:rFonts w:ascii="Times New Roman" w:hAnsi="Times New Roman" w:cs="Times New Roman"/>
          <w:sz w:val="20"/>
          <w:szCs w:val="20"/>
        </w:rPr>
        <w:t>with</w:t>
      </w:r>
      <w:r>
        <w:rPr>
          <w:rFonts w:ascii="Times New Roman" w:hAnsi="Times New Roman" w:cs="Times New Roman"/>
          <w:sz w:val="20"/>
          <w:szCs w:val="20"/>
        </w:rPr>
        <w:t xml:space="preserve"> employment shares of manufacturing and trade services is original ETD data. We keep the national total employment untouched</w:t>
      </w:r>
      <w:r w:rsidR="00886909">
        <w:rPr>
          <w:rFonts w:ascii="Times New Roman" w:hAnsi="Times New Roman" w:cs="Times New Roman"/>
          <w:sz w:val="20"/>
          <w:szCs w:val="20"/>
        </w:rPr>
        <w:t xml:space="preserve"> and instead adjust the levels of manufacturing by moving employment into of trade services; this causes </w:t>
      </w:r>
      <w:r>
        <w:rPr>
          <w:rFonts w:ascii="Times New Roman" w:hAnsi="Times New Roman" w:cs="Times New Roman"/>
          <w:sz w:val="20"/>
          <w:szCs w:val="20"/>
        </w:rPr>
        <w:t xml:space="preserve">its employment shares to rise compared to the original ETD data (see the last two rows in the table).  </w:t>
      </w:r>
      <w:r w:rsidRPr="00641B25">
        <w:rPr>
          <w:rFonts w:ascii="Times New Roman" w:hAnsi="Times New Roman" w:cs="Times New Roman"/>
          <w:sz w:val="20"/>
          <w:szCs w:val="20"/>
        </w:rPr>
        <w:t xml:space="preserve"> </w:t>
      </w:r>
    </w:p>
    <w:p w14:paraId="2093C567" w14:textId="2C3DDAA8" w:rsidR="00F95321" w:rsidRDefault="00F95321">
      <w:pPr>
        <w:rPr>
          <w:rFonts w:ascii="Times New Roman" w:eastAsiaTheme="majorEastAsia" w:hAnsi="Times New Roman" w:cs="Times New Roman"/>
          <w:b/>
          <w:sz w:val="24"/>
          <w:szCs w:val="24"/>
        </w:rPr>
      </w:pPr>
    </w:p>
    <w:p w14:paraId="0A5C0C6F" w14:textId="77777777" w:rsidR="00F95321" w:rsidRDefault="00F95321">
      <w:pPr>
        <w:rPr>
          <w:rFonts w:ascii="Times New Roman" w:eastAsiaTheme="majorEastAsia" w:hAnsi="Times New Roman" w:cs="Times New Roman"/>
          <w:b/>
          <w:sz w:val="24"/>
          <w:szCs w:val="24"/>
        </w:rPr>
      </w:pPr>
      <w:r>
        <w:rPr>
          <w:rFonts w:ascii="Times New Roman" w:hAnsi="Times New Roman" w:cs="Times New Roman"/>
          <w:sz w:val="24"/>
          <w:szCs w:val="24"/>
        </w:rPr>
        <w:br w:type="page"/>
      </w:r>
    </w:p>
    <w:p w14:paraId="136C5649" w14:textId="77331C96" w:rsidR="00742C6D" w:rsidRPr="00C024FA" w:rsidRDefault="00742C6D" w:rsidP="00742C6D">
      <w:pPr>
        <w:pStyle w:val="Heading2"/>
        <w:rPr>
          <w:rFonts w:ascii="Times New Roman" w:hAnsi="Times New Roman" w:cs="Times New Roman"/>
          <w:sz w:val="24"/>
          <w:szCs w:val="24"/>
        </w:rPr>
      </w:pPr>
      <w:r w:rsidRPr="00C024FA">
        <w:rPr>
          <w:rFonts w:ascii="Times New Roman" w:hAnsi="Times New Roman" w:cs="Times New Roman"/>
          <w:sz w:val="24"/>
          <w:szCs w:val="24"/>
        </w:rPr>
        <w:lastRenderedPageBreak/>
        <w:t xml:space="preserve">Table </w:t>
      </w:r>
      <w:r w:rsidR="00206C87">
        <w:rPr>
          <w:rFonts w:ascii="Times New Roman" w:hAnsi="Times New Roman" w:cs="Times New Roman"/>
          <w:sz w:val="24"/>
          <w:szCs w:val="24"/>
        </w:rPr>
        <w:t xml:space="preserve">1.5 </w:t>
      </w:r>
      <w:r w:rsidRPr="00C024FA">
        <w:rPr>
          <w:rFonts w:ascii="Times New Roman" w:hAnsi="Times New Roman" w:cs="Times New Roman"/>
          <w:sz w:val="24"/>
          <w:szCs w:val="24"/>
        </w:rPr>
        <w:t>Capital-Labor ratios for selected EU countries, and Tanzania and Ethiopia, 2010-2017 averages</w:t>
      </w:r>
      <w:bookmarkEnd w:id="8"/>
    </w:p>
    <w:tbl>
      <w:tblPr>
        <w:tblW w:w="9276" w:type="dxa"/>
        <w:jc w:val="center"/>
        <w:tblLook w:val="04A0" w:firstRow="1" w:lastRow="0" w:firstColumn="1" w:lastColumn="0" w:noHBand="0" w:noVBand="1"/>
      </w:tblPr>
      <w:tblGrid>
        <w:gridCol w:w="2160"/>
        <w:gridCol w:w="1440"/>
        <w:gridCol w:w="1154"/>
        <w:gridCol w:w="1060"/>
        <w:gridCol w:w="1296"/>
        <w:gridCol w:w="1170"/>
        <w:gridCol w:w="996"/>
      </w:tblGrid>
      <w:tr w:rsidR="00742C6D" w:rsidRPr="00547A82" w14:paraId="7A0FEA8E" w14:textId="77777777" w:rsidTr="00742C6D">
        <w:trPr>
          <w:trHeight w:val="20"/>
          <w:jc w:val="center"/>
        </w:trPr>
        <w:tc>
          <w:tcPr>
            <w:tcW w:w="2160" w:type="dxa"/>
            <w:tcBorders>
              <w:top w:val="single" w:sz="4" w:space="0" w:color="auto"/>
              <w:left w:val="nil"/>
              <w:right w:val="nil"/>
            </w:tcBorders>
            <w:shd w:val="clear" w:color="auto" w:fill="auto"/>
            <w:noWrap/>
            <w:vAlign w:val="bottom"/>
          </w:tcPr>
          <w:p w14:paraId="3E36E6CB"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p>
        </w:tc>
        <w:tc>
          <w:tcPr>
            <w:tcW w:w="3654" w:type="dxa"/>
            <w:gridSpan w:val="3"/>
            <w:tcBorders>
              <w:top w:val="single" w:sz="4" w:space="0" w:color="auto"/>
              <w:left w:val="nil"/>
              <w:right w:val="nil"/>
            </w:tcBorders>
            <w:shd w:val="clear" w:color="auto" w:fill="auto"/>
            <w:vAlign w:val="center"/>
          </w:tcPr>
          <w:p w14:paraId="5B40BD08" w14:textId="77777777" w:rsidR="00742C6D" w:rsidRPr="00547A82" w:rsidRDefault="00742C6D" w:rsidP="00742C6D">
            <w:pPr>
              <w:spacing w:after="0" w:line="240" w:lineRule="auto"/>
              <w:jc w:val="center"/>
              <w:rPr>
                <w:rFonts w:ascii="Times New Roman" w:hAnsi="Times New Roman" w:cs="Times New Roman"/>
                <w:color w:val="000000"/>
                <w:sz w:val="20"/>
                <w:szCs w:val="20"/>
              </w:rPr>
            </w:pPr>
            <w:r w:rsidRPr="00547A82">
              <w:rPr>
                <w:rFonts w:ascii="Times New Roman" w:hAnsi="Times New Roman" w:cs="Times New Roman"/>
                <w:color w:val="000000"/>
                <w:sz w:val="20"/>
                <w:szCs w:val="20"/>
              </w:rPr>
              <w:t>$1,000 constant 2010 US$</w:t>
            </w:r>
          </w:p>
        </w:tc>
        <w:tc>
          <w:tcPr>
            <w:tcW w:w="3462" w:type="dxa"/>
            <w:gridSpan w:val="3"/>
            <w:tcBorders>
              <w:top w:val="single" w:sz="4" w:space="0" w:color="auto"/>
              <w:left w:val="nil"/>
              <w:right w:val="nil"/>
            </w:tcBorders>
            <w:shd w:val="clear" w:color="auto" w:fill="auto"/>
            <w:vAlign w:val="center"/>
          </w:tcPr>
          <w:p w14:paraId="5DA0BA17" w14:textId="77777777" w:rsidR="00742C6D" w:rsidRPr="00547A82" w:rsidRDefault="00742C6D" w:rsidP="00742C6D">
            <w:pPr>
              <w:spacing w:after="0" w:line="240" w:lineRule="auto"/>
              <w:jc w:val="center"/>
              <w:rPr>
                <w:rFonts w:ascii="Times New Roman" w:hAnsi="Times New Roman" w:cs="Times New Roman"/>
                <w:color w:val="000000"/>
                <w:sz w:val="20"/>
                <w:szCs w:val="20"/>
              </w:rPr>
            </w:pPr>
            <w:r w:rsidRPr="00547A82">
              <w:rPr>
                <w:rFonts w:ascii="Times New Roman" w:hAnsi="Times New Roman" w:cs="Times New Roman"/>
                <w:color w:val="000000"/>
                <w:sz w:val="20"/>
                <w:szCs w:val="20"/>
              </w:rPr>
              <w:t>$1,000 constant 2010 PPP $</w:t>
            </w:r>
          </w:p>
        </w:tc>
      </w:tr>
      <w:tr w:rsidR="00742C6D" w:rsidRPr="00547A82" w14:paraId="11D68EAB" w14:textId="77777777" w:rsidTr="00742C6D">
        <w:trPr>
          <w:trHeight w:val="20"/>
          <w:jc w:val="center"/>
        </w:trPr>
        <w:tc>
          <w:tcPr>
            <w:tcW w:w="2160" w:type="dxa"/>
            <w:tcBorders>
              <w:left w:val="nil"/>
              <w:bottom w:val="single" w:sz="4" w:space="0" w:color="auto"/>
              <w:right w:val="nil"/>
            </w:tcBorders>
            <w:shd w:val="clear" w:color="auto" w:fill="auto"/>
            <w:noWrap/>
            <w:vAlign w:val="bottom"/>
            <w:hideMark/>
          </w:tcPr>
          <w:p w14:paraId="4FA6407F"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 </w:t>
            </w:r>
          </w:p>
        </w:tc>
        <w:tc>
          <w:tcPr>
            <w:tcW w:w="1440" w:type="dxa"/>
            <w:tcBorders>
              <w:left w:val="nil"/>
              <w:bottom w:val="single" w:sz="4" w:space="0" w:color="auto"/>
              <w:right w:val="nil"/>
            </w:tcBorders>
            <w:shd w:val="clear" w:color="auto" w:fill="auto"/>
            <w:vAlign w:val="bottom"/>
            <w:hideMark/>
          </w:tcPr>
          <w:p w14:paraId="38052C2B"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Machinery &amp; equipment/ Labor</w:t>
            </w:r>
          </w:p>
        </w:tc>
        <w:tc>
          <w:tcPr>
            <w:tcW w:w="1154" w:type="dxa"/>
            <w:tcBorders>
              <w:left w:val="nil"/>
              <w:bottom w:val="single" w:sz="4" w:space="0" w:color="auto"/>
              <w:right w:val="nil"/>
            </w:tcBorders>
            <w:shd w:val="clear" w:color="auto" w:fill="auto"/>
            <w:vAlign w:val="bottom"/>
            <w:hideMark/>
          </w:tcPr>
          <w:p w14:paraId="397C33E8"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Buildings &amp; Structures/ Labor</w:t>
            </w:r>
          </w:p>
        </w:tc>
        <w:tc>
          <w:tcPr>
            <w:tcW w:w="1060" w:type="dxa"/>
            <w:tcBorders>
              <w:left w:val="nil"/>
              <w:bottom w:val="single" w:sz="4" w:space="0" w:color="auto"/>
              <w:right w:val="nil"/>
            </w:tcBorders>
            <w:shd w:val="clear" w:color="auto" w:fill="auto"/>
            <w:vAlign w:val="bottom"/>
            <w:hideMark/>
          </w:tcPr>
          <w:p w14:paraId="6CE00D4A"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M&amp;E and B&amp;S /Labor</w:t>
            </w:r>
          </w:p>
        </w:tc>
        <w:tc>
          <w:tcPr>
            <w:tcW w:w="1296" w:type="dxa"/>
            <w:tcBorders>
              <w:left w:val="nil"/>
              <w:bottom w:val="single" w:sz="4" w:space="0" w:color="auto"/>
              <w:right w:val="nil"/>
            </w:tcBorders>
            <w:shd w:val="clear" w:color="auto" w:fill="auto"/>
            <w:vAlign w:val="bottom"/>
            <w:hideMark/>
          </w:tcPr>
          <w:p w14:paraId="6A6AD10F"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Machinery &amp; equipment/ Labor</w:t>
            </w:r>
          </w:p>
        </w:tc>
        <w:tc>
          <w:tcPr>
            <w:tcW w:w="1170" w:type="dxa"/>
            <w:tcBorders>
              <w:left w:val="nil"/>
              <w:bottom w:val="single" w:sz="4" w:space="0" w:color="auto"/>
              <w:right w:val="nil"/>
            </w:tcBorders>
            <w:shd w:val="clear" w:color="auto" w:fill="auto"/>
            <w:vAlign w:val="bottom"/>
            <w:hideMark/>
          </w:tcPr>
          <w:p w14:paraId="1EE30BFC"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Buildings &amp; Structures/ Labor</w:t>
            </w:r>
          </w:p>
        </w:tc>
        <w:tc>
          <w:tcPr>
            <w:tcW w:w="996" w:type="dxa"/>
            <w:tcBorders>
              <w:left w:val="nil"/>
              <w:bottom w:val="single" w:sz="4" w:space="0" w:color="auto"/>
              <w:right w:val="nil"/>
            </w:tcBorders>
            <w:shd w:val="clear" w:color="auto" w:fill="auto"/>
            <w:vAlign w:val="bottom"/>
            <w:hideMark/>
          </w:tcPr>
          <w:p w14:paraId="074F8CBB"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M&amp;E and B&amp;S /Labor</w:t>
            </w:r>
          </w:p>
        </w:tc>
      </w:tr>
      <w:tr w:rsidR="00742C6D" w:rsidRPr="00547A82" w14:paraId="02943675" w14:textId="77777777" w:rsidTr="00742C6D">
        <w:trPr>
          <w:trHeight w:val="20"/>
          <w:jc w:val="center"/>
        </w:trPr>
        <w:tc>
          <w:tcPr>
            <w:tcW w:w="2160" w:type="dxa"/>
            <w:tcBorders>
              <w:top w:val="nil"/>
              <w:left w:val="nil"/>
              <w:bottom w:val="nil"/>
              <w:right w:val="nil"/>
            </w:tcBorders>
            <w:shd w:val="clear" w:color="auto" w:fill="auto"/>
            <w:noWrap/>
            <w:vAlign w:val="bottom"/>
          </w:tcPr>
          <w:p w14:paraId="6F2BFA74"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r w:rsidRPr="00547A82">
              <w:rPr>
                <w:rFonts w:ascii="Times New Roman" w:eastAsia="Times New Roman" w:hAnsi="Times New Roman" w:cs="Times New Roman"/>
                <w:b/>
                <w:bCs/>
                <w:color w:val="000000"/>
                <w:sz w:val="20"/>
                <w:szCs w:val="20"/>
              </w:rPr>
              <w:t>Total Manufacturing</w:t>
            </w:r>
          </w:p>
        </w:tc>
        <w:tc>
          <w:tcPr>
            <w:tcW w:w="1440" w:type="dxa"/>
            <w:tcBorders>
              <w:top w:val="nil"/>
              <w:left w:val="nil"/>
              <w:bottom w:val="nil"/>
              <w:right w:val="nil"/>
            </w:tcBorders>
            <w:shd w:val="clear" w:color="auto" w:fill="auto"/>
            <w:noWrap/>
            <w:vAlign w:val="bottom"/>
          </w:tcPr>
          <w:p w14:paraId="05342729" w14:textId="77777777" w:rsidR="00742C6D" w:rsidRPr="00547A82" w:rsidRDefault="00742C6D" w:rsidP="00742C6D">
            <w:pPr>
              <w:spacing w:after="0" w:line="240" w:lineRule="auto"/>
              <w:jc w:val="right"/>
              <w:rPr>
                <w:rFonts w:ascii="Times New Roman" w:eastAsia="Times New Roman" w:hAnsi="Times New Roman" w:cs="Times New Roman"/>
                <w:b/>
                <w:bCs/>
                <w:color w:val="000000"/>
                <w:sz w:val="20"/>
                <w:szCs w:val="20"/>
              </w:rPr>
            </w:pPr>
          </w:p>
        </w:tc>
        <w:tc>
          <w:tcPr>
            <w:tcW w:w="1154" w:type="dxa"/>
            <w:tcBorders>
              <w:top w:val="nil"/>
              <w:left w:val="nil"/>
              <w:bottom w:val="nil"/>
              <w:right w:val="nil"/>
            </w:tcBorders>
            <w:shd w:val="clear" w:color="auto" w:fill="auto"/>
            <w:noWrap/>
            <w:vAlign w:val="bottom"/>
          </w:tcPr>
          <w:p w14:paraId="3CCEFC7A" w14:textId="77777777" w:rsidR="00742C6D" w:rsidRPr="00547A82" w:rsidRDefault="00742C6D" w:rsidP="00742C6D">
            <w:pPr>
              <w:spacing w:after="0" w:line="240" w:lineRule="auto"/>
              <w:jc w:val="right"/>
              <w:rPr>
                <w:rFonts w:ascii="Times New Roman" w:eastAsia="Times New Roman" w:hAnsi="Times New Roman" w:cs="Times New Roman"/>
                <w:b/>
                <w:bCs/>
                <w:color w:val="000000"/>
                <w:sz w:val="20"/>
                <w:szCs w:val="20"/>
              </w:rPr>
            </w:pPr>
          </w:p>
        </w:tc>
        <w:tc>
          <w:tcPr>
            <w:tcW w:w="1060" w:type="dxa"/>
            <w:tcBorders>
              <w:top w:val="nil"/>
              <w:left w:val="nil"/>
              <w:bottom w:val="nil"/>
              <w:right w:val="nil"/>
            </w:tcBorders>
            <w:shd w:val="clear" w:color="auto" w:fill="auto"/>
            <w:noWrap/>
            <w:vAlign w:val="bottom"/>
          </w:tcPr>
          <w:p w14:paraId="6BB8B114" w14:textId="77777777" w:rsidR="00742C6D" w:rsidRPr="00547A82" w:rsidRDefault="00742C6D" w:rsidP="00742C6D">
            <w:pPr>
              <w:spacing w:after="0" w:line="240" w:lineRule="auto"/>
              <w:jc w:val="right"/>
              <w:rPr>
                <w:rFonts w:ascii="Times New Roman" w:eastAsia="Times New Roman" w:hAnsi="Times New Roman" w:cs="Times New Roman"/>
                <w:b/>
                <w:bCs/>
                <w:color w:val="000000"/>
                <w:sz w:val="20"/>
                <w:szCs w:val="20"/>
              </w:rPr>
            </w:pPr>
          </w:p>
        </w:tc>
        <w:tc>
          <w:tcPr>
            <w:tcW w:w="1296" w:type="dxa"/>
            <w:tcBorders>
              <w:top w:val="nil"/>
              <w:left w:val="nil"/>
              <w:bottom w:val="nil"/>
              <w:right w:val="nil"/>
            </w:tcBorders>
            <w:shd w:val="clear" w:color="auto" w:fill="auto"/>
            <w:noWrap/>
            <w:vAlign w:val="bottom"/>
          </w:tcPr>
          <w:p w14:paraId="276E4786" w14:textId="77777777" w:rsidR="00742C6D" w:rsidRPr="00547A82" w:rsidRDefault="00742C6D" w:rsidP="00742C6D">
            <w:pPr>
              <w:spacing w:after="0" w:line="240" w:lineRule="auto"/>
              <w:jc w:val="right"/>
              <w:rPr>
                <w:rFonts w:ascii="Times New Roman" w:eastAsia="Times New Roman" w:hAnsi="Times New Roman" w:cs="Times New Roman"/>
                <w:b/>
                <w:bCs/>
                <w:color w:val="000000"/>
                <w:sz w:val="20"/>
                <w:szCs w:val="20"/>
              </w:rPr>
            </w:pPr>
          </w:p>
        </w:tc>
        <w:tc>
          <w:tcPr>
            <w:tcW w:w="1170" w:type="dxa"/>
            <w:tcBorders>
              <w:top w:val="nil"/>
              <w:left w:val="nil"/>
              <w:bottom w:val="nil"/>
              <w:right w:val="nil"/>
            </w:tcBorders>
            <w:shd w:val="clear" w:color="auto" w:fill="auto"/>
            <w:noWrap/>
            <w:vAlign w:val="bottom"/>
          </w:tcPr>
          <w:p w14:paraId="4CBAB1E0" w14:textId="77777777" w:rsidR="00742C6D" w:rsidRPr="00547A82" w:rsidRDefault="00742C6D" w:rsidP="00742C6D">
            <w:pPr>
              <w:spacing w:after="0" w:line="240" w:lineRule="auto"/>
              <w:jc w:val="right"/>
              <w:rPr>
                <w:rFonts w:ascii="Times New Roman" w:eastAsia="Times New Roman" w:hAnsi="Times New Roman" w:cs="Times New Roman"/>
                <w:b/>
                <w:bCs/>
                <w:color w:val="000000"/>
                <w:sz w:val="20"/>
                <w:szCs w:val="20"/>
              </w:rPr>
            </w:pPr>
          </w:p>
        </w:tc>
        <w:tc>
          <w:tcPr>
            <w:tcW w:w="996" w:type="dxa"/>
            <w:tcBorders>
              <w:top w:val="nil"/>
              <w:left w:val="nil"/>
              <w:bottom w:val="nil"/>
              <w:right w:val="nil"/>
            </w:tcBorders>
            <w:shd w:val="clear" w:color="auto" w:fill="auto"/>
            <w:noWrap/>
            <w:vAlign w:val="bottom"/>
          </w:tcPr>
          <w:p w14:paraId="3146C22E" w14:textId="77777777" w:rsidR="00742C6D" w:rsidRPr="00547A82" w:rsidRDefault="00742C6D" w:rsidP="00742C6D">
            <w:pPr>
              <w:spacing w:after="0" w:line="240" w:lineRule="auto"/>
              <w:jc w:val="right"/>
              <w:rPr>
                <w:rFonts w:ascii="Times New Roman" w:eastAsia="Times New Roman" w:hAnsi="Times New Roman" w:cs="Times New Roman"/>
                <w:b/>
                <w:bCs/>
                <w:color w:val="000000"/>
                <w:sz w:val="20"/>
                <w:szCs w:val="20"/>
              </w:rPr>
            </w:pPr>
          </w:p>
        </w:tc>
      </w:tr>
      <w:tr w:rsidR="00742C6D" w:rsidRPr="00547A82" w14:paraId="021B84A8"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0AF9CE85"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HUN</w:t>
            </w:r>
          </w:p>
        </w:tc>
        <w:tc>
          <w:tcPr>
            <w:tcW w:w="1440" w:type="dxa"/>
            <w:tcBorders>
              <w:top w:val="nil"/>
              <w:left w:val="nil"/>
              <w:bottom w:val="nil"/>
              <w:right w:val="nil"/>
            </w:tcBorders>
            <w:shd w:val="clear" w:color="auto" w:fill="auto"/>
            <w:noWrap/>
            <w:vAlign w:val="bottom"/>
            <w:hideMark/>
          </w:tcPr>
          <w:p w14:paraId="2C7477A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39.4</w:t>
            </w:r>
          </w:p>
        </w:tc>
        <w:tc>
          <w:tcPr>
            <w:tcW w:w="1154" w:type="dxa"/>
            <w:tcBorders>
              <w:top w:val="nil"/>
              <w:left w:val="nil"/>
              <w:bottom w:val="nil"/>
              <w:right w:val="nil"/>
            </w:tcBorders>
            <w:shd w:val="clear" w:color="auto" w:fill="auto"/>
            <w:noWrap/>
            <w:vAlign w:val="bottom"/>
            <w:hideMark/>
          </w:tcPr>
          <w:p w14:paraId="0B1ECFA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37.9</w:t>
            </w:r>
          </w:p>
        </w:tc>
        <w:tc>
          <w:tcPr>
            <w:tcW w:w="1060" w:type="dxa"/>
            <w:tcBorders>
              <w:top w:val="nil"/>
              <w:left w:val="nil"/>
              <w:bottom w:val="nil"/>
              <w:right w:val="nil"/>
            </w:tcBorders>
            <w:shd w:val="clear" w:color="auto" w:fill="auto"/>
            <w:noWrap/>
            <w:vAlign w:val="bottom"/>
            <w:hideMark/>
          </w:tcPr>
          <w:p w14:paraId="3811C2C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77.4</w:t>
            </w:r>
          </w:p>
        </w:tc>
        <w:tc>
          <w:tcPr>
            <w:tcW w:w="1296" w:type="dxa"/>
            <w:tcBorders>
              <w:top w:val="nil"/>
              <w:left w:val="nil"/>
              <w:bottom w:val="nil"/>
              <w:right w:val="nil"/>
            </w:tcBorders>
            <w:shd w:val="clear" w:color="auto" w:fill="auto"/>
            <w:noWrap/>
            <w:vAlign w:val="bottom"/>
            <w:hideMark/>
          </w:tcPr>
          <w:p w14:paraId="1C6B155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41.0</w:t>
            </w:r>
          </w:p>
        </w:tc>
        <w:tc>
          <w:tcPr>
            <w:tcW w:w="1170" w:type="dxa"/>
            <w:tcBorders>
              <w:top w:val="nil"/>
              <w:left w:val="nil"/>
              <w:bottom w:val="nil"/>
              <w:right w:val="nil"/>
            </w:tcBorders>
            <w:shd w:val="clear" w:color="auto" w:fill="auto"/>
            <w:noWrap/>
            <w:vAlign w:val="bottom"/>
            <w:hideMark/>
          </w:tcPr>
          <w:p w14:paraId="531E8B1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73.6</w:t>
            </w:r>
          </w:p>
        </w:tc>
        <w:tc>
          <w:tcPr>
            <w:tcW w:w="996" w:type="dxa"/>
            <w:tcBorders>
              <w:top w:val="nil"/>
              <w:left w:val="nil"/>
              <w:bottom w:val="nil"/>
              <w:right w:val="nil"/>
            </w:tcBorders>
            <w:shd w:val="clear" w:color="auto" w:fill="auto"/>
            <w:noWrap/>
            <w:vAlign w:val="bottom"/>
            <w:hideMark/>
          </w:tcPr>
          <w:p w14:paraId="55CBAF9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114.5</w:t>
            </w:r>
          </w:p>
        </w:tc>
      </w:tr>
      <w:tr w:rsidR="00742C6D" w:rsidRPr="00547A82" w14:paraId="49724453"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74BCC3DF"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CZE</w:t>
            </w:r>
          </w:p>
        </w:tc>
        <w:tc>
          <w:tcPr>
            <w:tcW w:w="1440" w:type="dxa"/>
            <w:tcBorders>
              <w:top w:val="nil"/>
              <w:left w:val="nil"/>
              <w:bottom w:val="nil"/>
              <w:right w:val="nil"/>
            </w:tcBorders>
            <w:shd w:val="clear" w:color="auto" w:fill="auto"/>
            <w:noWrap/>
            <w:vAlign w:val="bottom"/>
            <w:hideMark/>
          </w:tcPr>
          <w:p w14:paraId="08B32D9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40.0</w:t>
            </w:r>
          </w:p>
        </w:tc>
        <w:tc>
          <w:tcPr>
            <w:tcW w:w="1154" w:type="dxa"/>
            <w:tcBorders>
              <w:top w:val="nil"/>
              <w:left w:val="nil"/>
              <w:bottom w:val="nil"/>
              <w:right w:val="nil"/>
            </w:tcBorders>
            <w:shd w:val="clear" w:color="auto" w:fill="auto"/>
            <w:noWrap/>
            <w:vAlign w:val="bottom"/>
            <w:hideMark/>
          </w:tcPr>
          <w:p w14:paraId="5CE9A44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42.7</w:t>
            </w:r>
          </w:p>
        </w:tc>
        <w:tc>
          <w:tcPr>
            <w:tcW w:w="1060" w:type="dxa"/>
            <w:tcBorders>
              <w:top w:val="nil"/>
              <w:left w:val="nil"/>
              <w:bottom w:val="nil"/>
              <w:right w:val="nil"/>
            </w:tcBorders>
            <w:shd w:val="clear" w:color="auto" w:fill="auto"/>
            <w:noWrap/>
            <w:vAlign w:val="bottom"/>
            <w:hideMark/>
          </w:tcPr>
          <w:p w14:paraId="0A50BD4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82.7</w:t>
            </w:r>
          </w:p>
        </w:tc>
        <w:tc>
          <w:tcPr>
            <w:tcW w:w="1296" w:type="dxa"/>
            <w:tcBorders>
              <w:top w:val="nil"/>
              <w:left w:val="nil"/>
              <w:bottom w:val="nil"/>
              <w:right w:val="nil"/>
            </w:tcBorders>
            <w:shd w:val="clear" w:color="auto" w:fill="auto"/>
            <w:noWrap/>
            <w:vAlign w:val="bottom"/>
            <w:hideMark/>
          </w:tcPr>
          <w:p w14:paraId="567ABD3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36.5</w:t>
            </w:r>
          </w:p>
        </w:tc>
        <w:tc>
          <w:tcPr>
            <w:tcW w:w="1170" w:type="dxa"/>
            <w:tcBorders>
              <w:top w:val="nil"/>
              <w:left w:val="nil"/>
              <w:bottom w:val="nil"/>
              <w:right w:val="nil"/>
            </w:tcBorders>
            <w:shd w:val="clear" w:color="auto" w:fill="auto"/>
            <w:noWrap/>
            <w:vAlign w:val="bottom"/>
            <w:hideMark/>
          </w:tcPr>
          <w:p w14:paraId="3DBAA29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69.6</w:t>
            </w:r>
          </w:p>
        </w:tc>
        <w:tc>
          <w:tcPr>
            <w:tcW w:w="996" w:type="dxa"/>
            <w:tcBorders>
              <w:top w:val="nil"/>
              <w:left w:val="nil"/>
              <w:bottom w:val="nil"/>
              <w:right w:val="nil"/>
            </w:tcBorders>
            <w:shd w:val="clear" w:color="auto" w:fill="auto"/>
            <w:noWrap/>
            <w:vAlign w:val="bottom"/>
            <w:hideMark/>
          </w:tcPr>
          <w:p w14:paraId="3BFBE44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106.1</w:t>
            </w:r>
          </w:p>
        </w:tc>
      </w:tr>
      <w:tr w:rsidR="00742C6D" w:rsidRPr="00547A82" w14:paraId="00821DD9"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3FB402A3"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ESP</w:t>
            </w:r>
          </w:p>
        </w:tc>
        <w:tc>
          <w:tcPr>
            <w:tcW w:w="1440" w:type="dxa"/>
            <w:tcBorders>
              <w:top w:val="nil"/>
              <w:left w:val="nil"/>
              <w:bottom w:val="nil"/>
              <w:right w:val="nil"/>
            </w:tcBorders>
            <w:shd w:val="clear" w:color="auto" w:fill="auto"/>
            <w:noWrap/>
            <w:vAlign w:val="bottom"/>
            <w:hideMark/>
          </w:tcPr>
          <w:p w14:paraId="77D602E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129.0</w:t>
            </w:r>
          </w:p>
        </w:tc>
        <w:tc>
          <w:tcPr>
            <w:tcW w:w="1154" w:type="dxa"/>
            <w:tcBorders>
              <w:top w:val="nil"/>
              <w:left w:val="nil"/>
              <w:bottom w:val="nil"/>
              <w:right w:val="nil"/>
            </w:tcBorders>
            <w:shd w:val="clear" w:color="auto" w:fill="auto"/>
            <w:noWrap/>
            <w:vAlign w:val="bottom"/>
            <w:hideMark/>
          </w:tcPr>
          <w:p w14:paraId="683B248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156.7</w:t>
            </w:r>
          </w:p>
        </w:tc>
        <w:tc>
          <w:tcPr>
            <w:tcW w:w="1060" w:type="dxa"/>
            <w:tcBorders>
              <w:top w:val="nil"/>
              <w:left w:val="nil"/>
              <w:bottom w:val="nil"/>
              <w:right w:val="nil"/>
            </w:tcBorders>
            <w:shd w:val="clear" w:color="auto" w:fill="auto"/>
            <w:noWrap/>
            <w:vAlign w:val="bottom"/>
            <w:hideMark/>
          </w:tcPr>
          <w:p w14:paraId="3FF50E3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285.7</w:t>
            </w:r>
          </w:p>
        </w:tc>
        <w:tc>
          <w:tcPr>
            <w:tcW w:w="1296" w:type="dxa"/>
            <w:tcBorders>
              <w:top w:val="nil"/>
              <w:left w:val="nil"/>
              <w:bottom w:val="nil"/>
              <w:right w:val="nil"/>
            </w:tcBorders>
            <w:shd w:val="clear" w:color="auto" w:fill="auto"/>
            <w:noWrap/>
            <w:vAlign w:val="bottom"/>
            <w:hideMark/>
          </w:tcPr>
          <w:p w14:paraId="372EE5D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113.6</w:t>
            </w:r>
          </w:p>
        </w:tc>
        <w:tc>
          <w:tcPr>
            <w:tcW w:w="1170" w:type="dxa"/>
            <w:tcBorders>
              <w:top w:val="nil"/>
              <w:left w:val="nil"/>
              <w:bottom w:val="nil"/>
              <w:right w:val="nil"/>
            </w:tcBorders>
            <w:shd w:val="clear" w:color="auto" w:fill="auto"/>
            <w:noWrap/>
            <w:vAlign w:val="bottom"/>
            <w:hideMark/>
          </w:tcPr>
          <w:p w14:paraId="1D333F3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236.7</w:t>
            </w:r>
          </w:p>
        </w:tc>
        <w:tc>
          <w:tcPr>
            <w:tcW w:w="996" w:type="dxa"/>
            <w:tcBorders>
              <w:top w:val="nil"/>
              <w:left w:val="nil"/>
              <w:bottom w:val="nil"/>
              <w:right w:val="nil"/>
            </w:tcBorders>
            <w:shd w:val="clear" w:color="auto" w:fill="auto"/>
            <w:noWrap/>
            <w:vAlign w:val="bottom"/>
            <w:hideMark/>
          </w:tcPr>
          <w:p w14:paraId="520E0FD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350.3</w:t>
            </w:r>
          </w:p>
        </w:tc>
      </w:tr>
      <w:tr w:rsidR="00742C6D" w:rsidRPr="00547A82" w14:paraId="178FF592"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1ABFBB8A"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ITA</w:t>
            </w:r>
          </w:p>
        </w:tc>
        <w:tc>
          <w:tcPr>
            <w:tcW w:w="1440" w:type="dxa"/>
            <w:tcBorders>
              <w:top w:val="nil"/>
              <w:left w:val="nil"/>
              <w:bottom w:val="nil"/>
              <w:right w:val="nil"/>
            </w:tcBorders>
            <w:shd w:val="clear" w:color="auto" w:fill="auto"/>
            <w:noWrap/>
            <w:vAlign w:val="bottom"/>
            <w:hideMark/>
          </w:tcPr>
          <w:p w14:paraId="488A6F5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79.6</w:t>
            </w:r>
          </w:p>
        </w:tc>
        <w:tc>
          <w:tcPr>
            <w:tcW w:w="1154" w:type="dxa"/>
            <w:tcBorders>
              <w:top w:val="nil"/>
              <w:left w:val="nil"/>
              <w:bottom w:val="nil"/>
              <w:right w:val="nil"/>
            </w:tcBorders>
            <w:shd w:val="clear" w:color="auto" w:fill="auto"/>
            <w:noWrap/>
            <w:vAlign w:val="bottom"/>
            <w:hideMark/>
          </w:tcPr>
          <w:p w14:paraId="01DDD8D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47.3</w:t>
            </w:r>
          </w:p>
        </w:tc>
        <w:tc>
          <w:tcPr>
            <w:tcW w:w="1060" w:type="dxa"/>
            <w:tcBorders>
              <w:top w:val="nil"/>
              <w:left w:val="nil"/>
              <w:bottom w:val="nil"/>
              <w:right w:val="nil"/>
            </w:tcBorders>
            <w:shd w:val="clear" w:color="auto" w:fill="auto"/>
            <w:noWrap/>
            <w:vAlign w:val="bottom"/>
            <w:hideMark/>
          </w:tcPr>
          <w:p w14:paraId="36D3D6A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126.9</w:t>
            </w:r>
          </w:p>
        </w:tc>
        <w:tc>
          <w:tcPr>
            <w:tcW w:w="1296" w:type="dxa"/>
            <w:tcBorders>
              <w:top w:val="nil"/>
              <w:left w:val="nil"/>
              <w:bottom w:val="nil"/>
              <w:right w:val="nil"/>
            </w:tcBorders>
            <w:shd w:val="clear" w:color="auto" w:fill="auto"/>
            <w:noWrap/>
            <w:vAlign w:val="bottom"/>
            <w:hideMark/>
          </w:tcPr>
          <w:p w14:paraId="77DE301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70.8</w:t>
            </w:r>
          </w:p>
        </w:tc>
        <w:tc>
          <w:tcPr>
            <w:tcW w:w="1170" w:type="dxa"/>
            <w:tcBorders>
              <w:top w:val="nil"/>
              <w:left w:val="nil"/>
              <w:bottom w:val="nil"/>
              <w:right w:val="nil"/>
            </w:tcBorders>
            <w:shd w:val="clear" w:color="auto" w:fill="auto"/>
            <w:noWrap/>
            <w:vAlign w:val="bottom"/>
            <w:hideMark/>
          </w:tcPr>
          <w:p w14:paraId="21E6C88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64.3</w:t>
            </w:r>
          </w:p>
        </w:tc>
        <w:tc>
          <w:tcPr>
            <w:tcW w:w="996" w:type="dxa"/>
            <w:tcBorders>
              <w:top w:val="nil"/>
              <w:left w:val="nil"/>
              <w:bottom w:val="nil"/>
              <w:right w:val="nil"/>
            </w:tcBorders>
            <w:shd w:val="clear" w:color="auto" w:fill="auto"/>
            <w:noWrap/>
            <w:vAlign w:val="bottom"/>
            <w:hideMark/>
          </w:tcPr>
          <w:p w14:paraId="2DA7C07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135.1</w:t>
            </w:r>
          </w:p>
        </w:tc>
      </w:tr>
      <w:tr w:rsidR="00742C6D" w:rsidRPr="00547A82" w14:paraId="639815D8"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08CC8F13"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NLD</w:t>
            </w:r>
          </w:p>
        </w:tc>
        <w:tc>
          <w:tcPr>
            <w:tcW w:w="1440" w:type="dxa"/>
            <w:tcBorders>
              <w:top w:val="nil"/>
              <w:left w:val="nil"/>
              <w:bottom w:val="nil"/>
              <w:right w:val="nil"/>
            </w:tcBorders>
            <w:shd w:val="clear" w:color="auto" w:fill="auto"/>
            <w:noWrap/>
            <w:vAlign w:val="bottom"/>
            <w:hideMark/>
          </w:tcPr>
          <w:p w14:paraId="2A9985C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144.4</w:t>
            </w:r>
          </w:p>
        </w:tc>
        <w:tc>
          <w:tcPr>
            <w:tcW w:w="1154" w:type="dxa"/>
            <w:tcBorders>
              <w:top w:val="nil"/>
              <w:left w:val="nil"/>
              <w:bottom w:val="nil"/>
              <w:right w:val="nil"/>
            </w:tcBorders>
            <w:shd w:val="clear" w:color="auto" w:fill="auto"/>
            <w:noWrap/>
            <w:vAlign w:val="bottom"/>
            <w:hideMark/>
          </w:tcPr>
          <w:p w14:paraId="5EACD2E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62.6</w:t>
            </w:r>
          </w:p>
        </w:tc>
        <w:tc>
          <w:tcPr>
            <w:tcW w:w="1060" w:type="dxa"/>
            <w:tcBorders>
              <w:top w:val="nil"/>
              <w:left w:val="nil"/>
              <w:bottom w:val="nil"/>
              <w:right w:val="nil"/>
            </w:tcBorders>
            <w:shd w:val="clear" w:color="auto" w:fill="auto"/>
            <w:noWrap/>
            <w:vAlign w:val="bottom"/>
            <w:hideMark/>
          </w:tcPr>
          <w:p w14:paraId="272455B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207.0</w:t>
            </w:r>
          </w:p>
        </w:tc>
        <w:tc>
          <w:tcPr>
            <w:tcW w:w="1296" w:type="dxa"/>
            <w:tcBorders>
              <w:top w:val="nil"/>
              <w:left w:val="nil"/>
              <w:bottom w:val="nil"/>
              <w:right w:val="nil"/>
            </w:tcBorders>
            <w:shd w:val="clear" w:color="auto" w:fill="auto"/>
            <w:noWrap/>
            <w:vAlign w:val="bottom"/>
            <w:hideMark/>
          </w:tcPr>
          <w:p w14:paraId="37FA21B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121.2</w:t>
            </w:r>
          </w:p>
        </w:tc>
        <w:tc>
          <w:tcPr>
            <w:tcW w:w="1170" w:type="dxa"/>
            <w:tcBorders>
              <w:top w:val="nil"/>
              <w:left w:val="nil"/>
              <w:bottom w:val="nil"/>
              <w:right w:val="nil"/>
            </w:tcBorders>
            <w:shd w:val="clear" w:color="auto" w:fill="auto"/>
            <w:noWrap/>
            <w:vAlign w:val="bottom"/>
            <w:hideMark/>
          </w:tcPr>
          <w:p w14:paraId="11ECD64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66.2</w:t>
            </w:r>
          </w:p>
        </w:tc>
        <w:tc>
          <w:tcPr>
            <w:tcW w:w="996" w:type="dxa"/>
            <w:tcBorders>
              <w:top w:val="nil"/>
              <w:left w:val="nil"/>
              <w:bottom w:val="nil"/>
              <w:right w:val="nil"/>
            </w:tcBorders>
            <w:shd w:val="clear" w:color="auto" w:fill="auto"/>
            <w:noWrap/>
            <w:vAlign w:val="bottom"/>
            <w:hideMark/>
          </w:tcPr>
          <w:p w14:paraId="45E454D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187.4</w:t>
            </w:r>
          </w:p>
        </w:tc>
      </w:tr>
      <w:tr w:rsidR="00742C6D" w:rsidRPr="00547A82" w14:paraId="59769603" w14:textId="77777777" w:rsidTr="00742C6D">
        <w:trPr>
          <w:trHeight w:val="20"/>
          <w:jc w:val="center"/>
        </w:trPr>
        <w:tc>
          <w:tcPr>
            <w:tcW w:w="2160" w:type="dxa"/>
            <w:tcBorders>
              <w:top w:val="nil"/>
              <w:left w:val="nil"/>
              <w:bottom w:val="single" w:sz="4" w:space="0" w:color="auto"/>
              <w:right w:val="nil"/>
            </w:tcBorders>
            <w:shd w:val="clear" w:color="auto" w:fill="auto"/>
            <w:noWrap/>
            <w:vAlign w:val="bottom"/>
            <w:hideMark/>
          </w:tcPr>
          <w:p w14:paraId="5C8AF9D3"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GBR</w:t>
            </w:r>
          </w:p>
        </w:tc>
        <w:tc>
          <w:tcPr>
            <w:tcW w:w="1440" w:type="dxa"/>
            <w:tcBorders>
              <w:top w:val="nil"/>
              <w:left w:val="nil"/>
              <w:bottom w:val="single" w:sz="4" w:space="0" w:color="auto"/>
              <w:right w:val="nil"/>
            </w:tcBorders>
            <w:shd w:val="clear" w:color="auto" w:fill="auto"/>
            <w:noWrap/>
            <w:vAlign w:val="bottom"/>
            <w:hideMark/>
          </w:tcPr>
          <w:p w14:paraId="5A9F053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76.5</w:t>
            </w:r>
          </w:p>
        </w:tc>
        <w:tc>
          <w:tcPr>
            <w:tcW w:w="1154" w:type="dxa"/>
            <w:tcBorders>
              <w:top w:val="nil"/>
              <w:left w:val="nil"/>
              <w:bottom w:val="single" w:sz="4" w:space="0" w:color="auto"/>
              <w:right w:val="nil"/>
            </w:tcBorders>
            <w:shd w:val="clear" w:color="auto" w:fill="auto"/>
            <w:noWrap/>
            <w:vAlign w:val="bottom"/>
            <w:hideMark/>
          </w:tcPr>
          <w:p w14:paraId="2199037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55.2</w:t>
            </w:r>
          </w:p>
        </w:tc>
        <w:tc>
          <w:tcPr>
            <w:tcW w:w="1060" w:type="dxa"/>
            <w:tcBorders>
              <w:top w:val="nil"/>
              <w:left w:val="nil"/>
              <w:bottom w:val="single" w:sz="4" w:space="0" w:color="auto"/>
              <w:right w:val="nil"/>
            </w:tcBorders>
            <w:shd w:val="clear" w:color="auto" w:fill="auto"/>
            <w:noWrap/>
            <w:vAlign w:val="bottom"/>
            <w:hideMark/>
          </w:tcPr>
          <w:p w14:paraId="06262A2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131.7</w:t>
            </w:r>
          </w:p>
        </w:tc>
        <w:tc>
          <w:tcPr>
            <w:tcW w:w="1296" w:type="dxa"/>
            <w:tcBorders>
              <w:top w:val="nil"/>
              <w:left w:val="nil"/>
              <w:bottom w:val="single" w:sz="4" w:space="0" w:color="auto"/>
              <w:right w:val="nil"/>
            </w:tcBorders>
            <w:shd w:val="clear" w:color="auto" w:fill="auto"/>
            <w:noWrap/>
            <w:vAlign w:val="bottom"/>
            <w:hideMark/>
          </w:tcPr>
          <w:p w14:paraId="012B9F5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74.6</w:t>
            </w:r>
          </w:p>
        </w:tc>
        <w:tc>
          <w:tcPr>
            <w:tcW w:w="1170" w:type="dxa"/>
            <w:tcBorders>
              <w:top w:val="nil"/>
              <w:left w:val="nil"/>
              <w:bottom w:val="single" w:sz="4" w:space="0" w:color="auto"/>
              <w:right w:val="nil"/>
            </w:tcBorders>
            <w:shd w:val="clear" w:color="auto" w:fill="auto"/>
            <w:noWrap/>
            <w:vAlign w:val="bottom"/>
            <w:hideMark/>
          </w:tcPr>
          <w:p w14:paraId="018C948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62.5</w:t>
            </w:r>
          </w:p>
        </w:tc>
        <w:tc>
          <w:tcPr>
            <w:tcW w:w="996" w:type="dxa"/>
            <w:tcBorders>
              <w:top w:val="nil"/>
              <w:left w:val="nil"/>
              <w:bottom w:val="single" w:sz="4" w:space="0" w:color="auto"/>
              <w:right w:val="nil"/>
            </w:tcBorders>
            <w:shd w:val="clear" w:color="auto" w:fill="auto"/>
            <w:noWrap/>
            <w:vAlign w:val="bottom"/>
            <w:hideMark/>
          </w:tcPr>
          <w:p w14:paraId="092B340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137.1</w:t>
            </w:r>
          </w:p>
        </w:tc>
      </w:tr>
      <w:tr w:rsidR="00742C6D" w:rsidRPr="00547A82" w14:paraId="7BF8754B"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3565D085"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r w:rsidRPr="00547A82">
              <w:rPr>
                <w:rFonts w:ascii="Times New Roman" w:eastAsia="Times New Roman" w:hAnsi="Times New Roman" w:cs="Times New Roman"/>
                <w:b/>
                <w:bCs/>
                <w:color w:val="000000"/>
                <w:sz w:val="20"/>
                <w:szCs w:val="20"/>
              </w:rPr>
              <w:t>Tanzania</w:t>
            </w:r>
          </w:p>
        </w:tc>
        <w:tc>
          <w:tcPr>
            <w:tcW w:w="1440" w:type="dxa"/>
            <w:tcBorders>
              <w:top w:val="nil"/>
              <w:left w:val="nil"/>
              <w:bottom w:val="nil"/>
              <w:right w:val="nil"/>
            </w:tcBorders>
            <w:shd w:val="clear" w:color="auto" w:fill="auto"/>
            <w:noWrap/>
            <w:vAlign w:val="bottom"/>
            <w:hideMark/>
          </w:tcPr>
          <w:p w14:paraId="1DFD607A"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p>
        </w:tc>
        <w:tc>
          <w:tcPr>
            <w:tcW w:w="1154" w:type="dxa"/>
            <w:tcBorders>
              <w:top w:val="nil"/>
              <w:left w:val="nil"/>
              <w:bottom w:val="nil"/>
              <w:right w:val="nil"/>
            </w:tcBorders>
            <w:shd w:val="clear" w:color="auto" w:fill="auto"/>
            <w:noWrap/>
            <w:vAlign w:val="bottom"/>
            <w:hideMark/>
          </w:tcPr>
          <w:p w14:paraId="1C6AD9DA"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4A343625"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296" w:type="dxa"/>
            <w:tcBorders>
              <w:top w:val="nil"/>
              <w:left w:val="nil"/>
              <w:bottom w:val="nil"/>
              <w:right w:val="nil"/>
            </w:tcBorders>
            <w:shd w:val="clear" w:color="auto" w:fill="auto"/>
            <w:noWrap/>
            <w:vAlign w:val="bottom"/>
            <w:hideMark/>
          </w:tcPr>
          <w:p w14:paraId="500DFAE3"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70" w:type="dxa"/>
            <w:tcBorders>
              <w:top w:val="nil"/>
              <w:left w:val="nil"/>
              <w:bottom w:val="nil"/>
              <w:right w:val="nil"/>
            </w:tcBorders>
            <w:shd w:val="clear" w:color="auto" w:fill="auto"/>
            <w:noWrap/>
            <w:vAlign w:val="bottom"/>
            <w:hideMark/>
          </w:tcPr>
          <w:p w14:paraId="435EC150"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996" w:type="dxa"/>
            <w:tcBorders>
              <w:top w:val="nil"/>
              <w:left w:val="nil"/>
              <w:bottom w:val="nil"/>
              <w:right w:val="nil"/>
            </w:tcBorders>
            <w:shd w:val="clear" w:color="auto" w:fill="auto"/>
            <w:noWrap/>
            <w:vAlign w:val="bottom"/>
            <w:hideMark/>
          </w:tcPr>
          <w:p w14:paraId="252AF4A7" w14:textId="77777777" w:rsidR="00742C6D" w:rsidRPr="00547A82" w:rsidRDefault="00742C6D" w:rsidP="00742C6D">
            <w:pPr>
              <w:spacing w:after="0" w:line="240" w:lineRule="auto"/>
              <w:rPr>
                <w:rFonts w:ascii="Times New Roman" w:eastAsia="Times New Roman" w:hAnsi="Times New Roman" w:cs="Times New Roman"/>
                <w:sz w:val="20"/>
                <w:szCs w:val="20"/>
              </w:rPr>
            </w:pPr>
          </w:p>
        </w:tc>
      </w:tr>
      <w:tr w:rsidR="00742C6D" w:rsidRPr="00547A82" w14:paraId="0F781D98"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05B8BB28"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Total</w:t>
            </w:r>
          </w:p>
        </w:tc>
        <w:tc>
          <w:tcPr>
            <w:tcW w:w="1440" w:type="dxa"/>
            <w:tcBorders>
              <w:top w:val="nil"/>
              <w:left w:val="nil"/>
              <w:bottom w:val="nil"/>
              <w:right w:val="nil"/>
            </w:tcBorders>
            <w:shd w:val="clear" w:color="auto" w:fill="auto"/>
            <w:noWrap/>
            <w:vAlign w:val="bottom"/>
            <w:hideMark/>
          </w:tcPr>
          <w:p w14:paraId="1AF0993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11.4</w:t>
            </w:r>
          </w:p>
        </w:tc>
        <w:tc>
          <w:tcPr>
            <w:tcW w:w="1154" w:type="dxa"/>
            <w:tcBorders>
              <w:top w:val="nil"/>
              <w:left w:val="nil"/>
              <w:bottom w:val="nil"/>
              <w:right w:val="nil"/>
            </w:tcBorders>
            <w:shd w:val="clear" w:color="auto" w:fill="auto"/>
            <w:noWrap/>
            <w:vAlign w:val="bottom"/>
            <w:hideMark/>
          </w:tcPr>
          <w:p w14:paraId="1B32A8D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4.8</w:t>
            </w:r>
          </w:p>
        </w:tc>
        <w:tc>
          <w:tcPr>
            <w:tcW w:w="1060" w:type="dxa"/>
            <w:tcBorders>
              <w:top w:val="nil"/>
              <w:left w:val="nil"/>
              <w:bottom w:val="nil"/>
              <w:right w:val="nil"/>
            </w:tcBorders>
            <w:shd w:val="clear" w:color="auto" w:fill="auto"/>
            <w:noWrap/>
            <w:vAlign w:val="bottom"/>
            <w:hideMark/>
          </w:tcPr>
          <w:p w14:paraId="01846CD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16.2</w:t>
            </w:r>
          </w:p>
        </w:tc>
        <w:tc>
          <w:tcPr>
            <w:tcW w:w="1296" w:type="dxa"/>
            <w:tcBorders>
              <w:top w:val="nil"/>
              <w:left w:val="nil"/>
              <w:bottom w:val="nil"/>
              <w:right w:val="nil"/>
            </w:tcBorders>
            <w:shd w:val="clear" w:color="auto" w:fill="auto"/>
            <w:noWrap/>
            <w:vAlign w:val="bottom"/>
            <w:hideMark/>
          </w:tcPr>
          <w:p w14:paraId="504F5B8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9.3</w:t>
            </w:r>
          </w:p>
        </w:tc>
        <w:tc>
          <w:tcPr>
            <w:tcW w:w="1170" w:type="dxa"/>
            <w:tcBorders>
              <w:top w:val="nil"/>
              <w:left w:val="nil"/>
              <w:bottom w:val="nil"/>
              <w:right w:val="nil"/>
            </w:tcBorders>
            <w:shd w:val="clear" w:color="auto" w:fill="auto"/>
            <w:noWrap/>
            <w:vAlign w:val="bottom"/>
            <w:hideMark/>
          </w:tcPr>
          <w:p w14:paraId="0F7810F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35.8</w:t>
            </w:r>
          </w:p>
        </w:tc>
        <w:tc>
          <w:tcPr>
            <w:tcW w:w="996" w:type="dxa"/>
            <w:tcBorders>
              <w:top w:val="nil"/>
              <w:left w:val="nil"/>
              <w:bottom w:val="nil"/>
              <w:right w:val="nil"/>
            </w:tcBorders>
            <w:shd w:val="clear" w:color="auto" w:fill="auto"/>
            <w:noWrap/>
            <w:vAlign w:val="bottom"/>
            <w:hideMark/>
          </w:tcPr>
          <w:p w14:paraId="0C2F590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45.1</w:t>
            </w:r>
          </w:p>
        </w:tc>
      </w:tr>
      <w:tr w:rsidR="00742C6D" w:rsidRPr="00547A82" w14:paraId="14BDCCC8"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0E1409D8"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Small</w:t>
            </w:r>
          </w:p>
        </w:tc>
        <w:tc>
          <w:tcPr>
            <w:tcW w:w="1440" w:type="dxa"/>
            <w:tcBorders>
              <w:top w:val="nil"/>
              <w:left w:val="nil"/>
              <w:bottom w:val="nil"/>
              <w:right w:val="nil"/>
            </w:tcBorders>
            <w:shd w:val="clear" w:color="auto" w:fill="auto"/>
            <w:noWrap/>
            <w:vAlign w:val="bottom"/>
            <w:hideMark/>
          </w:tcPr>
          <w:p w14:paraId="31CA4AB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7.2</w:t>
            </w:r>
          </w:p>
        </w:tc>
        <w:tc>
          <w:tcPr>
            <w:tcW w:w="1154" w:type="dxa"/>
            <w:tcBorders>
              <w:top w:val="nil"/>
              <w:left w:val="nil"/>
              <w:bottom w:val="nil"/>
              <w:right w:val="nil"/>
            </w:tcBorders>
            <w:shd w:val="clear" w:color="auto" w:fill="auto"/>
            <w:noWrap/>
            <w:vAlign w:val="bottom"/>
            <w:hideMark/>
          </w:tcPr>
          <w:p w14:paraId="38A1C8A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3.6</w:t>
            </w:r>
          </w:p>
        </w:tc>
        <w:tc>
          <w:tcPr>
            <w:tcW w:w="1060" w:type="dxa"/>
            <w:tcBorders>
              <w:top w:val="nil"/>
              <w:left w:val="nil"/>
              <w:bottom w:val="nil"/>
              <w:right w:val="nil"/>
            </w:tcBorders>
            <w:shd w:val="clear" w:color="auto" w:fill="auto"/>
            <w:noWrap/>
            <w:vAlign w:val="bottom"/>
            <w:hideMark/>
          </w:tcPr>
          <w:p w14:paraId="319C0EB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10.8</w:t>
            </w:r>
          </w:p>
        </w:tc>
        <w:tc>
          <w:tcPr>
            <w:tcW w:w="1296" w:type="dxa"/>
            <w:tcBorders>
              <w:top w:val="nil"/>
              <w:left w:val="nil"/>
              <w:bottom w:val="nil"/>
              <w:right w:val="nil"/>
            </w:tcBorders>
            <w:shd w:val="clear" w:color="auto" w:fill="auto"/>
            <w:noWrap/>
            <w:vAlign w:val="bottom"/>
            <w:hideMark/>
          </w:tcPr>
          <w:p w14:paraId="4AECED4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5.9</w:t>
            </w:r>
          </w:p>
        </w:tc>
        <w:tc>
          <w:tcPr>
            <w:tcW w:w="1170" w:type="dxa"/>
            <w:tcBorders>
              <w:top w:val="nil"/>
              <w:left w:val="nil"/>
              <w:bottom w:val="nil"/>
              <w:right w:val="nil"/>
            </w:tcBorders>
            <w:shd w:val="clear" w:color="auto" w:fill="auto"/>
            <w:noWrap/>
            <w:vAlign w:val="bottom"/>
            <w:hideMark/>
          </w:tcPr>
          <w:p w14:paraId="7E57871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27.3</w:t>
            </w:r>
          </w:p>
        </w:tc>
        <w:tc>
          <w:tcPr>
            <w:tcW w:w="996" w:type="dxa"/>
            <w:tcBorders>
              <w:top w:val="nil"/>
              <w:left w:val="nil"/>
              <w:bottom w:val="nil"/>
              <w:right w:val="nil"/>
            </w:tcBorders>
            <w:shd w:val="clear" w:color="auto" w:fill="auto"/>
            <w:noWrap/>
            <w:vAlign w:val="bottom"/>
            <w:hideMark/>
          </w:tcPr>
          <w:p w14:paraId="7EE7914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33.2</w:t>
            </w:r>
          </w:p>
        </w:tc>
      </w:tr>
      <w:tr w:rsidR="00742C6D" w:rsidRPr="00547A82" w14:paraId="48444B1A"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5065C2BD"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Large</w:t>
            </w:r>
          </w:p>
        </w:tc>
        <w:tc>
          <w:tcPr>
            <w:tcW w:w="1440" w:type="dxa"/>
            <w:tcBorders>
              <w:top w:val="nil"/>
              <w:left w:val="nil"/>
              <w:bottom w:val="nil"/>
              <w:right w:val="nil"/>
            </w:tcBorders>
            <w:shd w:val="clear" w:color="auto" w:fill="auto"/>
            <w:noWrap/>
            <w:vAlign w:val="bottom"/>
            <w:hideMark/>
          </w:tcPr>
          <w:p w14:paraId="6AEC9B5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12.1</w:t>
            </w:r>
          </w:p>
        </w:tc>
        <w:tc>
          <w:tcPr>
            <w:tcW w:w="1154" w:type="dxa"/>
            <w:tcBorders>
              <w:top w:val="nil"/>
              <w:left w:val="nil"/>
              <w:bottom w:val="nil"/>
              <w:right w:val="nil"/>
            </w:tcBorders>
            <w:shd w:val="clear" w:color="auto" w:fill="auto"/>
            <w:noWrap/>
            <w:vAlign w:val="bottom"/>
            <w:hideMark/>
          </w:tcPr>
          <w:p w14:paraId="1210017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5.0</w:t>
            </w:r>
          </w:p>
        </w:tc>
        <w:tc>
          <w:tcPr>
            <w:tcW w:w="1060" w:type="dxa"/>
            <w:tcBorders>
              <w:top w:val="nil"/>
              <w:left w:val="nil"/>
              <w:bottom w:val="nil"/>
              <w:right w:val="nil"/>
            </w:tcBorders>
            <w:shd w:val="clear" w:color="auto" w:fill="auto"/>
            <w:noWrap/>
            <w:vAlign w:val="bottom"/>
            <w:hideMark/>
          </w:tcPr>
          <w:p w14:paraId="0B1425B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17.1</w:t>
            </w:r>
          </w:p>
        </w:tc>
        <w:tc>
          <w:tcPr>
            <w:tcW w:w="1296" w:type="dxa"/>
            <w:tcBorders>
              <w:top w:val="nil"/>
              <w:left w:val="nil"/>
              <w:bottom w:val="nil"/>
              <w:right w:val="nil"/>
            </w:tcBorders>
            <w:shd w:val="clear" w:color="auto" w:fill="auto"/>
            <w:noWrap/>
            <w:vAlign w:val="bottom"/>
            <w:hideMark/>
          </w:tcPr>
          <w:p w14:paraId="1EF8ADC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10.0</w:t>
            </w:r>
          </w:p>
        </w:tc>
        <w:tc>
          <w:tcPr>
            <w:tcW w:w="1170" w:type="dxa"/>
            <w:tcBorders>
              <w:top w:val="nil"/>
              <w:left w:val="nil"/>
              <w:bottom w:val="nil"/>
              <w:right w:val="nil"/>
            </w:tcBorders>
            <w:shd w:val="clear" w:color="auto" w:fill="auto"/>
            <w:noWrap/>
            <w:vAlign w:val="bottom"/>
            <w:hideMark/>
          </w:tcPr>
          <w:p w14:paraId="452ECD1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37.5</w:t>
            </w:r>
          </w:p>
        </w:tc>
        <w:tc>
          <w:tcPr>
            <w:tcW w:w="996" w:type="dxa"/>
            <w:tcBorders>
              <w:top w:val="nil"/>
              <w:left w:val="nil"/>
              <w:bottom w:val="nil"/>
              <w:right w:val="nil"/>
            </w:tcBorders>
            <w:shd w:val="clear" w:color="auto" w:fill="auto"/>
            <w:noWrap/>
            <w:vAlign w:val="bottom"/>
            <w:hideMark/>
          </w:tcPr>
          <w:p w14:paraId="2F7F78A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47.4</w:t>
            </w:r>
          </w:p>
        </w:tc>
      </w:tr>
      <w:tr w:rsidR="00742C6D" w:rsidRPr="00547A82" w14:paraId="54BEF17E"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7F01F344"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Foreign</w:t>
            </w:r>
          </w:p>
        </w:tc>
        <w:tc>
          <w:tcPr>
            <w:tcW w:w="1440" w:type="dxa"/>
            <w:tcBorders>
              <w:top w:val="nil"/>
              <w:left w:val="nil"/>
              <w:bottom w:val="nil"/>
              <w:right w:val="nil"/>
            </w:tcBorders>
            <w:shd w:val="clear" w:color="auto" w:fill="auto"/>
            <w:noWrap/>
            <w:vAlign w:val="bottom"/>
            <w:hideMark/>
          </w:tcPr>
          <w:p w14:paraId="08DE7B3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14.4</w:t>
            </w:r>
          </w:p>
        </w:tc>
        <w:tc>
          <w:tcPr>
            <w:tcW w:w="1154" w:type="dxa"/>
            <w:tcBorders>
              <w:top w:val="nil"/>
              <w:left w:val="nil"/>
              <w:bottom w:val="nil"/>
              <w:right w:val="nil"/>
            </w:tcBorders>
            <w:shd w:val="clear" w:color="auto" w:fill="auto"/>
            <w:noWrap/>
            <w:vAlign w:val="bottom"/>
            <w:hideMark/>
          </w:tcPr>
          <w:p w14:paraId="5A294B5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4.3</w:t>
            </w:r>
          </w:p>
        </w:tc>
        <w:tc>
          <w:tcPr>
            <w:tcW w:w="1060" w:type="dxa"/>
            <w:tcBorders>
              <w:top w:val="nil"/>
              <w:left w:val="nil"/>
              <w:bottom w:val="nil"/>
              <w:right w:val="nil"/>
            </w:tcBorders>
            <w:shd w:val="clear" w:color="auto" w:fill="auto"/>
            <w:noWrap/>
            <w:vAlign w:val="bottom"/>
            <w:hideMark/>
          </w:tcPr>
          <w:p w14:paraId="7D3C0D1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18.8</w:t>
            </w:r>
          </w:p>
        </w:tc>
        <w:tc>
          <w:tcPr>
            <w:tcW w:w="1296" w:type="dxa"/>
            <w:tcBorders>
              <w:top w:val="nil"/>
              <w:left w:val="nil"/>
              <w:bottom w:val="nil"/>
              <w:right w:val="nil"/>
            </w:tcBorders>
            <w:shd w:val="clear" w:color="auto" w:fill="auto"/>
            <w:noWrap/>
            <w:vAlign w:val="bottom"/>
            <w:hideMark/>
          </w:tcPr>
          <w:p w14:paraId="03CF05F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11.9</w:t>
            </w:r>
          </w:p>
        </w:tc>
        <w:tc>
          <w:tcPr>
            <w:tcW w:w="1170" w:type="dxa"/>
            <w:tcBorders>
              <w:top w:val="nil"/>
              <w:left w:val="nil"/>
              <w:bottom w:val="nil"/>
              <w:right w:val="nil"/>
            </w:tcBorders>
            <w:shd w:val="clear" w:color="auto" w:fill="auto"/>
            <w:noWrap/>
            <w:vAlign w:val="bottom"/>
            <w:hideMark/>
          </w:tcPr>
          <w:p w14:paraId="3823DF9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32.3</w:t>
            </w:r>
          </w:p>
        </w:tc>
        <w:tc>
          <w:tcPr>
            <w:tcW w:w="996" w:type="dxa"/>
            <w:tcBorders>
              <w:top w:val="nil"/>
              <w:left w:val="nil"/>
              <w:bottom w:val="nil"/>
              <w:right w:val="nil"/>
            </w:tcBorders>
            <w:shd w:val="clear" w:color="auto" w:fill="auto"/>
            <w:noWrap/>
            <w:vAlign w:val="bottom"/>
            <w:hideMark/>
          </w:tcPr>
          <w:p w14:paraId="53468DE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44.2</w:t>
            </w:r>
          </w:p>
        </w:tc>
      </w:tr>
      <w:tr w:rsidR="00742C6D" w:rsidRPr="00547A82" w14:paraId="42B11EC8"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3C436469"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Exporting</w:t>
            </w:r>
          </w:p>
        </w:tc>
        <w:tc>
          <w:tcPr>
            <w:tcW w:w="1440" w:type="dxa"/>
            <w:tcBorders>
              <w:top w:val="nil"/>
              <w:left w:val="nil"/>
              <w:bottom w:val="nil"/>
              <w:right w:val="nil"/>
            </w:tcBorders>
            <w:shd w:val="clear" w:color="auto" w:fill="auto"/>
            <w:noWrap/>
            <w:vAlign w:val="bottom"/>
            <w:hideMark/>
          </w:tcPr>
          <w:p w14:paraId="006FF0B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14.8</w:t>
            </w:r>
          </w:p>
        </w:tc>
        <w:tc>
          <w:tcPr>
            <w:tcW w:w="1154" w:type="dxa"/>
            <w:tcBorders>
              <w:top w:val="nil"/>
              <w:left w:val="nil"/>
              <w:bottom w:val="nil"/>
              <w:right w:val="nil"/>
            </w:tcBorders>
            <w:shd w:val="clear" w:color="auto" w:fill="auto"/>
            <w:noWrap/>
            <w:vAlign w:val="bottom"/>
            <w:hideMark/>
          </w:tcPr>
          <w:p w14:paraId="6172EE9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4.5</w:t>
            </w:r>
          </w:p>
        </w:tc>
        <w:tc>
          <w:tcPr>
            <w:tcW w:w="1060" w:type="dxa"/>
            <w:tcBorders>
              <w:top w:val="nil"/>
              <w:left w:val="nil"/>
              <w:bottom w:val="nil"/>
              <w:right w:val="nil"/>
            </w:tcBorders>
            <w:shd w:val="clear" w:color="auto" w:fill="auto"/>
            <w:noWrap/>
            <w:vAlign w:val="bottom"/>
            <w:hideMark/>
          </w:tcPr>
          <w:p w14:paraId="113789E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19.4</w:t>
            </w:r>
          </w:p>
        </w:tc>
        <w:tc>
          <w:tcPr>
            <w:tcW w:w="1296" w:type="dxa"/>
            <w:tcBorders>
              <w:top w:val="nil"/>
              <w:left w:val="nil"/>
              <w:bottom w:val="nil"/>
              <w:right w:val="nil"/>
            </w:tcBorders>
            <w:shd w:val="clear" w:color="auto" w:fill="auto"/>
            <w:noWrap/>
            <w:vAlign w:val="bottom"/>
            <w:hideMark/>
          </w:tcPr>
          <w:p w14:paraId="1AB1EB3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12.2</w:t>
            </w:r>
          </w:p>
        </w:tc>
        <w:tc>
          <w:tcPr>
            <w:tcW w:w="1170" w:type="dxa"/>
            <w:tcBorders>
              <w:top w:val="nil"/>
              <w:left w:val="nil"/>
              <w:bottom w:val="nil"/>
              <w:right w:val="nil"/>
            </w:tcBorders>
            <w:shd w:val="clear" w:color="auto" w:fill="auto"/>
            <w:noWrap/>
            <w:vAlign w:val="bottom"/>
            <w:hideMark/>
          </w:tcPr>
          <w:p w14:paraId="369A3CD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34.0</w:t>
            </w:r>
          </w:p>
        </w:tc>
        <w:tc>
          <w:tcPr>
            <w:tcW w:w="996" w:type="dxa"/>
            <w:tcBorders>
              <w:top w:val="nil"/>
              <w:left w:val="nil"/>
              <w:bottom w:val="nil"/>
              <w:right w:val="nil"/>
            </w:tcBorders>
            <w:shd w:val="clear" w:color="auto" w:fill="auto"/>
            <w:noWrap/>
            <w:vAlign w:val="bottom"/>
            <w:hideMark/>
          </w:tcPr>
          <w:p w14:paraId="561D722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46.1</w:t>
            </w:r>
          </w:p>
        </w:tc>
      </w:tr>
      <w:tr w:rsidR="00742C6D" w:rsidRPr="00547A82" w14:paraId="3D74B218"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1FF6A59E"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Top 10% K/L, large</w:t>
            </w:r>
          </w:p>
        </w:tc>
        <w:tc>
          <w:tcPr>
            <w:tcW w:w="1440" w:type="dxa"/>
            <w:tcBorders>
              <w:top w:val="nil"/>
              <w:left w:val="nil"/>
              <w:bottom w:val="nil"/>
              <w:right w:val="nil"/>
            </w:tcBorders>
            <w:shd w:val="clear" w:color="auto" w:fill="auto"/>
            <w:noWrap/>
            <w:vAlign w:val="bottom"/>
            <w:hideMark/>
          </w:tcPr>
          <w:p w14:paraId="543C526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71.7</w:t>
            </w:r>
          </w:p>
        </w:tc>
        <w:tc>
          <w:tcPr>
            <w:tcW w:w="1154" w:type="dxa"/>
            <w:tcBorders>
              <w:top w:val="nil"/>
              <w:left w:val="nil"/>
              <w:bottom w:val="nil"/>
              <w:right w:val="nil"/>
            </w:tcBorders>
            <w:shd w:val="clear" w:color="auto" w:fill="auto"/>
            <w:noWrap/>
            <w:vAlign w:val="bottom"/>
            <w:hideMark/>
          </w:tcPr>
          <w:p w14:paraId="2931EF2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26.4</w:t>
            </w:r>
          </w:p>
        </w:tc>
        <w:tc>
          <w:tcPr>
            <w:tcW w:w="1060" w:type="dxa"/>
            <w:tcBorders>
              <w:top w:val="nil"/>
              <w:left w:val="nil"/>
              <w:bottom w:val="nil"/>
              <w:right w:val="nil"/>
            </w:tcBorders>
            <w:shd w:val="clear" w:color="auto" w:fill="auto"/>
            <w:noWrap/>
            <w:vAlign w:val="bottom"/>
            <w:hideMark/>
          </w:tcPr>
          <w:p w14:paraId="7BB01AF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98.1</w:t>
            </w:r>
          </w:p>
        </w:tc>
        <w:tc>
          <w:tcPr>
            <w:tcW w:w="1296" w:type="dxa"/>
            <w:tcBorders>
              <w:top w:val="nil"/>
              <w:left w:val="nil"/>
              <w:bottom w:val="nil"/>
              <w:right w:val="nil"/>
            </w:tcBorders>
            <w:shd w:val="clear" w:color="auto" w:fill="auto"/>
            <w:noWrap/>
            <w:vAlign w:val="bottom"/>
            <w:hideMark/>
          </w:tcPr>
          <w:p w14:paraId="2E08066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58.9</w:t>
            </w:r>
          </w:p>
        </w:tc>
        <w:tc>
          <w:tcPr>
            <w:tcW w:w="1170" w:type="dxa"/>
            <w:tcBorders>
              <w:top w:val="nil"/>
              <w:left w:val="nil"/>
              <w:bottom w:val="nil"/>
              <w:right w:val="nil"/>
            </w:tcBorders>
            <w:shd w:val="clear" w:color="auto" w:fill="auto"/>
            <w:noWrap/>
            <w:vAlign w:val="bottom"/>
            <w:hideMark/>
          </w:tcPr>
          <w:p w14:paraId="04EA2A3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197.8</w:t>
            </w:r>
          </w:p>
        </w:tc>
        <w:tc>
          <w:tcPr>
            <w:tcW w:w="996" w:type="dxa"/>
            <w:tcBorders>
              <w:top w:val="nil"/>
              <w:left w:val="nil"/>
              <w:bottom w:val="nil"/>
              <w:right w:val="nil"/>
            </w:tcBorders>
            <w:shd w:val="clear" w:color="auto" w:fill="auto"/>
            <w:noWrap/>
            <w:vAlign w:val="bottom"/>
            <w:hideMark/>
          </w:tcPr>
          <w:p w14:paraId="2662F59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256.6</w:t>
            </w:r>
          </w:p>
        </w:tc>
      </w:tr>
      <w:tr w:rsidR="00742C6D" w:rsidRPr="00547A82" w14:paraId="030070BF"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40E10F72"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Mid 80% K/L, large</w:t>
            </w:r>
          </w:p>
        </w:tc>
        <w:tc>
          <w:tcPr>
            <w:tcW w:w="1440" w:type="dxa"/>
            <w:tcBorders>
              <w:top w:val="nil"/>
              <w:left w:val="nil"/>
              <w:bottom w:val="nil"/>
              <w:right w:val="nil"/>
            </w:tcBorders>
            <w:shd w:val="clear" w:color="auto" w:fill="auto"/>
            <w:noWrap/>
            <w:vAlign w:val="bottom"/>
            <w:hideMark/>
          </w:tcPr>
          <w:p w14:paraId="151A624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8.2</w:t>
            </w:r>
          </w:p>
        </w:tc>
        <w:tc>
          <w:tcPr>
            <w:tcW w:w="1154" w:type="dxa"/>
            <w:tcBorders>
              <w:top w:val="nil"/>
              <w:left w:val="nil"/>
              <w:bottom w:val="nil"/>
              <w:right w:val="nil"/>
            </w:tcBorders>
            <w:shd w:val="clear" w:color="auto" w:fill="auto"/>
            <w:noWrap/>
            <w:vAlign w:val="bottom"/>
            <w:hideMark/>
          </w:tcPr>
          <w:p w14:paraId="3038294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3.6</w:t>
            </w:r>
          </w:p>
        </w:tc>
        <w:tc>
          <w:tcPr>
            <w:tcW w:w="1060" w:type="dxa"/>
            <w:tcBorders>
              <w:top w:val="nil"/>
              <w:left w:val="nil"/>
              <w:bottom w:val="nil"/>
              <w:right w:val="nil"/>
            </w:tcBorders>
            <w:shd w:val="clear" w:color="auto" w:fill="auto"/>
            <w:noWrap/>
            <w:vAlign w:val="bottom"/>
            <w:hideMark/>
          </w:tcPr>
          <w:p w14:paraId="7594AEE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11.8</w:t>
            </w:r>
          </w:p>
        </w:tc>
        <w:tc>
          <w:tcPr>
            <w:tcW w:w="1296" w:type="dxa"/>
            <w:tcBorders>
              <w:top w:val="nil"/>
              <w:left w:val="nil"/>
              <w:bottom w:val="nil"/>
              <w:right w:val="nil"/>
            </w:tcBorders>
            <w:shd w:val="clear" w:color="auto" w:fill="auto"/>
            <w:noWrap/>
            <w:vAlign w:val="bottom"/>
            <w:hideMark/>
          </w:tcPr>
          <w:p w14:paraId="6406EED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6.7</w:t>
            </w:r>
          </w:p>
        </w:tc>
        <w:tc>
          <w:tcPr>
            <w:tcW w:w="1170" w:type="dxa"/>
            <w:tcBorders>
              <w:top w:val="nil"/>
              <w:left w:val="nil"/>
              <w:bottom w:val="nil"/>
              <w:right w:val="nil"/>
            </w:tcBorders>
            <w:shd w:val="clear" w:color="auto" w:fill="auto"/>
            <w:noWrap/>
            <w:vAlign w:val="bottom"/>
            <w:hideMark/>
          </w:tcPr>
          <w:p w14:paraId="7906ACC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27.2</w:t>
            </w:r>
          </w:p>
        </w:tc>
        <w:tc>
          <w:tcPr>
            <w:tcW w:w="996" w:type="dxa"/>
            <w:tcBorders>
              <w:top w:val="nil"/>
              <w:left w:val="nil"/>
              <w:bottom w:val="nil"/>
              <w:right w:val="nil"/>
            </w:tcBorders>
            <w:shd w:val="clear" w:color="auto" w:fill="auto"/>
            <w:noWrap/>
            <w:vAlign w:val="bottom"/>
            <w:hideMark/>
          </w:tcPr>
          <w:p w14:paraId="101EA72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34.0</w:t>
            </w:r>
          </w:p>
        </w:tc>
      </w:tr>
      <w:tr w:rsidR="00742C6D" w:rsidRPr="00547A82" w14:paraId="531FF0DC"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42F20B7B"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Bottom 10% K/L, large</w:t>
            </w:r>
          </w:p>
        </w:tc>
        <w:tc>
          <w:tcPr>
            <w:tcW w:w="1440" w:type="dxa"/>
            <w:tcBorders>
              <w:top w:val="nil"/>
              <w:left w:val="nil"/>
              <w:bottom w:val="nil"/>
              <w:right w:val="nil"/>
            </w:tcBorders>
            <w:shd w:val="clear" w:color="auto" w:fill="auto"/>
            <w:noWrap/>
            <w:vAlign w:val="bottom"/>
            <w:hideMark/>
          </w:tcPr>
          <w:p w14:paraId="5AAF3B1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4.3</w:t>
            </w:r>
          </w:p>
        </w:tc>
        <w:tc>
          <w:tcPr>
            <w:tcW w:w="1154" w:type="dxa"/>
            <w:tcBorders>
              <w:top w:val="nil"/>
              <w:left w:val="nil"/>
              <w:bottom w:val="nil"/>
              <w:right w:val="nil"/>
            </w:tcBorders>
            <w:shd w:val="clear" w:color="auto" w:fill="auto"/>
            <w:noWrap/>
            <w:vAlign w:val="bottom"/>
            <w:hideMark/>
          </w:tcPr>
          <w:p w14:paraId="0F7A9DD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1.2</w:t>
            </w:r>
          </w:p>
        </w:tc>
        <w:tc>
          <w:tcPr>
            <w:tcW w:w="1060" w:type="dxa"/>
            <w:tcBorders>
              <w:top w:val="nil"/>
              <w:left w:val="nil"/>
              <w:bottom w:val="nil"/>
              <w:right w:val="nil"/>
            </w:tcBorders>
            <w:shd w:val="clear" w:color="auto" w:fill="auto"/>
            <w:noWrap/>
            <w:vAlign w:val="bottom"/>
            <w:hideMark/>
          </w:tcPr>
          <w:p w14:paraId="6E05718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5.5</w:t>
            </w:r>
          </w:p>
        </w:tc>
        <w:tc>
          <w:tcPr>
            <w:tcW w:w="1296" w:type="dxa"/>
            <w:tcBorders>
              <w:top w:val="nil"/>
              <w:left w:val="nil"/>
              <w:bottom w:val="nil"/>
              <w:right w:val="nil"/>
            </w:tcBorders>
            <w:shd w:val="clear" w:color="auto" w:fill="auto"/>
            <w:noWrap/>
            <w:vAlign w:val="bottom"/>
            <w:hideMark/>
          </w:tcPr>
          <w:p w14:paraId="61E14BF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3.5</w:t>
            </w:r>
          </w:p>
        </w:tc>
        <w:tc>
          <w:tcPr>
            <w:tcW w:w="1170" w:type="dxa"/>
            <w:tcBorders>
              <w:top w:val="nil"/>
              <w:left w:val="nil"/>
              <w:bottom w:val="nil"/>
              <w:right w:val="nil"/>
            </w:tcBorders>
            <w:shd w:val="clear" w:color="auto" w:fill="auto"/>
            <w:noWrap/>
            <w:vAlign w:val="bottom"/>
            <w:hideMark/>
          </w:tcPr>
          <w:p w14:paraId="1B2D242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9.1</w:t>
            </w:r>
          </w:p>
        </w:tc>
        <w:tc>
          <w:tcPr>
            <w:tcW w:w="996" w:type="dxa"/>
            <w:tcBorders>
              <w:top w:val="nil"/>
              <w:left w:val="nil"/>
              <w:bottom w:val="nil"/>
              <w:right w:val="nil"/>
            </w:tcBorders>
            <w:shd w:val="clear" w:color="auto" w:fill="auto"/>
            <w:noWrap/>
            <w:vAlign w:val="bottom"/>
            <w:hideMark/>
          </w:tcPr>
          <w:p w14:paraId="2DD157B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12.6</w:t>
            </w:r>
          </w:p>
        </w:tc>
      </w:tr>
      <w:tr w:rsidR="00742C6D" w:rsidRPr="00547A82" w14:paraId="692ABC53"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0B6803CA"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New large</w:t>
            </w:r>
          </w:p>
        </w:tc>
        <w:tc>
          <w:tcPr>
            <w:tcW w:w="1440" w:type="dxa"/>
            <w:tcBorders>
              <w:top w:val="nil"/>
              <w:left w:val="nil"/>
              <w:bottom w:val="nil"/>
              <w:right w:val="nil"/>
            </w:tcBorders>
            <w:shd w:val="clear" w:color="auto" w:fill="auto"/>
            <w:noWrap/>
            <w:vAlign w:val="bottom"/>
            <w:hideMark/>
          </w:tcPr>
          <w:p w14:paraId="3066040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14.1</w:t>
            </w:r>
          </w:p>
        </w:tc>
        <w:tc>
          <w:tcPr>
            <w:tcW w:w="1154" w:type="dxa"/>
            <w:tcBorders>
              <w:top w:val="nil"/>
              <w:left w:val="nil"/>
              <w:bottom w:val="nil"/>
              <w:right w:val="nil"/>
            </w:tcBorders>
            <w:shd w:val="clear" w:color="auto" w:fill="auto"/>
            <w:noWrap/>
            <w:vAlign w:val="bottom"/>
            <w:hideMark/>
          </w:tcPr>
          <w:p w14:paraId="54B5110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6.8</w:t>
            </w:r>
          </w:p>
        </w:tc>
        <w:tc>
          <w:tcPr>
            <w:tcW w:w="1060" w:type="dxa"/>
            <w:tcBorders>
              <w:top w:val="nil"/>
              <w:left w:val="nil"/>
              <w:bottom w:val="nil"/>
              <w:right w:val="nil"/>
            </w:tcBorders>
            <w:shd w:val="clear" w:color="auto" w:fill="auto"/>
            <w:noWrap/>
            <w:vAlign w:val="bottom"/>
            <w:hideMark/>
          </w:tcPr>
          <w:p w14:paraId="415B11E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20.9</w:t>
            </w:r>
          </w:p>
        </w:tc>
        <w:tc>
          <w:tcPr>
            <w:tcW w:w="1296" w:type="dxa"/>
            <w:tcBorders>
              <w:top w:val="nil"/>
              <w:left w:val="nil"/>
              <w:bottom w:val="nil"/>
              <w:right w:val="nil"/>
            </w:tcBorders>
            <w:shd w:val="clear" w:color="auto" w:fill="auto"/>
            <w:noWrap/>
            <w:vAlign w:val="bottom"/>
            <w:hideMark/>
          </w:tcPr>
          <w:p w14:paraId="5DC9EAD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11.6</w:t>
            </w:r>
          </w:p>
        </w:tc>
        <w:tc>
          <w:tcPr>
            <w:tcW w:w="1170" w:type="dxa"/>
            <w:tcBorders>
              <w:top w:val="nil"/>
              <w:left w:val="nil"/>
              <w:bottom w:val="nil"/>
              <w:right w:val="nil"/>
            </w:tcBorders>
            <w:shd w:val="clear" w:color="auto" w:fill="auto"/>
            <w:noWrap/>
            <w:vAlign w:val="bottom"/>
            <w:hideMark/>
          </w:tcPr>
          <w:p w14:paraId="2643D90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50.7</w:t>
            </w:r>
          </w:p>
        </w:tc>
        <w:tc>
          <w:tcPr>
            <w:tcW w:w="996" w:type="dxa"/>
            <w:tcBorders>
              <w:top w:val="nil"/>
              <w:left w:val="nil"/>
              <w:bottom w:val="nil"/>
              <w:right w:val="nil"/>
            </w:tcBorders>
            <w:shd w:val="clear" w:color="auto" w:fill="auto"/>
            <w:noWrap/>
            <w:vAlign w:val="bottom"/>
            <w:hideMark/>
          </w:tcPr>
          <w:p w14:paraId="13E8E87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62.3</w:t>
            </w:r>
          </w:p>
        </w:tc>
      </w:tr>
      <w:tr w:rsidR="00742C6D" w:rsidRPr="00547A82" w14:paraId="4949953F" w14:textId="77777777" w:rsidTr="00742C6D">
        <w:trPr>
          <w:trHeight w:val="20"/>
          <w:jc w:val="center"/>
        </w:trPr>
        <w:tc>
          <w:tcPr>
            <w:tcW w:w="2160" w:type="dxa"/>
            <w:tcBorders>
              <w:top w:val="nil"/>
              <w:left w:val="nil"/>
              <w:bottom w:val="single" w:sz="4" w:space="0" w:color="auto"/>
              <w:right w:val="nil"/>
            </w:tcBorders>
            <w:shd w:val="clear" w:color="auto" w:fill="auto"/>
            <w:noWrap/>
            <w:vAlign w:val="bottom"/>
            <w:hideMark/>
          </w:tcPr>
          <w:p w14:paraId="2787A49B"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Old large</w:t>
            </w:r>
          </w:p>
        </w:tc>
        <w:tc>
          <w:tcPr>
            <w:tcW w:w="1440" w:type="dxa"/>
            <w:tcBorders>
              <w:top w:val="nil"/>
              <w:left w:val="nil"/>
              <w:bottom w:val="single" w:sz="4" w:space="0" w:color="auto"/>
              <w:right w:val="nil"/>
            </w:tcBorders>
            <w:shd w:val="clear" w:color="auto" w:fill="auto"/>
            <w:noWrap/>
            <w:vAlign w:val="bottom"/>
            <w:hideMark/>
          </w:tcPr>
          <w:p w14:paraId="19C289B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10.3</w:t>
            </w:r>
          </w:p>
        </w:tc>
        <w:tc>
          <w:tcPr>
            <w:tcW w:w="1154" w:type="dxa"/>
            <w:tcBorders>
              <w:top w:val="nil"/>
              <w:left w:val="nil"/>
              <w:bottom w:val="single" w:sz="4" w:space="0" w:color="auto"/>
              <w:right w:val="nil"/>
            </w:tcBorders>
            <w:shd w:val="clear" w:color="auto" w:fill="auto"/>
            <w:noWrap/>
            <w:vAlign w:val="bottom"/>
            <w:hideMark/>
          </w:tcPr>
          <w:p w14:paraId="572A7FF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3.6</w:t>
            </w:r>
          </w:p>
        </w:tc>
        <w:tc>
          <w:tcPr>
            <w:tcW w:w="1060" w:type="dxa"/>
            <w:tcBorders>
              <w:top w:val="nil"/>
              <w:left w:val="nil"/>
              <w:bottom w:val="single" w:sz="4" w:space="0" w:color="auto"/>
              <w:right w:val="nil"/>
            </w:tcBorders>
            <w:shd w:val="clear" w:color="auto" w:fill="auto"/>
            <w:noWrap/>
            <w:vAlign w:val="bottom"/>
            <w:hideMark/>
          </w:tcPr>
          <w:p w14:paraId="147CB11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13.8</w:t>
            </w:r>
          </w:p>
        </w:tc>
        <w:tc>
          <w:tcPr>
            <w:tcW w:w="1296" w:type="dxa"/>
            <w:tcBorders>
              <w:top w:val="nil"/>
              <w:left w:val="nil"/>
              <w:bottom w:val="single" w:sz="4" w:space="0" w:color="auto"/>
              <w:right w:val="nil"/>
            </w:tcBorders>
            <w:shd w:val="clear" w:color="auto" w:fill="auto"/>
            <w:noWrap/>
            <w:vAlign w:val="bottom"/>
            <w:hideMark/>
          </w:tcPr>
          <w:p w14:paraId="0EA3020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8.4</w:t>
            </w:r>
          </w:p>
        </w:tc>
        <w:tc>
          <w:tcPr>
            <w:tcW w:w="1170" w:type="dxa"/>
            <w:tcBorders>
              <w:top w:val="nil"/>
              <w:left w:val="nil"/>
              <w:bottom w:val="single" w:sz="4" w:space="0" w:color="auto"/>
              <w:right w:val="nil"/>
            </w:tcBorders>
            <w:shd w:val="clear" w:color="auto" w:fill="auto"/>
            <w:noWrap/>
            <w:vAlign w:val="bottom"/>
            <w:hideMark/>
          </w:tcPr>
          <w:p w14:paraId="1E914FE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26.9</w:t>
            </w:r>
          </w:p>
        </w:tc>
        <w:tc>
          <w:tcPr>
            <w:tcW w:w="996" w:type="dxa"/>
            <w:tcBorders>
              <w:top w:val="nil"/>
              <w:left w:val="nil"/>
              <w:bottom w:val="single" w:sz="4" w:space="0" w:color="auto"/>
              <w:right w:val="nil"/>
            </w:tcBorders>
            <w:shd w:val="clear" w:color="auto" w:fill="auto"/>
            <w:noWrap/>
            <w:vAlign w:val="bottom"/>
            <w:hideMark/>
          </w:tcPr>
          <w:p w14:paraId="47B36C2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35.3</w:t>
            </w:r>
          </w:p>
        </w:tc>
      </w:tr>
      <w:tr w:rsidR="00742C6D" w:rsidRPr="00547A82" w14:paraId="745FB06F"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26EF73BF"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r w:rsidRPr="00547A82">
              <w:rPr>
                <w:rFonts w:ascii="Times New Roman" w:eastAsia="Times New Roman" w:hAnsi="Times New Roman" w:cs="Times New Roman"/>
                <w:b/>
                <w:bCs/>
                <w:color w:val="000000"/>
                <w:sz w:val="20"/>
                <w:szCs w:val="20"/>
              </w:rPr>
              <w:t>Ethiopia</w:t>
            </w:r>
          </w:p>
        </w:tc>
        <w:tc>
          <w:tcPr>
            <w:tcW w:w="1440" w:type="dxa"/>
            <w:tcBorders>
              <w:top w:val="nil"/>
              <w:left w:val="nil"/>
              <w:bottom w:val="nil"/>
              <w:right w:val="nil"/>
            </w:tcBorders>
            <w:shd w:val="clear" w:color="auto" w:fill="auto"/>
            <w:noWrap/>
            <w:vAlign w:val="bottom"/>
            <w:hideMark/>
          </w:tcPr>
          <w:p w14:paraId="4B382267"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p>
        </w:tc>
        <w:tc>
          <w:tcPr>
            <w:tcW w:w="1154" w:type="dxa"/>
            <w:tcBorders>
              <w:top w:val="nil"/>
              <w:left w:val="nil"/>
              <w:bottom w:val="nil"/>
              <w:right w:val="nil"/>
            </w:tcBorders>
            <w:shd w:val="clear" w:color="auto" w:fill="auto"/>
            <w:noWrap/>
            <w:vAlign w:val="bottom"/>
            <w:hideMark/>
          </w:tcPr>
          <w:p w14:paraId="438CB637"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14:paraId="08372BEF"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296" w:type="dxa"/>
            <w:tcBorders>
              <w:top w:val="nil"/>
              <w:left w:val="nil"/>
              <w:bottom w:val="nil"/>
              <w:right w:val="nil"/>
            </w:tcBorders>
            <w:shd w:val="clear" w:color="auto" w:fill="auto"/>
            <w:noWrap/>
            <w:vAlign w:val="bottom"/>
            <w:hideMark/>
          </w:tcPr>
          <w:p w14:paraId="479D1C08"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70" w:type="dxa"/>
            <w:tcBorders>
              <w:top w:val="nil"/>
              <w:left w:val="nil"/>
              <w:bottom w:val="nil"/>
              <w:right w:val="nil"/>
            </w:tcBorders>
            <w:shd w:val="clear" w:color="auto" w:fill="auto"/>
            <w:noWrap/>
            <w:vAlign w:val="bottom"/>
            <w:hideMark/>
          </w:tcPr>
          <w:p w14:paraId="71493F30"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996" w:type="dxa"/>
            <w:tcBorders>
              <w:top w:val="nil"/>
              <w:left w:val="nil"/>
              <w:bottom w:val="nil"/>
              <w:right w:val="nil"/>
            </w:tcBorders>
            <w:shd w:val="clear" w:color="auto" w:fill="auto"/>
            <w:noWrap/>
            <w:vAlign w:val="bottom"/>
            <w:hideMark/>
          </w:tcPr>
          <w:p w14:paraId="2209FDF0" w14:textId="77777777" w:rsidR="00742C6D" w:rsidRPr="00547A82" w:rsidRDefault="00742C6D" w:rsidP="00742C6D">
            <w:pPr>
              <w:spacing w:after="0" w:line="240" w:lineRule="auto"/>
              <w:rPr>
                <w:rFonts w:ascii="Times New Roman" w:eastAsia="Times New Roman" w:hAnsi="Times New Roman" w:cs="Times New Roman"/>
                <w:sz w:val="20"/>
                <w:szCs w:val="20"/>
              </w:rPr>
            </w:pPr>
          </w:p>
        </w:tc>
      </w:tr>
      <w:tr w:rsidR="00742C6D" w:rsidRPr="00547A82" w14:paraId="305D24E3"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160080C5"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Total</w:t>
            </w:r>
          </w:p>
        </w:tc>
        <w:tc>
          <w:tcPr>
            <w:tcW w:w="1440" w:type="dxa"/>
            <w:tcBorders>
              <w:top w:val="nil"/>
              <w:left w:val="nil"/>
              <w:bottom w:val="nil"/>
              <w:right w:val="nil"/>
            </w:tcBorders>
            <w:shd w:val="clear" w:color="auto" w:fill="auto"/>
            <w:noWrap/>
            <w:vAlign w:val="bottom"/>
            <w:hideMark/>
          </w:tcPr>
          <w:p w14:paraId="2C58D58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6.1</w:t>
            </w:r>
          </w:p>
        </w:tc>
        <w:tc>
          <w:tcPr>
            <w:tcW w:w="1154" w:type="dxa"/>
            <w:tcBorders>
              <w:top w:val="nil"/>
              <w:left w:val="nil"/>
              <w:bottom w:val="nil"/>
              <w:right w:val="nil"/>
            </w:tcBorders>
            <w:shd w:val="clear" w:color="auto" w:fill="auto"/>
            <w:noWrap/>
            <w:vAlign w:val="bottom"/>
            <w:hideMark/>
          </w:tcPr>
          <w:p w14:paraId="6703FB8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3.0</w:t>
            </w:r>
          </w:p>
        </w:tc>
        <w:tc>
          <w:tcPr>
            <w:tcW w:w="1060" w:type="dxa"/>
            <w:tcBorders>
              <w:top w:val="nil"/>
              <w:left w:val="nil"/>
              <w:bottom w:val="nil"/>
              <w:right w:val="nil"/>
            </w:tcBorders>
            <w:shd w:val="clear" w:color="auto" w:fill="auto"/>
            <w:noWrap/>
            <w:vAlign w:val="bottom"/>
            <w:hideMark/>
          </w:tcPr>
          <w:p w14:paraId="1ED523F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9.0</w:t>
            </w:r>
          </w:p>
        </w:tc>
        <w:tc>
          <w:tcPr>
            <w:tcW w:w="1296" w:type="dxa"/>
            <w:tcBorders>
              <w:top w:val="nil"/>
              <w:left w:val="nil"/>
              <w:bottom w:val="nil"/>
              <w:right w:val="nil"/>
            </w:tcBorders>
            <w:shd w:val="clear" w:color="auto" w:fill="auto"/>
            <w:noWrap/>
            <w:vAlign w:val="bottom"/>
            <w:hideMark/>
          </w:tcPr>
          <w:p w14:paraId="71D17DD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4.3</w:t>
            </w:r>
          </w:p>
        </w:tc>
        <w:tc>
          <w:tcPr>
            <w:tcW w:w="1170" w:type="dxa"/>
            <w:tcBorders>
              <w:top w:val="nil"/>
              <w:left w:val="nil"/>
              <w:bottom w:val="nil"/>
              <w:right w:val="nil"/>
            </w:tcBorders>
            <w:shd w:val="clear" w:color="auto" w:fill="auto"/>
            <w:noWrap/>
            <w:vAlign w:val="bottom"/>
            <w:hideMark/>
          </w:tcPr>
          <w:p w14:paraId="0CD67DE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17.1</w:t>
            </w:r>
          </w:p>
        </w:tc>
        <w:tc>
          <w:tcPr>
            <w:tcW w:w="996" w:type="dxa"/>
            <w:tcBorders>
              <w:top w:val="nil"/>
              <w:left w:val="nil"/>
              <w:bottom w:val="nil"/>
              <w:right w:val="nil"/>
            </w:tcBorders>
            <w:shd w:val="clear" w:color="auto" w:fill="auto"/>
            <w:noWrap/>
            <w:vAlign w:val="bottom"/>
            <w:hideMark/>
          </w:tcPr>
          <w:p w14:paraId="1BA8A8B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21.4</w:t>
            </w:r>
          </w:p>
        </w:tc>
      </w:tr>
      <w:tr w:rsidR="00742C6D" w:rsidRPr="00547A82" w14:paraId="4D0B4B71"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005CD8FB"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Small</w:t>
            </w:r>
          </w:p>
        </w:tc>
        <w:tc>
          <w:tcPr>
            <w:tcW w:w="1440" w:type="dxa"/>
            <w:tcBorders>
              <w:top w:val="nil"/>
              <w:left w:val="nil"/>
              <w:bottom w:val="nil"/>
              <w:right w:val="nil"/>
            </w:tcBorders>
            <w:shd w:val="clear" w:color="auto" w:fill="auto"/>
            <w:noWrap/>
            <w:vAlign w:val="bottom"/>
            <w:hideMark/>
          </w:tcPr>
          <w:p w14:paraId="04FCD7B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2.9</w:t>
            </w:r>
          </w:p>
        </w:tc>
        <w:tc>
          <w:tcPr>
            <w:tcW w:w="1154" w:type="dxa"/>
            <w:tcBorders>
              <w:top w:val="nil"/>
              <w:left w:val="nil"/>
              <w:bottom w:val="nil"/>
              <w:right w:val="nil"/>
            </w:tcBorders>
            <w:shd w:val="clear" w:color="auto" w:fill="auto"/>
            <w:noWrap/>
            <w:vAlign w:val="bottom"/>
            <w:hideMark/>
          </w:tcPr>
          <w:p w14:paraId="72EC931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2.2</w:t>
            </w:r>
          </w:p>
        </w:tc>
        <w:tc>
          <w:tcPr>
            <w:tcW w:w="1060" w:type="dxa"/>
            <w:tcBorders>
              <w:top w:val="nil"/>
              <w:left w:val="nil"/>
              <w:bottom w:val="nil"/>
              <w:right w:val="nil"/>
            </w:tcBorders>
            <w:shd w:val="clear" w:color="auto" w:fill="auto"/>
            <w:noWrap/>
            <w:vAlign w:val="bottom"/>
            <w:hideMark/>
          </w:tcPr>
          <w:p w14:paraId="78D310F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5.1</w:t>
            </w:r>
          </w:p>
        </w:tc>
        <w:tc>
          <w:tcPr>
            <w:tcW w:w="1296" w:type="dxa"/>
            <w:tcBorders>
              <w:top w:val="nil"/>
              <w:left w:val="nil"/>
              <w:bottom w:val="nil"/>
              <w:right w:val="nil"/>
            </w:tcBorders>
            <w:shd w:val="clear" w:color="auto" w:fill="auto"/>
            <w:noWrap/>
            <w:vAlign w:val="bottom"/>
            <w:hideMark/>
          </w:tcPr>
          <w:p w14:paraId="543E84F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2.0</w:t>
            </w:r>
          </w:p>
        </w:tc>
        <w:tc>
          <w:tcPr>
            <w:tcW w:w="1170" w:type="dxa"/>
            <w:tcBorders>
              <w:top w:val="nil"/>
              <w:left w:val="nil"/>
              <w:bottom w:val="nil"/>
              <w:right w:val="nil"/>
            </w:tcBorders>
            <w:shd w:val="clear" w:color="auto" w:fill="auto"/>
            <w:noWrap/>
            <w:vAlign w:val="bottom"/>
            <w:hideMark/>
          </w:tcPr>
          <w:p w14:paraId="7D7F91E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12.9</w:t>
            </w:r>
          </w:p>
        </w:tc>
        <w:tc>
          <w:tcPr>
            <w:tcW w:w="996" w:type="dxa"/>
            <w:tcBorders>
              <w:top w:val="nil"/>
              <w:left w:val="nil"/>
              <w:bottom w:val="nil"/>
              <w:right w:val="nil"/>
            </w:tcBorders>
            <w:shd w:val="clear" w:color="auto" w:fill="auto"/>
            <w:noWrap/>
            <w:vAlign w:val="bottom"/>
            <w:hideMark/>
          </w:tcPr>
          <w:p w14:paraId="220C4DA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14.9</w:t>
            </w:r>
          </w:p>
        </w:tc>
      </w:tr>
      <w:tr w:rsidR="00742C6D" w:rsidRPr="00547A82" w14:paraId="4E304E80"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455A171A"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Large</w:t>
            </w:r>
          </w:p>
        </w:tc>
        <w:tc>
          <w:tcPr>
            <w:tcW w:w="1440" w:type="dxa"/>
            <w:tcBorders>
              <w:top w:val="nil"/>
              <w:left w:val="nil"/>
              <w:bottom w:val="nil"/>
              <w:right w:val="nil"/>
            </w:tcBorders>
            <w:shd w:val="clear" w:color="auto" w:fill="auto"/>
            <w:noWrap/>
            <w:vAlign w:val="bottom"/>
            <w:hideMark/>
          </w:tcPr>
          <w:p w14:paraId="2C350D4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6.6</w:t>
            </w:r>
          </w:p>
        </w:tc>
        <w:tc>
          <w:tcPr>
            <w:tcW w:w="1154" w:type="dxa"/>
            <w:tcBorders>
              <w:top w:val="nil"/>
              <w:left w:val="nil"/>
              <w:bottom w:val="nil"/>
              <w:right w:val="nil"/>
            </w:tcBorders>
            <w:shd w:val="clear" w:color="auto" w:fill="auto"/>
            <w:noWrap/>
            <w:vAlign w:val="bottom"/>
            <w:hideMark/>
          </w:tcPr>
          <w:p w14:paraId="0A4A0AB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3.1</w:t>
            </w:r>
          </w:p>
        </w:tc>
        <w:tc>
          <w:tcPr>
            <w:tcW w:w="1060" w:type="dxa"/>
            <w:tcBorders>
              <w:top w:val="nil"/>
              <w:left w:val="nil"/>
              <w:bottom w:val="nil"/>
              <w:right w:val="nil"/>
            </w:tcBorders>
            <w:shd w:val="clear" w:color="auto" w:fill="auto"/>
            <w:noWrap/>
            <w:vAlign w:val="bottom"/>
            <w:hideMark/>
          </w:tcPr>
          <w:p w14:paraId="55891C3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9.8</w:t>
            </w:r>
          </w:p>
        </w:tc>
        <w:tc>
          <w:tcPr>
            <w:tcW w:w="1296" w:type="dxa"/>
            <w:tcBorders>
              <w:top w:val="nil"/>
              <w:left w:val="nil"/>
              <w:bottom w:val="nil"/>
              <w:right w:val="nil"/>
            </w:tcBorders>
            <w:shd w:val="clear" w:color="auto" w:fill="auto"/>
            <w:noWrap/>
            <w:vAlign w:val="bottom"/>
            <w:hideMark/>
          </w:tcPr>
          <w:p w14:paraId="080C43C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4.7</w:t>
            </w:r>
          </w:p>
        </w:tc>
        <w:tc>
          <w:tcPr>
            <w:tcW w:w="1170" w:type="dxa"/>
            <w:tcBorders>
              <w:top w:val="nil"/>
              <w:left w:val="nil"/>
              <w:bottom w:val="nil"/>
              <w:right w:val="nil"/>
            </w:tcBorders>
            <w:shd w:val="clear" w:color="auto" w:fill="auto"/>
            <w:noWrap/>
            <w:vAlign w:val="bottom"/>
            <w:hideMark/>
          </w:tcPr>
          <w:p w14:paraId="598FC11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17.9</w:t>
            </w:r>
          </w:p>
        </w:tc>
        <w:tc>
          <w:tcPr>
            <w:tcW w:w="996" w:type="dxa"/>
            <w:tcBorders>
              <w:top w:val="nil"/>
              <w:left w:val="nil"/>
              <w:bottom w:val="nil"/>
              <w:right w:val="nil"/>
            </w:tcBorders>
            <w:shd w:val="clear" w:color="auto" w:fill="auto"/>
            <w:noWrap/>
            <w:vAlign w:val="bottom"/>
            <w:hideMark/>
          </w:tcPr>
          <w:p w14:paraId="7AEF6CD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22.6</w:t>
            </w:r>
          </w:p>
        </w:tc>
      </w:tr>
      <w:tr w:rsidR="00742C6D" w:rsidRPr="00547A82" w14:paraId="1A2F59E2"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2E4053DA"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Foreign</w:t>
            </w:r>
          </w:p>
        </w:tc>
        <w:tc>
          <w:tcPr>
            <w:tcW w:w="1440" w:type="dxa"/>
            <w:tcBorders>
              <w:top w:val="nil"/>
              <w:left w:val="nil"/>
              <w:bottom w:val="nil"/>
              <w:right w:val="nil"/>
            </w:tcBorders>
            <w:shd w:val="clear" w:color="auto" w:fill="auto"/>
            <w:noWrap/>
            <w:vAlign w:val="bottom"/>
            <w:hideMark/>
          </w:tcPr>
          <w:p w14:paraId="74DD936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10.4</w:t>
            </w:r>
          </w:p>
        </w:tc>
        <w:tc>
          <w:tcPr>
            <w:tcW w:w="1154" w:type="dxa"/>
            <w:tcBorders>
              <w:top w:val="nil"/>
              <w:left w:val="nil"/>
              <w:bottom w:val="nil"/>
              <w:right w:val="nil"/>
            </w:tcBorders>
            <w:shd w:val="clear" w:color="auto" w:fill="auto"/>
            <w:noWrap/>
            <w:vAlign w:val="bottom"/>
            <w:hideMark/>
          </w:tcPr>
          <w:p w14:paraId="736BF17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3.7</w:t>
            </w:r>
          </w:p>
        </w:tc>
        <w:tc>
          <w:tcPr>
            <w:tcW w:w="1060" w:type="dxa"/>
            <w:tcBorders>
              <w:top w:val="nil"/>
              <w:left w:val="nil"/>
              <w:bottom w:val="nil"/>
              <w:right w:val="nil"/>
            </w:tcBorders>
            <w:shd w:val="clear" w:color="auto" w:fill="auto"/>
            <w:noWrap/>
            <w:vAlign w:val="bottom"/>
            <w:hideMark/>
          </w:tcPr>
          <w:p w14:paraId="0F1C2EF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14.1</w:t>
            </w:r>
          </w:p>
        </w:tc>
        <w:tc>
          <w:tcPr>
            <w:tcW w:w="1296" w:type="dxa"/>
            <w:tcBorders>
              <w:top w:val="nil"/>
              <w:left w:val="nil"/>
              <w:bottom w:val="nil"/>
              <w:right w:val="nil"/>
            </w:tcBorders>
            <w:shd w:val="clear" w:color="auto" w:fill="auto"/>
            <w:noWrap/>
            <w:vAlign w:val="bottom"/>
            <w:hideMark/>
          </w:tcPr>
          <w:p w14:paraId="47436D0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7.3</w:t>
            </w:r>
          </w:p>
        </w:tc>
        <w:tc>
          <w:tcPr>
            <w:tcW w:w="1170" w:type="dxa"/>
            <w:tcBorders>
              <w:top w:val="nil"/>
              <w:left w:val="nil"/>
              <w:bottom w:val="nil"/>
              <w:right w:val="nil"/>
            </w:tcBorders>
            <w:shd w:val="clear" w:color="auto" w:fill="auto"/>
            <w:noWrap/>
            <w:vAlign w:val="bottom"/>
            <w:hideMark/>
          </w:tcPr>
          <w:p w14:paraId="00B9E26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21.6</w:t>
            </w:r>
          </w:p>
        </w:tc>
        <w:tc>
          <w:tcPr>
            <w:tcW w:w="996" w:type="dxa"/>
            <w:tcBorders>
              <w:top w:val="nil"/>
              <w:left w:val="nil"/>
              <w:bottom w:val="nil"/>
              <w:right w:val="nil"/>
            </w:tcBorders>
            <w:shd w:val="clear" w:color="auto" w:fill="auto"/>
            <w:noWrap/>
            <w:vAlign w:val="bottom"/>
            <w:hideMark/>
          </w:tcPr>
          <w:p w14:paraId="762F933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28.9</w:t>
            </w:r>
          </w:p>
        </w:tc>
      </w:tr>
      <w:tr w:rsidR="00742C6D" w:rsidRPr="00547A82" w14:paraId="3A743253"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2597FB42"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Exporting</w:t>
            </w:r>
          </w:p>
        </w:tc>
        <w:tc>
          <w:tcPr>
            <w:tcW w:w="1440" w:type="dxa"/>
            <w:tcBorders>
              <w:top w:val="nil"/>
              <w:left w:val="nil"/>
              <w:bottom w:val="nil"/>
              <w:right w:val="nil"/>
            </w:tcBorders>
            <w:shd w:val="clear" w:color="auto" w:fill="auto"/>
            <w:noWrap/>
            <w:vAlign w:val="bottom"/>
            <w:hideMark/>
          </w:tcPr>
          <w:p w14:paraId="528EE9B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8.4</w:t>
            </w:r>
          </w:p>
        </w:tc>
        <w:tc>
          <w:tcPr>
            <w:tcW w:w="1154" w:type="dxa"/>
            <w:tcBorders>
              <w:top w:val="nil"/>
              <w:left w:val="nil"/>
              <w:bottom w:val="nil"/>
              <w:right w:val="nil"/>
            </w:tcBorders>
            <w:shd w:val="clear" w:color="auto" w:fill="auto"/>
            <w:noWrap/>
            <w:vAlign w:val="bottom"/>
            <w:hideMark/>
          </w:tcPr>
          <w:p w14:paraId="4FAA04E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2.9</w:t>
            </w:r>
          </w:p>
        </w:tc>
        <w:tc>
          <w:tcPr>
            <w:tcW w:w="1060" w:type="dxa"/>
            <w:tcBorders>
              <w:top w:val="nil"/>
              <w:left w:val="nil"/>
              <w:bottom w:val="nil"/>
              <w:right w:val="nil"/>
            </w:tcBorders>
            <w:shd w:val="clear" w:color="auto" w:fill="auto"/>
            <w:noWrap/>
            <w:vAlign w:val="bottom"/>
            <w:hideMark/>
          </w:tcPr>
          <w:p w14:paraId="488AD47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11.3</w:t>
            </w:r>
          </w:p>
        </w:tc>
        <w:tc>
          <w:tcPr>
            <w:tcW w:w="1296" w:type="dxa"/>
            <w:tcBorders>
              <w:top w:val="nil"/>
              <w:left w:val="nil"/>
              <w:bottom w:val="nil"/>
              <w:right w:val="nil"/>
            </w:tcBorders>
            <w:shd w:val="clear" w:color="auto" w:fill="auto"/>
            <w:noWrap/>
            <w:vAlign w:val="bottom"/>
            <w:hideMark/>
          </w:tcPr>
          <w:p w14:paraId="11054B5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5.9</w:t>
            </w:r>
          </w:p>
        </w:tc>
        <w:tc>
          <w:tcPr>
            <w:tcW w:w="1170" w:type="dxa"/>
            <w:tcBorders>
              <w:top w:val="nil"/>
              <w:left w:val="nil"/>
              <w:bottom w:val="nil"/>
              <w:right w:val="nil"/>
            </w:tcBorders>
            <w:shd w:val="clear" w:color="auto" w:fill="auto"/>
            <w:noWrap/>
            <w:vAlign w:val="bottom"/>
            <w:hideMark/>
          </w:tcPr>
          <w:p w14:paraId="13293E3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16.5</w:t>
            </w:r>
          </w:p>
        </w:tc>
        <w:tc>
          <w:tcPr>
            <w:tcW w:w="996" w:type="dxa"/>
            <w:tcBorders>
              <w:top w:val="nil"/>
              <w:left w:val="nil"/>
              <w:bottom w:val="nil"/>
              <w:right w:val="nil"/>
            </w:tcBorders>
            <w:shd w:val="clear" w:color="auto" w:fill="auto"/>
            <w:noWrap/>
            <w:vAlign w:val="bottom"/>
            <w:hideMark/>
          </w:tcPr>
          <w:p w14:paraId="3043F75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22.4</w:t>
            </w:r>
          </w:p>
        </w:tc>
      </w:tr>
      <w:tr w:rsidR="00742C6D" w:rsidRPr="00547A82" w14:paraId="27114BDB"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16BB67B5"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Top 10% K/L, large</w:t>
            </w:r>
          </w:p>
        </w:tc>
        <w:tc>
          <w:tcPr>
            <w:tcW w:w="1440" w:type="dxa"/>
            <w:tcBorders>
              <w:top w:val="nil"/>
              <w:left w:val="nil"/>
              <w:bottom w:val="nil"/>
              <w:right w:val="nil"/>
            </w:tcBorders>
            <w:shd w:val="clear" w:color="auto" w:fill="auto"/>
            <w:noWrap/>
            <w:vAlign w:val="bottom"/>
            <w:hideMark/>
          </w:tcPr>
          <w:p w14:paraId="2E863E2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25.5</w:t>
            </w:r>
          </w:p>
        </w:tc>
        <w:tc>
          <w:tcPr>
            <w:tcW w:w="1154" w:type="dxa"/>
            <w:tcBorders>
              <w:top w:val="nil"/>
              <w:left w:val="nil"/>
              <w:bottom w:val="nil"/>
              <w:right w:val="nil"/>
            </w:tcBorders>
            <w:shd w:val="clear" w:color="auto" w:fill="auto"/>
            <w:noWrap/>
            <w:vAlign w:val="bottom"/>
            <w:hideMark/>
          </w:tcPr>
          <w:p w14:paraId="6F0B4F3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11.1</w:t>
            </w:r>
          </w:p>
        </w:tc>
        <w:tc>
          <w:tcPr>
            <w:tcW w:w="1060" w:type="dxa"/>
            <w:tcBorders>
              <w:top w:val="nil"/>
              <w:left w:val="nil"/>
              <w:bottom w:val="nil"/>
              <w:right w:val="nil"/>
            </w:tcBorders>
            <w:shd w:val="clear" w:color="auto" w:fill="auto"/>
            <w:noWrap/>
            <w:vAlign w:val="bottom"/>
            <w:hideMark/>
          </w:tcPr>
          <w:p w14:paraId="1FEB8E4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36.6</w:t>
            </w:r>
          </w:p>
        </w:tc>
        <w:tc>
          <w:tcPr>
            <w:tcW w:w="1296" w:type="dxa"/>
            <w:tcBorders>
              <w:top w:val="nil"/>
              <w:left w:val="nil"/>
              <w:bottom w:val="nil"/>
              <w:right w:val="nil"/>
            </w:tcBorders>
            <w:shd w:val="clear" w:color="auto" w:fill="auto"/>
            <w:noWrap/>
            <w:vAlign w:val="bottom"/>
            <w:hideMark/>
          </w:tcPr>
          <w:p w14:paraId="2ABF3A8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17.9</w:t>
            </w:r>
          </w:p>
        </w:tc>
        <w:tc>
          <w:tcPr>
            <w:tcW w:w="1170" w:type="dxa"/>
            <w:tcBorders>
              <w:top w:val="nil"/>
              <w:left w:val="nil"/>
              <w:bottom w:val="nil"/>
              <w:right w:val="nil"/>
            </w:tcBorders>
            <w:shd w:val="clear" w:color="auto" w:fill="auto"/>
            <w:noWrap/>
            <w:vAlign w:val="bottom"/>
            <w:hideMark/>
          </w:tcPr>
          <w:p w14:paraId="0536028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64.0</w:t>
            </w:r>
          </w:p>
        </w:tc>
        <w:tc>
          <w:tcPr>
            <w:tcW w:w="996" w:type="dxa"/>
            <w:tcBorders>
              <w:top w:val="nil"/>
              <w:left w:val="nil"/>
              <w:bottom w:val="nil"/>
              <w:right w:val="nil"/>
            </w:tcBorders>
            <w:shd w:val="clear" w:color="auto" w:fill="auto"/>
            <w:noWrap/>
            <w:vAlign w:val="bottom"/>
            <w:hideMark/>
          </w:tcPr>
          <w:p w14:paraId="040AA2B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81.9</w:t>
            </w:r>
          </w:p>
        </w:tc>
      </w:tr>
      <w:tr w:rsidR="00742C6D" w:rsidRPr="00547A82" w14:paraId="686CD088"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5D97D052"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Mid 80% K/L, large</w:t>
            </w:r>
          </w:p>
        </w:tc>
        <w:tc>
          <w:tcPr>
            <w:tcW w:w="1440" w:type="dxa"/>
            <w:tcBorders>
              <w:top w:val="nil"/>
              <w:left w:val="nil"/>
              <w:bottom w:val="nil"/>
              <w:right w:val="nil"/>
            </w:tcBorders>
            <w:shd w:val="clear" w:color="auto" w:fill="auto"/>
            <w:noWrap/>
            <w:vAlign w:val="bottom"/>
            <w:hideMark/>
          </w:tcPr>
          <w:p w14:paraId="241FC9B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4.5</w:t>
            </w:r>
          </w:p>
        </w:tc>
        <w:tc>
          <w:tcPr>
            <w:tcW w:w="1154" w:type="dxa"/>
            <w:tcBorders>
              <w:top w:val="nil"/>
              <w:left w:val="nil"/>
              <w:bottom w:val="nil"/>
              <w:right w:val="nil"/>
            </w:tcBorders>
            <w:shd w:val="clear" w:color="auto" w:fill="auto"/>
            <w:noWrap/>
            <w:vAlign w:val="bottom"/>
            <w:hideMark/>
          </w:tcPr>
          <w:p w14:paraId="728AF30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2.2</w:t>
            </w:r>
          </w:p>
        </w:tc>
        <w:tc>
          <w:tcPr>
            <w:tcW w:w="1060" w:type="dxa"/>
            <w:tcBorders>
              <w:top w:val="nil"/>
              <w:left w:val="nil"/>
              <w:bottom w:val="nil"/>
              <w:right w:val="nil"/>
            </w:tcBorders>
            <w:shd w:val="clear" w:color="auto" w:fill="auto"/>
            <w:noWrap/>
            <w:vAlign w:val="bottom"/>
            <w:hideMark/>
          </w:tcPr>
          <w:p w14:paraId="5799790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6.8</w:t>
            </w:r>
          </w:p>
        </w:tc>
        <w:tc>
          <w:tcPr>
            <w:tcW w:w="1296" w:type="dxa"/>
            <w:tcBorders>
              <w:top w:val="nil"/>
              <w:left w:val="nil"/>
              <w:bottom w:val="nil"/>
              <w:right w:val="nil"/>
            </w:tcBorders>
            <w:shd w:val="clear" w:color="auto" w:fill="auto"/>
            <w:noWrap/>
            <w:vAlign w:val="bottom"/>
            <w:hideMark/>
          </w:tcPr>
          <w:p w14:paraId="35C4F19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3.2</w:t>
            </w:r>
          </w:p>
        </w:tc>
        <w:tc>
          <w:tcPr>
            <w:tcW w:w="1170" w:type="dxa"/>
            <w:tcBorders>
              <w:top w:val="nil"/>
              <w:left w:val="nil"/>
              <w:bottom w:val="nil"/>
              <w:right w:val="nil"/>
            </w:tcBorders>
            <w:shd w:val="clear" w:color="auto" w:fill="auto"/>
            <w:noWrap/>
            <w:vAlign w:val="bottom"/>
            <w:hideMark/>
          </w:tcPr>
          <w:p w14:paraId="5F73E9F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12.9</w:t>
            </w:r>
          </w:p>
        </w:tc>
        <w:tc>
          <w:tcPr>
            <w:tcW w:w="996" w:type="dxa"/>
            <w:tcBorders>
              <w:top w:val="nil"/>
              <w:left w:val="nil"/>
              <w:bottom w:val="nil"/>
              <w:right w:val="nil"/>
            </w:tcBorders>
            <w:shd w:val="clear" w:color="auto" w:fill="auto"/>
            <w:noWrap/>
            <w:vAlign w:val="bottom"/>
            <w:hideMark/>
          </w:tcPr>
          <w:p w14:paraId="7CE4967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16.0</w:t>
            </w:r>
          </w:p>
        </w:tc>
      </w:tr>
      <w:tr w:rsidR="00742C6D" w:rsidRPr="00547A82" w14:paraId="09D4B46E"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3188DCEE"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Bottom 10% K/L, large</w:t>
            </w:r>
          </w:p>
        </w:tc>
        <w:tc>
          <w:tcPr>
            <w:tcW w:w="1440" w:type="dxa"/>
            <w:tcBorders>
              <w:top w:val="nil"/>
              <w:left w:val="nil"/>
              <w:bottom w:val="nil"/>
              <w:right w:val="nil"/>
            </w:tcBorders>
            <w:shd w:val="clear" w:color="auto" w:fill="auto"/>
            <w:noWrap/>
            <w:vAlign w:val="bottom"/>
            <w:hideMark/>
          </w:tcPr>
          <w:p w14:paraId="6A90630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2.5</w:t>
            </w:r>
          </w:p>
        </w:tc>
        <w:tc>
          <w:tcPr>
            <w:tcW w:w="1154" w:type="dxa"/>
            <w:tcBorders>
              <w:top w:val="nil"/>
              <w:left w:val="nil"/>
              <w:bottom w:val="nil"/>
              <w:right w:val="nil"/>
            </w:tcBorders>
            <w:shd w:val="clear" w:color="auto" w:fill="auto"/>
            <w:noWrap/>
            <w:vAlign w:val="bottom"/>
            <w:hideMark/>
          </w:tcPr>
          <w:p w14:paraId="4034428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1.0</w:t>
            </w:r>
          </w:p>
        </w:tc>
        <w:tc>
          <w:tcPr>
            <w:tcW w:w="1060" w:type="dxa"/>
            <w:tcBorders>
              <w:top w:val="nil"/>
              <w:left w:val="nil"/>
              <w:bottom w:val="nil"/>
              <w:right w:val="nil"/>
            </w:tcBorders>
            <w:shd w:val="clear" w:color="auto" w:fill="auto"/>
            <w:noWrap/>
            <w:vAlign w:val="bottom"/>
            <w:hideMark/>
          </w:tcPr>
          <w:p w14:paraId="2FE95BA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3.4</w:t>
            </w:r>
          </w:p>
        </w:tc>
        <w:tc>
          <w:tcPr>
            <w:tcW w:w="1296" w:type="dxa"/>
            <w:tcBorders>
              <w:top w:val="nil"/>
              <w:left w:val="nil"/>
              <w:bottom w:val="nil"/>
              <w:right w:val="nil"/>
            </w:tcBorders>
            <w:shd w:val="clear" w:color="auto" w:fill="auto"/>
            <w:noWrap/>
            <w:vAlign w:val="bottom"/>
            <w:hideMark/>
          </w:tcPr>
          <w:p w14:paraId="266F213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1.7</w:t>
            </w:r>
          </w:p>
        </w:tc>
        <w:tc>
          <w:tcPr>
            <w:tcW w:w="1170" w:type="dxa"/>
            <w:tcBorders>
              <w:top w:val="nil"/>
              <w:left w:val="nil"/>
              <w:bottom w:val="nil"/>
              <w:right w:val="nil"/>
            </w:tcBorders>
            <w:shd w:val="clear" w:color="auto" w:fill="auto"/>
            <w:noWrap/>
            <w:vAlign w:val="bottom"/>
            <w:hideMark/>
          </w:tcPr>
          <w:p w14:paraId="105A104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5.6</w:t>
            </w:r>
          </w:p>
        </w:tc>
        <w:tc>
          <w:tcPr>
            <w:tcW w:w="996" w:type="dxa"/>
            <w:tcBorders>
              <w:top w:val="nil"/>
              <w:left w:val="nil"/>
              <w:bottom w:val="nil"/>
              <w:right w:val="nil"/>
            </w:tcBorders>
            <w:shd w:val="clear" w:color="auto" w:fill="auto"/>
            <w:noWrap/>
            <w:vAlign w:val="bottom"/>
            <w:hideMark/>
          </w:tcPr>
          <w:p w14:paraId="6A2E35D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7.3</w:t>
            </w:r>
          </w:p>
        </w:tc>
      </w:tr>
      <w:tr w:rsidR="00742C6D" w:rsidRPr="00547A82" w14:paraId="36CCF598" w14:textId="77777777" w:rsidTr="00742C6D">
        <w:trPr>
          <w:trHeight w:val="20"/>
          <w:jc w:val="center"/>
        </w:trPr>
        <w:tc>
          <w:tcPr>
            <w:tcW w:w="2160" w:type="dxa"/>
            <w:tcBorders>
              <w:top w:val="nil"/>
              <w:left w:val="nil"/>
              <w:bottom w:val="nil"/>
              <w:right w:val="nil"/>
            </w:tcBorders>
            <w:shd w:val="clear" w:color="auto" w:fill="auto"/>
            <w:noWrap/>
            <w:vAlign w:val="bottom"/>
            <w:hideMark/>
          </w:tcPr>
          <w:p w14:paraId="401A9755"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New large</w:t>
            </w:r>
          </w:p>
        </w:tc>
        <w:tc>
          <w:tcPr>
            <w:tcW w:w="1440" w:type="dxa"/>
            <w:tcBorders>
              <w:top w:val="nil"/>
              <w:left w:val="nil"/>
              <w:bottom w:val="nil"/>
              <w:right w:val="nil"/>
            </w:tcBorders>
            <w:shd w:val="clear" w:color="auto" w:fill="auto"/>
            <w:noWrap/>
            <w:vAlign w:val="bottom"/>
            <w:hideMark/>
          </w:tcPr>
          <w:p w14:paraId="572C7AA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7.4</w:t>
            </w:r>
          </w:p>
        </w:tc>
        <w:tc>
          <w:tcPr>
            <w:tcW w:w="1154" w:type="dxa"/>
            <w:tcBorders>
              <w:top w:val="nil"/>
              <w:left w:val="nil"/>
              <w:bottom w:val="nil"/>
              <w:right w:val="nil"/>
            </w:tcBorders>
            <w:shd w:val="clear" w:color="auto" w:fill="auto"/>
            <w:noWrap/>
            <w:vAlign w:val="bottom"/>
            <w:hideMark/>
          </w:tcPr>
          <w:p w14:paraId="6069822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3.5</w:t>
            </w:r>
          </w:p>
        </w:tc>
        <w:tc>
          <w:tcPr>
            <w:tcW w:w="1060" w:type="dxa"/>
            <w:tcBorders>
              <w:top w:val="nil"/>
              <w:left w:val="nil"/>
              <w:bottom w:val="nil"/>
              <w:right w:val="nil"/>
            </w:tcBorders>
            <w:shd w:val="clear" w:color="auto" w:fill="auto"/>
            <w:noWrap/>
            <w:vAlign w:val="bottom"/>
            <w:hideMark/>
          </w:tcPr>
          <w:p w14:paraId="4AB1E75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11.0</w:t>
            </w:r>
          </w:p>
        </w:tc>
        <w:tc>
          <w:tcPr>
            <w:tcW w:w="1296" w:type="dxa"/>
            <w:tcBorders>
              <w:top w:val="nil"/>
              <w:left w:val="nil"/>
              <w:bottom w:val="nil"/>
              <w:right w:val="nil"/>
            </w:tcBorders>
            <w:shd w:val="clear" w:color="auto" w:fill="auto"/>
            <w:noWrap/>
            <w:vAlign w:val="bottom"/>
            <w:hideMark/>
          </w:tcPr>
          <w:p w14:paraId="26047C5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5.2</w:t>
            </w:r>
          </w:p>
        </w:tc>
        <w:tc>
          <w:tcPr>
            <w:tcW w:w="1170" w:type="dxa"/>
            <w:tcBorders>
              <w:top w:val="nil"/>
              <w:left w:val="nil"/>
              <w:bottom w:val="nil"/>
              <w:right w:val="nil"/>
            </w:tcBorders>
            <w:shd w:val="clear" w:color="auto" w:fill="auto"/>
            <w:noWrap/>
            <w:vAlign w:val="bottom"/>
            <w:hideMark/>
          </w:tcPr>
          <w:p w14:paraId="15224AD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20.3</w:t>
            </w:r>
          </w:p>
        </w:tc>
        <w:tc>
          <w:tcPr>
            <w:tcW w:w="996" w:type="dxa"/>
            <w:tcBorders>
              <w:top w:val="nil"/>
              <w:left w:val="nil"/>
              <w:bottom w:val="nil"/>
              <w:right w:val="nil"/>
            </w:tcBorders>
            <w:shd w:val="clear" w:color="auto" w:fill="auto"/>
            <w:noWrap/>
            <w:vAlign w:val="bottom"/>
            <w:hideMark/>
          </w:tcPr>
          <w:p w14:paraId="5F9D763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25.5</w:t>
            </w:r>
          </w:p>
        </w:tc>
      </w:tr>
      <w:tr w:rsidR="00742C6D" w:rsidRPr="00547A82" w14:paraId="06AB0253" w14:textId="77777777" w:rsidTr="00742C6D">
        <w:trPr>
          <w:trHeight w:val="20"/>
          <w:jc w:val="center"/>
        </w:trPr>
        <w:tc>
          <w:tcPr>
            <w:tcW w:w="2160" w:type="dxa"/>
            <w:tcBorders>
              <w:top w:val="nil"/>
              <w:left w:val="nil"/>
              <w:bottom w:val="single" w:sz="4" w:space="0" w:color="auto"/>
              <w:right w:val="nil"/>
            </w:tcBorders>
            <w:shd w:val="clear" w:color="auto" w:fill="auto"/>
            <w:noWrap/>
            <w:vAlign w:val="bottom"/>
            <w:hideMark/>
          </w:tcPr>
          <w:p w14:paraId="6FF6AB59"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Old large</w:t>
            </w:r>
          </w:p>
        </w:tc>
        <w:tc>
          <w:tcPr>
            <w:tcW w:w="1440" w:type="dxa"/>
            <w:tcBorders>
              <w:top w:val="nil"/>
              <w:left w:val="nil"/>
              <w:bottom w:val="single" w:sz="4" w:space="0" w:color="auto"/>
              <w:right w:val="nil"/>
            </w:tcBorders>
            <w:shd w:val="clear" w:color="auto" w:fill="auto"/>
            <w:noWrap/>
            <w:vAlign w:val="bottom"/>
            <w:hideMark/>
          </w:tcPr>
          <w:p w14:paraId="65185B1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5.3</w:t>
            </w:r>
          </w:p>
        </w:tc>
        <w:tc>
          <w:tcPr>
            <w:tcW w:w="1154" w:type="dxa"/>
            <w:tcBorders>
              <w:top w:val="nil"/>
              <w:left w:val="nil"/>
              <w:bottom w:val="single" w:sz="4" w:space="0" w:color="auto"/>
              <w:right w:val="nil"/>
            </w:tcBorders>
            <w:shd w:val="clear" w:color="auto" w:fill="auto"/>
            <w:noWrap/>
            <w:vAlign w:val="bottom"/>
            <w:hideMark/>
          </w:tcPr>
          <w:p w14:paraId="726B283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2.6</w:t>
            </w:r>
          </w:p>
        </w:tc>
        <w:tc>
          <w:tcPr>
            <w:tcW w:w="1060" w:type="dxa"/>
            <w:tcBorders>
              <w:top w:val="nil"/>
              <w:left w:val="nil"/>
              <w:bottom w:val="single" w:sz="4" w:space="0" w:color="auto"/>
              <w:right w:val="nil"/>
            </w:tcBorders>
            <w:shd w:val="clear" w:color="auto" w:fill="auto"/>
            <w:noWrap/>
            <w:vAlign w:val="bottom"/>
            <w:hideMark/>
          </w:tcPr>
          <w:p w14:paraId="13F3B6C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7.9</w:t>
            </w:r>
          </w:p>
        </w:tc>
        <w:tc>
          <w:tcPr>
            <w:tcW w:w="1296" w:type="dxa"/>
            <w:tcBorders>
              <w:top w:val="nil"/>
              <w:left w:val="nil"/>
              <w:bottom w:val="single" w:sz="4" w:space="0" w:color="auto"/>
              <w:right w:val="nil"/>
            </w:tcBorders>
            <w:shd w:val="clear" w:color="auto" w:fill="auto"/>
            <w:noWrap/>
            <w:vAlign w:val="bottom"/>
            <w:hideMark/>
          </w:tcPr>
          <w:p w14:paraId="07B7CBA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3.7</w:t>
            </w:r>
          </w:p>
        </w:tc>
        <w:tc>
          <w:tcPr>
            <w:tcW w:w="1170" w:type="dxa"/>
            <w:tcBorders>
              <w:top w:val="nil"/>
              <w:left w:val="nil"/>
              <w:bottom w:val="single" w:sz="4" w:space="0" w:color="auto"/>
              <w:right w:val="nil"/>
            </w:tcBorders>
            <w:shd w:val="clear" w:color="auto" w:fill="auto"/>
            <w:noWrap/>
            <w:vAlign w:val="bottom"/>
            <w:hideMark/>
          </w:tcPr>
          <w:p w14:paraId="310BC97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14.8</w:t>
            </w:r>
          </w:p>
        </w:tc>
        <w:tc>
          <w:tcPr>
            <w:tcW w:w="996" w:type="dxa"/>
            <w:tcBorders>
              <w:top w:val="nil"/>
              <w:left w:val="nil"/>
              <w:bottom w:val="single" w:sz="4" w:space="0" w:color="auto"/>
              <w:right w:val="nil"/>
            </w:tcBorders>
            <w:shd w:val="clear" w:color="auto" w:fill="auto"/>
            <w:noWrap/>
            <w:vAlign w:val="bottom"/>
            <w:hideMark/>
          </w:tcPr>
          <w:p w14:paraId="2C3BA16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18.5</w:t>
            </w:r>
          </w:p>
        </w:tc>
      </w:tr>
    </w:tbl>
    <w:p w14:paraId="6984D5D5" w14:textId="1B21C4B1" w:rsidR="00742C6D" w:rsidRPr="00B019FF" w:rsidRDefault="00742C6D" w:rsidP="00833683">
      <w:pPr>
        <w:ind w:left="900" w:hanging="90"/>
        <w:rPr>
          <w:rFonts w:ascii="Times New Roman" w:hAnsi="Times New Roman" w:cs="Times New Roman"/>
          <w:sz w:val="20"/>
          <w:szCs w:val="20"/>
        </w:rPr>
      </w:pPr>
      <w:r w:rsidRPr="00F95321">
        <w:rPr>
          <w:rFonts w:ascii="Times New Roman" w:hAnsi="Times New Roman" w:cs="Times New Roman"/>
          <w:i/>
          <w:iCs/>
          <w:sz w:val="20"/>
          <w:szCs w:val="20"/>
        </w:rPr>
        <w:t>Note</w:t>
      </w:r>
      <w:r w:rsidRPr="00B019FF">
        <w:rPr>
          <w:rFonts w:ascii="Times New Roman" w:hAnsi="Times New Roman" w:cs="Times New Roman"/>
          <w:sz w:val="20"/>
          <w:szCs w:val="20"/>
        </w:rPr>
        <w:t>: Data for the six EU countries are from EU KLEMS</w:t>
      </w:r>
    </w:p>
    <w:p w14:paraId="280C489D" w14:textId="77777777" w:rsidR="00742C6D" w:rsidRPr="00C024FA" w:rsidRDefault="00742C6D" w:rsidP="00742C6D">
      <w:pPr>
        <w:rPr>
          <w:rFonts w:ascii="Times New Roman" w:hAnsi="Times New Roman" w:cs="Times New Roman"/>
          <w:sz w:val="24"/>
          <w:szCs w:val="24"/>
        </w:rPr>
      </w:pPr>
      <w:r w:rsidRPr="00C024FA">
        <w:rPr>
          <w:rFonts w:ascii="Times New Roman" w:hAnsi="Times New Roman" w:cs="Times New Roman"/>
          <w:sz w:val="24"/>
          <w:szCs w:val="24"/>
        </w:rPr>
        <w:br w:type="page"/>
      </w:r>
    </w:p>
    <w:p w14:paraId="7A4A68A7" w14:textId="70625134" w:rsidR="00742C6D" w:rsidRPr="00C024FA" w:rsidRDefault="00742C6D" w:rsidP="00742C6D">
      <w:pPr>
        <w:pStyle w:val="Heading2"/>
        <w:spacing w:before="0" w:line="240" w:lineRule="auto"/>
        <w:rPr>
          <w:rFonts w:ascii="Times New Roman" w:hAnsi="Times New Roman" w:cs="Times New Roman"/>
          <w:sz w:val="24"/>
          <w:szCs w:val="24"/>
        </w:rPr>
      </w:pPr>
      <w:bookmarkStart w:id="14" w:name="_Toc56003495"/>
      <w:r w:rsidRPr="00C024FA">
        <w:rPr>
          <w:rFonts w:ascii="Times New Roman" w:hAnsi="Times New Roman" w:cs="Times New Roman"/>
          <w:sz w:val="24"/>
          <w:szCs w:val="24"/>
        </w:rPr>
        <w:lastRenderedPageBreak/>
        <w:t xml:space="preserve">Table </w:t>
      </w:r>
      <w:r w:rsidR="00206C87">
        <w:rPr>
          <w:rFonts w:ascii="Times New Roman" w:hAnsi="Times New Roman" w:cs="Times New Roman"/>
          <w:sz w:val="24"/>
          <w:szCs w:val="24"/>
        </w:rPr>
        <w:t>1.6</w:t>
      </w:r>
      <w:r w:rsidR="00F95321">
        <w:rPr>
          <w:rFonts w:ascii="Times New Roman" w:hAnsi="Times New Roman" w:cs="Times New Roman"/>
          <w:sz w:val="24"/>
          <w:szCs w:val="24"/>
        </w:rPr>
        <w:t xml:space="preserve"> </w:t>
      </w:r>
      <w:r w:rsidRPr="00C024FA">
        <w:rPr>
          <w:rFonts w:ascii="Times New Roman" w:hAnsi="Times New Roman" w:cs="Times New Roman"/>
          <w:sz w:val="24"/>
          <w:szCs w:val="24"/>
        </w:rPr>
        <w:t>Capital-Labor ratios for selected sectors, 2010-2017 averages</w:t>
      </w:r>
      <w:bookmarkEnd w:id="14"/>
    </w:p>
    <w:tbl>
      <w:tblPr>
        <w:tblW w:w="9453" w:type="dxa"/>
        <w:jc w:val="center"/>
        <w:tblLayout w:type="fixed"/>
        <w:tblLook w:val="04A0" w:firstRow="1" w:lastRow="0" w:firstColumn="1" w:lastColumn="0" w:noHBand="0" w:noVBand="1"/>
      </w:tblPr>
      <w:tblGrid>
        <w:gridCol w:w="1170"/>
        <w:gridCol w:w="144"/>
        <w:gridCol w:w="1156"/>
        <w:gridCol w:w="131"/>
        <w:gridCol w:w="1309"/>
        <w:gridCol w:w="90"/>
        <w:gridCol w:w="1062"/>
        <w:gridCol w:w="1646"/>
        <w:gridCol w:w="1592"/>
        <w:gridCol w:w="1153"/>
      </w:tblGrid>
      <w:tr w:rsidR="00742C6D" w:rsidRPr="00547A82" w14:paraId="5E166CE7" w14:textId="77777777" w:rsidTr="006762AC">
        <w:trPr>
          <w:trHeight w:val="20"/>
          <w:jc w:val="center"/>
        </w:trPr>
        <w:tc>
          <w:tcPr>
            <w:tcW w:w="1170" w:type="dxa"/>
            <w:tcBorders>
              <w:top w:val="single" w:sz="4" w:space="0" w:color="auto"/>
              <w:left w:val="nil"/>
              <w:right w:val="nil"/>
            </w:tcBorders>
            <w:shd w:val="clear" w:color="auto" w:fill="auto"/>
            <w:noWrap/>
            <w:vAlign w:val="bottom"/>
          </w:tcPr>
          <w:p w14:paraId="139DC2A9"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bookmarkStart w:id="15" w:name="_Hlk111553731"/>
          </w:p>
        </w:tc>
        <w:tc>
          <w:tcPr>
            <w:tcW w:w="3892" w:type="dxa"/>
            <w:gridSpan w:val="6"/>
            <w:tcBorders>
              <w:top w:val="single" w:sz="4" w:space="0" w:color="auto"/>
              <w:left w:val="nil"/>
              <w:right w:val="nil"/>
            </w:tcBorders>
            <w:shd w:val="clear" w:color="auto" w:fill="auto"/>
            <w:vAlign w:val="center"/>
          </w:tcPr>
          <w:p w14:paraId="264187C4"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$1,000 constant 2010 USD</w:t>
            </w:r>
          </w:p>
        </w:tc>
        <w:tc>
          <w:tcPr>
            <w:tcW w:w="4391" w:type="dxa"/>
            <w:gridSpan w:val="3"/>
            <w:tcBorders>
              <w:top w:val="single" w:sz="4" w:space="0" w:color="auto"/>
              <w:left w:val="nil"/>
              <w:right w:val="nil"/>
            </w:tcBorders>
            <w:shd w:val="clear" w:color="auto" w:fill="auto"/>
            <w:vAlign w:val="center"/>
          </w:tcPr>
          <w:p w14:paraId="3B0230C9"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$1,000 constant 2010 PPP</w:t>
            </w:r>
          </w:p>
        </w:tc>
      </w:tr>
      <w:tr w:rsidR="00742C6D" w:rsidRPr="00547A82" w14:paraId="3EB0CFDE" w14:textId="77777777" w:rsidTr="006762AC">
        <w:trPr>
          <w:trHeight w:val="20"/>
          <w:jc w:val="center"/>
        </w:trPr>
        <w:tc>
          <w:tcPr>
            <w:tcW w:w="1170" w:type="dxa"/>
            <w:tcBorders>
              <w:left w:val="nil"/>
              <w:bottom w:val="single" w:sz="4" w:space="0" w:color="auto"/>
              <w:right w:val="nil"/>
            </w:tcBorders>
            <w:shd w:val="clear" w:color="auto" w:fill="auto"/>
            <w:noWrap/>
            <w:vAlign w:val="bottom"/>
            <w:hideMark/>
          </w:tcPr>
          <w:p w14:paraId="1D5CCA9D"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 </w:t>
            </w:r>
          </w:p>
        </w:tc>
        <w:tc>
          <w:tcPr>
            <w:tcW w:w="1300" w:type="dxa"/>
            <w:gridSpan w:val="2"/>
            <w:tcBorders>
              <w:left w:val="nil"/>
              <w:bottom w:val="single" w:sz="4" w:space="0" w:color="auto"/>
              <w:right w:val="nil"/>
            </w:tcBorders>
            <w:shd w:val="clear" w:color="auto" w:fill="auto"/>
            <w:vAlign w:val="bottom"/>
            <w:hideMark/>
          </w:tcPr>
          <w:p w14:paraId="0BD5A3B5"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Machinery &amp; equipment/ Labor</w:t>
            </w:r>
          </w:p>
        </w:tc>
        <w:tc>
          <w:tcPr>
            <w:tcW w:w="1440" w:type="dxa"/>
            <w:gridSpan w:val="2"/>
            <w:tcBorders>
              <w:left w:val="nil"/>
              <w:bottom w:val="single" w:sz="4" w:space="0" w:color="auto"/>
              <w:right w:val="nil"/>
            </w:tcBorders>
            <w:shd w:val="clear" w:color="auto" w:fill="auto"/>
            <w:vAlign w:val="bottom"/>
            <w:hideMark/>
          </w:tcPr>
          <w:p w14:paraId="1DF612D9"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Buildings &amp; Structures/ Labor</w:t>
            </w:r>
          </w:p>
        </w:tc>
        <w:tc>
          <w:tcPr>
            <w:tcW w:w="1152" w:type="dxa"/>
            <w:gridSpan w:val="2"/>
            <w:tcBorders>
              <w:left w:val="nil"/>
              <w:bottom w:val="single" w:sz="4" w:space="0" w:color="auto"/>
              <w:right w:val="nil"/>
            </w:tcBorders>
            <w:shd w:val="clear" w:color="auto" w:fill="auto"/>
            <w:vAlign w:val="bottom"/>
            <w:hideMark/>
          </w:tcPr>
          <w:p w14:paraId="043DDC3D"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M&amp;E and B&amp;S /Labor</w:t>
            </w:r>
          </w:p>
        </w:tc>
        <w:tc>
          <w:tcPr>
            <w:tcW w:w="1646" w:type="dxa"/>
            <w:tcBorders>
              <w:left w:val="nil"/>
              <w:bottom w:val="single" w:sz="4" w:space="0" w:color="auto"/>
              <w:right w:val="nil"/>
            </w:tcBorders>
            <w:shd w:val="clear" w:color="auto" w:fill="auto"/>
            <w:vAlign w:val="bottom"/>
            <w:hideMark/>
          </w:tcPr>
          <w:p w14:paraId="5436B5A0"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Machinery &amp; equipment/ Labor</w:t>
            </w:r>
          </w:p>
        </w:tc>
        <w:tc>
          <w:tcPr>
            <w:tcW w:w="1592" w:type="dxa"/>
            <w:tcBorders>
              <w:left w:val="nil"/>
              <w:bottom w:val="single" w:sz="4" w:space="0" w:color="auto"/>
              <w:right w:val="nil"/>
            </w:tcBorders>
            <w:shd w:val="clear" w:color="auto" w:fill="auto"/>
            <w:vAlign w:val="bottom"/>
            <w:hideMark/>
          </w:tcPr>
          <w:p w14:paraId="51E28E12"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Buildings &amp; Structures/ Labor</w:t>
            </w:r>
          </w:p>
        </w:tc>
        <w:tc>
          <w:tcPr>
            <w:tcW w:w="1153" w:type="dxa"/>
            <w:tcBorders>
              <w:left w:val="nil"/>
              <w:bottom w:val="single" w:sz="4" w:space="0" w:color="auto"/>
              <w:right w:val="nil"/>
            </w:tcBorders>
            <w:shd w:val="clear" w:color="auto" w:fill="auto"/>
            <w:vAlign w:val="bottom"/>
            <w:hideMark/>
          </w:tcPr>
          <w:p w14:paraId="7B71254C" w14:textId="77777777" w:rsidR="00742C6D" w:rsidRPr="00547A82" w:rsidRDefault="00742C6D" w:rsidP="00742C6D">
            <w:pPr>
              <w:spacing w:after="0" w:line="240" w:lineRule="auto"/>
              <w:jc w:val="center"/>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M&amp;E and B&amp;S /Labor</w:t>
            </w:r>
          </w:p>
        </w:tc>
      </w:tr>
      <w:tr w:rsidR="00742C6D" w:rsidRPr="00547A82" w14:paraId="4426865C" w14:textId="77777777" w:rsidTr="006762AC">
        <w:trPr>
          <w:gridAfter w:val="4"/>
          <w:wAfter w:w="5453" w:type="dxa"/>
          <w:trHeight w:val="20"/>
          <w:jc w:val="center"/>
        </w:trPr>
        <w:tc>
          <w:tcPr>
            <w:tcW w:w="1314" w:type="dxa"/>
            <w:gridSpan w:val="2"/>
            <w:tcBorders>
              <w:top w:val="nil"/>
              <w:left w:val="nil"/>
              <w:bottom w:val="nil"/>
              <w:right w:val="nil"/>
            </w:tcBorders>
            <w:shd w:val="clear" w:color="auto" w:fill="auto"/>
            <w:noWrap/>
            <w:vAlign w:val="bottom"/>
            <w:hideMark/>
          </w:tcPr>
          <w:p w14:paraId="202349D9"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287" w:type="dxa"/>
            <w:gridSpan w:val="2"/>
            <w:tcBorders>
              <w:top w:val="nil"/>
              <w:left w:val="nil"/>
              <w:bottom w:val="nil"/>
              <w:right w:val="nil"/>
            </w:tcBorders>
            <w:shd w:val="clear" w:color="auto" w:fill="auto"/>
            <w:noWrap/>
            <w:vAlign w:val="bottom"/>
            <w:hideMark/>
          </w:tcPr>
          <w:p w14:paraId="04D4C747"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399" w:type="dxa"/>
            <w:gridSpan w:val="2"/>
            <w:tcBorders>
              <w:top w:val="nil"/>
              <w:left w:val="nil"/>
              <w:bottom w:val="nil"/>
              <w:right w:val="nil"/>
            </w:tcBorders>
            <w:shd w:val="clear" w:color="auto" w:fill="auto"/>
            <w:noWrap/>
            <w:vAlign w:val="bottom"/>
            <w:hideMark/>
          </w:tcPr>
          <w:p w14:paraId="71EDA02B" w14:textId="77777777" w:rsidR="00742C6D" w:rsidRPr="00547A82" w:rsidRDefault="00742C6D" w:rsidP="00742C6D">
            <w:pPr>
              <w:spacing w:after="0" w:line="240" w:lineRule="auto"/>
              <w:rPr>
                <w:rFonts w:ascii="Times New Roman" w:eastAsia="Times New Roman" w:hAnsi="Times New Roman" w:cs="Times New Roman"/>
                <w:sz w:val="20"/>
                <w:szCs w:val="20"/>
              </w:rPr>
            </w:pPr>
          </w:p>
        </w:tc>
      </w:tr>
      <w:tr w:rsidR="00742C6D" w:rsidRPr="00547A82" w14:paraId="55234903" w14:textId="77777777" w:rsidTr="006762AC">
        <w:trPr>
          <w:trHeight w:val="20"/>
          <w:jc w:val="center"/>
        </w:trPr>
        <w:tc>
          <w:tcPr>
            <w:tcW w:w="9453" w:type="dxa"/>
            <w:gridSpan w:val="10"/>
            <w:tcBorders>
              <w:top w:val="nil"/>
              <w:left w:val="nil"/>
              <w:bottom w:val="nil"/>
              <w:right w:val="nil"/>
            </w:tcBorders>
            <w:shd w:val="clear" w:color="auto" w:fill="auto"/>
            <w:noWrap/>
            <w:vAlign w:val="bottom"/>
          </w:tcPr>
          <w:p w14:paraId="14FD5144" w14:textId="77777777" w:rsidR="00742C6D" w:rsidRPr="00547A82" w:rsidRDefault="00742C6D" w:rsidP="00742C6D">
            <w:pPr>
              <w:spacing w:after="0" w:line="240" w:lineRule="auto"/>
              <w:rPr>
                <w:rFonts w:ascii="Times New Roman" w:hAnsi="Times New Roman" w:cs="Times New Roman"/>
                <w:b/>
                <w:bCs/>
                <w:color w:val="000000"/>
                <w:sz w:val="20"/>
                <w:szCs w:val="20"/>
                <w:u w:val="single"/>
              </w:rPr>
            </w:pPr>
            <w:r w:rsidRPr="00547A82">
              <w:rPr>
                <w:rFonts w:ascii="Times New Roman" w:hAnsi="Times New Roman" w:cs="Times New Roman"/>
                <w:b/>
                <w:bCs/>
                <w:color w:val="000000"/>
                <w:sz w:val="20"/>
                <w:szCs w:val="20"/>
                <w:u w:val="single"/>
              </w:rPr>
              <w:t xml:space="preserve">Food products, </w:t>
            </w:r>
            <w:proofErr w:type="gramStart"/>
            <w:r w:rsidRPr="00547A82">
              <w:rPr>
                <w:rFonts w:ascii="Times New Roman" w:hAnsi="Times New Roman" w:cs="Times New Roman"/>
                <w:b/>
                <w:bCs/>
                <w:color w:val="000000"/>
                <w:sz w:val="20"/>
                <w:szCs w:val="20"/>
                <w:u w:val="single"/>
              </w:rPr>
              <w:t>beverages</w:t>
            </w:r>
            <w:proofErr w:type="gramEnd"/>
            <w:r w:rsidRPr="00547A82">
              <w:rPr>
                <w:rFonts w:ascii="Times New Roman" w:hAnsi="Times New Roman" w:cs="Times New Roman"/>
                <w:b/>
                <w:bCs/>
                <w:color w:val="000000"/>
                <w:sz w:val="20"/>
                <w:szCs w:val="20"/>
                <w:u w:val="single"/>
              </w:rPr>
              <w:t xml:space="preserve"> and tobacco</w:t>
            </w:r>
          </w:p>
        </w:tc>
      </w:tr>
      <w:tr w:rsidR="00742C6D" w:rsidRPr="00547A82" w14:paraId="312FCA64"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45B4D17B"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CZE</w:t>
            </w:r>
          </w:p>
        </w:tc>
        <w:tc>
          <w:tcPr>
            <w:tcW w:w="1300" w:type="dxa"/>
            <w:gridSpan w:val="2"/>
            <w:tcBorders>
              <w:top w:val="nil"/>
              <w:left w:val="nil"/>
              <w:bottom w:val="nil"/>
              <w:right w:val="nil"/>
            </w:tcBorders>
            <w:shd w:val="clear" w:color="auto" w:fill="auto"/>
            <w:noWrap/>
            <w:vAlign w:val="bottom"/>
            <w:hideMark/>
          </w:tcPr>
          <w:p w14:paraId="44D529E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32.7</w:t>
            </w:r>
          </w:p>
        </w:tc>
        <w:tc>
          <w:tcPr>
            <w:tcW w:w="1440" w:type="dxa"/>
            <w:gridSpan w:val="2"/>
            <w:tcBorders>
              <w:top w:val="nil"/>
              <w:left w:val="nil"/>
              <w:bottom w:val="nil"/>
              <w:right w:val="nil"/>
            </w:tcBorders>
            <w:shd w:val="clear" w:color="auto" w:fill="auto"/>
            <w:noWrap/>
            <w:vAlign w:val="bottom"/>
            <w:hideMark/>
          </w:tcPr>
          <w:p w14:paraId="40B59B6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57.4</w:t>
            </w:r>
          </w:p>
        </w:tc>
        <w:tc>
          <w:tcPr>
            <w:tcW w:w="1152" w:type="dxa"/>
            <w:gridSpan w:val="2"/>
            <w:tcBorders>
              <w:top w:val="nil"/>
              <w:left w:val="nil"/>
              <w:bottom w:val="nil"/>
              <w:right w:val="nil"/>
            </w:tcBorders>
            <w:shd w:val="clear" w:color="auto" w:fill="auto"/>
            <w:noWrap/>
            <w:vAlign w:val="bottom"/>
            <w:hideMark/>
          </w:tcPr>
          <w:p w14:paraId="1217640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90.1</w:t>
            </w:r>
          </w:p>
        </w:tc>
        <w:tc>
          <w:tcPr>
            <w:tcW w:w="1646" w:type="dxa"/>
            <w:tcBorders>
              <w:top w:val="nil"/>
              <w:left w:val="nil"/>
              <w:bottom w:val="nil"/>
              <w:right w:val="nil"/>
            </w:tcBorders>
            <w:shd w:val="clear" w:color="auto" w:fill="auto"/>
            <w:noWrap/>
            <w:vAlign w:val="bottom"/>
            <w:hideMark/>
          </w:tcPr>
          <w:p w14:paraId="266567C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29.8</w:t>
            </w:r>
          </w:p>
        </w:tc>
        <w:tc>
          <w:tcPr>
            <w:tcW w:w="1592" w:type="dxa"/>
            <w:tcBorders>
              <w:top w:val="nil"/>
              <w:left w:val="nil"/>
              <w:bottom w:val="nil"/>
              <w:right w:val="nil"/>
            </w:tcBorders>
            <w:shd w:val="clear" w:color="auto" w:fill="auto"/>
            <w:noWrap/>
            <w:vAlign w:val="bottom"/>
            <w:hideMark/>
          </w:tcPr>
          <w:p w14:paraId="1B4B84E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93.6</w:t>
            </w:r>
          </w:p>
        </w:tc>
        <w:tc>
          <w:tcPr>
            <w:tcW w:w="1153" w:type="dxa"/>
            <w:tcBorders>
              <w:top w:val="nil"/>
              <w:left w:val="nil"/>
              <w:bottom w:val="nil"/>
              <w:right w:val="nil"/>
            </w:tcBorders>
            <w:shd w:val="clear" w:color="auto" w:fill="auto"/>
            <w:noWrap/>
            <w:vAlign w:val="bottom"/>
            <w:hideMark/>
          </w:tcPr>
          <w:p w14:paraId="3B36679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123.4</w:t>
            </w:r>
          </w:p>
        </w:tc>
      </w:tr>
      <w:tr w:rsidR="00742C6D" w:rsidRPr="00547A82" w14:paraId="3B06082F"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11743852"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ESP</w:t>
            </w:r>
          </w:p>
        </w:tc>
        <w:tc>
          <w:tcPr>
            <w:tcW w:w="1300" w:type="dxa"/>
            <w:gridSpan w:val="2"/>
            <w:tcBorders>
              <w:top w:val="nil"/>
              <w:left w:val="nil"/>
              <w:bottom w:val="nil"/>
              <w:right w:val="nil"/>
            </w:tcBorders>
            <w:shd w:val="clear" w:color="auto" w:fill="auto"/>
            <w:noWrap/>
            <w:vAlign w:val="bottom"/>
            <w:hideMark/>
          </w:tcPr>
          <w:p w14:paraId="32A15B0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77.5</w:t>
            </w:r>
          </w:p>
        </w:tc>
        <w:tc>
          <w:tcPr>
            <w:tcW w:w="1440" w:type="dxa"/>
            <w:gridSpan w:val="2"/>
            <w:tcBorders>
              <w:top w:val="nil"/>
              <w:left w:val="nil"/>
              <w:bottom w:val="nil"/>
              <w:right w:val="nil"/>
            </w:tcBorders>
            <w:shd w:val="clear" w:color="auto" w:fill="auto"/>
            <w:noWrap/>
            <w:vAlign w:val="bottom"/>
            <w:hideMark/>
          </w:tcPr>
          <w:p w14:paraId="732E396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133.9</w:t>
            </w:r>
          </w:p>
        </w:tc>
        <w:tc>
          <w:tcPr>
            <w:tcW w:w="1152" w:type="dxa"/>
            <w:gridSpan w:val="2"/>
            <w:tcBorders>
              <w:top w:val="nil"/>
              <w:left w:val="nil"/>
              <w:bottom w:val="nil"/>
              <w:right w:val="nil"/>
            </w:tcBorders>
            <w:shd w:val="clear" w:color="auto" w:fill="auto"/>
            <w:noWrap/>
            <w:vAlign w:val="bottom"/>
            <w:hideMark/>
          </w:tcPr>
          <w:p w14:paraId="4F5D8CD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211.4</w:t>
            </w:r>
          </w:p>
        </w:tc>
        <w:tc>
          <w:tcPr>
            <w:tcW w:w="1646" w:type="dxa"/>
            <w:tcBorders>
              <w:top w:val="nil"/>
              <w:left w:val="nil"/>
              <w:bottom w:val="nil"/>
              <w:right w:val="nil"/>
            </w:tcBorders>
            <w:shd w:val="clear" w:color="auto" w:fill="auto"/>
            <w:noWrap/>
            <w:vAlign w:val="bottom"/>
            <w:hideMark/>
          </w:tcPr>
          <w:p w14:paraId="52F125B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68.2</w:t>
            </w:r>
          </w:p>
        </w:tc>
        <w:tc>
          <w:tcPr>
            <w:tcW w:w="1592" w:type="dxa"/>
            <w:tcBorders>
              <w:top w:val="nil"/>
              <w:left w:val="nil"/>
              <w:bottom w:val="nil"/>
              <w:right w:val="nil"/>
            </w:tcBorders>
            <w:shd w:val="clear" w:color="auto" w:fill="auto"/>
            <w:noWrap/>
            <w:vAlign w:val="bottom"/>
            <w:hideMark/>
          </w:tcPr>
          <w:p w14:paraId="083FCE5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202.3</w:t>
            </w:r>
          </w:p>
        </w:tc>
        <w:tc>
          <w:tcPr>
            <w:tcW w:w="1153" w:type="dxa"/>
            <w:tcBorders>
              <w:top w:val="nil"/>
              <w:left w:val="nil"/>
              <w:bottom w:val="nil"/>
              <w:right w:val="nil"/>
            </w:tcBorders>
            <w:shd w:val="clear" w:color="auto" w:fill="auto"/>
            <w:noWrap/>
            <w:vAlign w:val="bottom"/>
            <w:hideMark/>
          </w:tcPr>
          <w:p w14:paraId="12DCC88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270.5</w:t>
            </w:r>
          </w:p>
        </w:tc>
      </w:tr>
      <w:tr w:rsidR="00742C6D" w:rsidRPr="00547A82" w14:paraId="2215E731"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7174D9CC"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ITA</w:t>
            </w:r>
          </w:p>
        </w:tc>
        <w:tc>
          <w:tcPr>
            <w:tcW w:w="1300" w:type="dxa"/>
            <w:gridSpan w:val="2"/>
            <w:tcBorders>
              <w:top w:val="nil"/>
              <w:left w:val="nil"/>
              <w:bottom w:val="nil"/>
              <w:right w:val="nil"/>
            </w:tcBorders>
            <w:shd w:val="clear" w:color="auto" w:fill="auto"/>
            <w:noWrap/>
            <w:vAlign w:val="bottom"/>
            <w:hideMark/>
          </w:tcPr>
          <w:p w14:paraId="2AD4687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93.3</w:t>
            </w:r>
          </w:p>
        </w:tc>
        <w:tc>
          <w:tcPr>
            <w:tcW w:w="1440" w:type="dxa"/>
            <w:gridSpan w:val="2"/>
            <w:tcBorders>
              <w:top w:val="nil"/>
              <w:left w:val="nil"/>
              <w:bottom w:val="nil"/>
              <w:right w:val="nil"/>
            </w:tcBorders>
            <w:shd w:val="clear" w:color="auto" w:fill="auto"/>
            <w:noWrap/>
            <w:vAlign w:val="bottom"/>
            <w:hideMark/>
          </w:tcPr>
          <w:p w14:paraId="31B757F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40.0</w:t>
            </w:r>
          </w:p>
        </w:tc>
        <w:tc>
          <w:tcPr>
            <w:tcW w:w="1152" w:type="dxa"/>
            <w:gridSpan w:val="2"/>
            <w:tcBorders>
              <w:top w:val="nil"/>
              <w:left w:val="nil"/>
              <w:bottom w:val="nil"/>
              <w:right w:val="nil"/>
            </w:tcBorders>
            <w:shd w:val="clear" w:color="auto" w:fill="auto"/>
            <w:noWrap/>
            <w:vAlign w:val="bottom"/>
            <w:hideMark/>
          </w:tcPr>
          <w:p w14:paraId="61B5AEC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133.3</w:t>
            </w:r>
          </w:p>
        </w:tc>
        <w:tc>
          <w:tcPr>
            <w:tcW w:w="1646" w:type="dxa"/>
            <w:tcBorders>
              <w:top w:val="nil"/>
              <w:left w:val="nil"/>
              <w:bottom w:val="nil"/>
              <w:right w:val="nil"/>
            </w:tcBorders>
            <w:shd w:val="clear" w:color="auto" w:fill="auto"/>
            <w:noWrap/>
            <w:vAlign w:val="bottom"/>
            <w:hideMark/>
          </w:tcPr>
          <w:p w14:paraId="11FF46F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83.0</w:t>
            </w:r>
          </w:p>
        </w:tc>
        <w:tc>
          <w:tcPr>
            <w:tcW w:w="1592" w:type="dxa"/>
            <w:tcBorders>
              <w:top w:val="nil"/>
              <w:left w:val="nil"/>
              <w:bottom w:val="nil"/>
              <w:right w:val="nil"/>
            </w:tcBorders>
            <w:shd w:val="clear" w:color="auto" w:fill="auto"/>
            <w:noWrap/>
            <w:vAlign w:val="bottom"/>
            <w:hideMark/>
          </w:tcPr>
          <w:p w14:paraId="095315F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54.3</w:t>
            </w:r>
          </w:p>
        </w:tc>
        <w:tc>
          <w:tcPr>
            <w:tcW w:w="1153" w:type="dxa"/>
            <w:tcBorders>
              <w:top w:val="nil"/>
              <w:left w:val="nil"/>
              <w:bottom w:val="nil"/>
              <w:right w:val="nil"/>
            </w:tcBorders>
            <w:shd w:val="clear" w:color="auto" w:fill="auto"/>
            <w:noWrap/>
            <w:vAlign w:val="bottom"/>
            <w:hideMark/>
          </w:tcPr>
          <w:p w14:paraId="537DF46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137.3</w:t>
            </w:r>
          </w:p>
        </w:tc>
      </w:tr>
      <w:tr w:rsidR="00742C6D" w:rsidRPr="00547A82" w14:paraId="2291F54F"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3D52F920"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NLD</w:t>
            </w:r>
          </w:p>
        </w:tc>
        <w:tc>
          <w:tcPr>
            <w:tcW w:w="1300" w:type="dxa"/>
            <w:gridSpan w:val="2"/>
            <w:tcBorders>
              <w:top w:val="nil"/>
              <w:left w:val="nil"/>
              <w:bottom w:val="nil"/>
              <w:right w:val="nil"/>
            </w:tcBorders>
            <w:shd w:val="clear" w:color="auto" w:fill="auto"/>
            <w:noWrap/>
            <w:vAlign w:val="bottom"/>
            <w:hideMark/>
          </w:tcPr>
          <w:p w14:paraId="332C0E8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165.6</w:t>
            </w:r>
          </w:p>
        </w:tc>
        <w:tc>
          <w:tcPr>
            <w:tcW w:w="1440" w:type="dxa"/>
            <w:gridSpan w:val="2"/>
            <w:tcBorders>
              <w:top w:val="nil"/>
              <w:left w:val="nil"/>
              <w:bottom w:val="nil"/>
              <w:right w:val="nil"/>
            </w:tcBorders>
            <w:shd w:val="clear" w:color="auto" w:fill="auto"/>
            <w:noWrap/>
            <w:vAlign w:val="bottom"/>
            <w:hideMark/>
          </w:tcPr>
          <w:p w14:paraId="3C370D7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74.7</w:t>
            </w:r>
          </w:p>
        </w:tc>
        <w:tc>
          <w:tcPr>
            <w:tcW w:w="1152" w:type="dxa"/>
            <w:gridSpan w:val="2"/>
            <w:tcBorders>
              <w:top w:val="nil"/>
              <w:left w:val="nil"/>
              <w:bottom w:val="nil"/>
              <w:right w:val="nil"/>
            </w:tcBorders>
            <w:shd w:val="clear" w:color="auto" w:fill="auto"/>
            <w:noWrap/>
            <w:vAlign w:val="bottom"/>
            <w:hideMark/>
          </w:tcPr>
          <w:p w14:paraId="270C6AB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240.3</w:t>
            </w:r>
          </w:p>
        </w:tc>
        <w:tc>
          <w:tcPr>
            <w:tcW w:w="1646" w:type="dxa"/>
            <w:tcBorders>
              <w:top w:val="nil"/>
              <w:left w:val="nil"/>
              <w:bottom w:val="nil"/>
              <w:right w:val="nil"/>
            </w:tcBorders>
            <w:shd w:val="clear" w:color="auto" w:fill="auto"/>
            <w:noWrap/>
            <w:vAlign w:val="bottom"/>
            <w:hideMark/>
          </w:tcPr>
          <w:p w14:paraId="2265E7B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139.0</w:t>
            </w:r>
          </w:p>
        </w:tc>
        <w:tc>
          <w:tcPr>
            <w:tcW w:w="1592" w:type="dxa"/>
            <w:tcBorders>
              <w:top w:val="nil"/>
              <w:left w:val="nil"/>
              <w:bottom w:val="nil"/>
              <w:right w:val="nil"/>
            </w:tcBorders>
            <w:shd w:val="clear" w:color="auto" w:fill="auto"/>
            <w:noWrap/>
            <w:vAlign w:val="bottom"/>
            <w:hideMark/>
          </w:tcPr>
          <w:p w14:paraId="3A76072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78.9</w:t>
            </w:r>
          </w:p>
        </w:tc>
        <w:tc>
          <w:tcPr>
            <w:tcW w:w="1153" w:type="dxa"/>
            <w:tcBorders>
              <w:top w:val="nil"/>
              <w:left w:val="nil"/>
              <w:bottom w:val="nil"/>
              <w:right w:val="nil"/>
            </w:tcBorders>
            <w:shd w:val="clear" w:color="auto" w:fill="auto"/>
            <w:noWrap/>
            <w:vAlign w:val="bottom"/>
            <w:hideMark/>
          </w:tcPr>
          <w:p w14:paraId="5CFE4B0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217.9</w:t>
            </w:r>
          </w:p>
        </w:tc>
      </w:tr>
      <w:tr w:rsidR="00742C6D" w:rsidRPr="00547A82" w14:paraId="16EEF009"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547CAB65"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GBR</w:t>
            </w:r>
          </w:p>
        </w:tc>
        <w:tc>
          <w:tcPr>
            <w:tcW w:w="1300" w:type="dxa"/>
            <w:gridSpan w:val="2"/>
            <w:tcBorders>
              <w:top w:val="nil"/>
              <w:left w:val="nil"/>
              <w:bottom w:val="nil"/>
              <w:right w:val="nil"/>
            </w:tcBorders>
            <w:shd w:val="clear" w:color="auto" w:fill="auto"/>
            <w:noWrap/>
            <w:vAlign w:val="bottom"/>
            <w:hideMark/>
          </w:tcPr>
          <w:p w14:paraId="4DC8176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74.5</w:t>
            </w:r>
          </w:p>
        </w:tc>
        <w:tc>
          <w:tcPr>
            <w:tcW w:w="1440" w:type="dxa"/>
            <w:gridSpan w:val="2"/>
            <w:tcBorders>
              <w:top w:val="nil"/>
              <w:left w:val="nil"/>
              <w:bottom w:val="nil"/>
              <w:right w:val="nil"/>
            </w:tcBorders>
            <w:shd w:val="clear" w:color="auto" w:fill="auto"/>
            <w:noWrap/>
            <w:vAlign w:val="bottom"/>
            <w:hideMark/>
          </w:tcPr>
          <w:p w14:paraId="1036E93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64.8</w:t>
            </w:r>
          </w:p>
        </w:tc>
        <w:tc>
          <w:tcPr>
            <w:tcW w:w="1152" w:type="dxa"/>
            <w:gridSpan w:val="2"/>
            <w:tcBorders>
              <w:top w:val="nil"/>
              <w:left w:val="nil"/>
              <w:bottom w:val="nil"/>
              <w:right w:val="nil"/>
            </w:tcBorders>
            <w:shd w:val="clear" w:color="auto" w:fill="auto"/>
            <w:noWrap/>
            <w:vAlign w:val="bottom"/>
            <w:hideMark/>
          </w:tcPr>
          <w:p w14:paraId="259CD2A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139.3</w:t>
            </w:r>
          </w:p>
        </w:tc>
        <w:tc>
          <w:tcPr>
            <w:tcW w:w="1646" w:type="dxa"/>
            <w:tcBorders>
              <w:top w:val="nil"/>
              <w:left w:val="nil"/>
              <w:bottom w:val="nil"/>
              <w:right w:val="nil"/>
            </w:tcBorders>
            <w:shd w:val="clear" w:color="auto" w:fill="auto"/>
            <w:noWrap/>
            <w:vAlign w:val="bottom"/>
            <w:hideMark/>
          </w:tcPr>
          <w:p w14:paraId="0C4ACA1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72.7</w:t>
            </w:r>
          </w:p>
        </w:tc>
        <w:tc>
          <w:tcPr>
            <w:tcW w:w="1592" w:type="dxa"/>
            <w:tcBorders>
              <w:top w:val="nil"/>
              <w:left w:val="nil"/>
              <w:bottom w:val="nil"/>
              <w:right w:val="nil"/>
            </w:tcBorders>
            <w:shd w:val="clear" w:color="auto" w:fill="auto"/>
            <w:noWrap/>
            <w:vAlign w:val="bottom"/>
            <w:hideMark/>
          </w:tcPr>
          <w:p w14:paraId="2C383B7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73.4</w:t>
            </w:r>
          </w:p>
        </w:tc>
        <w:tc>
          <w:tcPr>
            <w:tcW w:w="1153" w:type="dxa"/>
            <w:tcBorders>
              <w:top w:val="nil"/>
              <w:left w:val="nil"/>
              <w:bottom w:val="nil"/>
              <w:right w:val="nil"/>
            </w:tcBorders>
            <w:shd w:val="clear" w:color="auto" w:fill="auto"/>
            <w:noWrap/>
            <w:vAlign w:val="bottom"/>
            <w:hideMark/>
          </w:tcPr>
          <w:p w14:paraId="044CF21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146.1</w:t>
            </w:r>
          </w:p>
        </w:tc>
      </w:tr>
      <w:tr w:rsidR="00742C6D" w:rsidRPr="00547A82" w14:paraId="313D4B2A"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677B40CA"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r w:rsidRPr="00547A82">
              <w:rPr>
                <w:rFonts w:ascii="Times New Roman" w:eastAsia="Times New Roman" w:hAnsi="Times New Roman" w:cs="Times New Roman"/>
                <w:b/>
                <w:bCs/>
                <w:color w:val="000000"/>
                <w:sz w:val="20"/>
                <w:szCs w:val="20"/>
              </w:rPr>
              <w:t>Tanzania</w:t>
            </w:r>
          </w:p>
        </w:tc>
        <w:tc>
          <w:tcPr>
            <w:tcW w:w="1300" w:type="dxa"/>
            <w:gridSpan w:val="2"/>
            <w:tcBorders>
              <w:top w:val="nil"/>
              <w:left w:val="nil"/>
              <w:bottom w:val="nil"/>
              <w:right w:val="nil"/>
            </w:tcBorders>
            <w:shd w:val="clear" w:color="auto" w:fill="auto"/>
            <w:noWrap/>
            <w:vAlign w:val="bottom"/>
            <w:hideMark/>
          </w:tcPr>
          <w:p w14:paraId="7E717612"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p>
        </w:tc>
        <w:tc>
          <w:tcPr>
            <w:tcW w:w="1440" w:type="dxa"/>
            <w:gridSpan w:val="2"/>
            <w:tcBorders>
              <w:top w:val="nil"/>
              <w:left w:val="nil"/>
              <w:bottom w:val="nil"/>
              <w:right w:val="nil"/>
            </w:tcBorders>
            <w:shd w:val="clear" w:color="auto" w:fill="auto"/>
            <w:noWrap/>
            <w:vAlign w:val="bottom"/>
            <w:hideMark/>
          </w:tcPr>
          <w:p w14:paraId="61CB97EF"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52" w:type="dxa"/>
            <w:gridSpan w:val="2"/>
            <w:tcBorders>
              <w:top w:val="nil"/>
              <w:left w:val="nil"/>
              <w:bottom w:val="nil"/>
              <w:right w:val="nil"/>
            </w:tcBorders>
            <w:shd w:val="clear" w:color="auto" w:fill="auto"/>
            <w:noWrap/>
            <w:vAlign w:val="bottom"/>
            <w:hideMark/>
          </w:tcPr>
          <w:p w14:paraId="5A908E5B"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646" w:type="dxa"/>
            <w:tcBorders>
              <w:top w:val="nil"/>
              <w:left w:val="nil"/>
              <w:bottom w:val="nil"/>
              <w:right w:val="nil"/>
            </w:tcBorders>
            <w:shd w:val="clear" w:color="auto" w:fill="auto"/>
            <w:noWrap/>
            <w:vAlign w:val="bottom"/>
            <w:hideMark/>
          </w:tcPr>
          <w:p w14:paraId="76B20D6D"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592" w:type="dxa"/>
            <w:tcBorders>
              <w:top w:val="nil"/>
              <w:left w:val="nil"/>
              <w:bottom w:val="nil"/>
              <w:right w:val="nil"/>
            </w:tcBorders>
            <w:shd w:val="clear" w:color="auto" w:fill="auto"/>
            <w:noWrap/>
            <w:vAlign w:val="bottom"/>
            <w:hideMark/>
          </w:tcPr>
          <w:p w14:paraId="27B9FCAB"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53" w:type="dxa"/>
            <w:tcBorders>
              <w:top w:val="nil"/>
              <w:left w:val="nil"/>
              <w:bottom w:val="nil"/>
              <w:right w:val="nil"/>
            </w:tcBorders>
            <w:shd w:val="clear" w:color="auto" w:fill="auto"/>
            <w:noWrap/>
            <w:vAlign w:val="bottom"/>
            <w:hideMark/>
          </w:tcPr>
          <w:p w14:paraId="251EFF85" w14:textId="77777777" w:rsidR="00742C6D" w:rsidRPr="00547A82" w:rsidRDefault="00742C6D" w:rsidP="00742C6D">
            <w:pPr>
              <w:spacing w:after="0" w:line="240" w:lineRule="auto"/>
              <w:rPr>
                <w:rFonts w:ascii="Times New Roman" w:eastAsia="Times New Roman" w:hAnsi="Times New Roman" w:cs="Times New Roman"/>
                <w:sz w:val="20"/>
                <w:szCs w:val="20"/>
              </w:rPr>
            </w:pPr>
          </w:p>
        </w:tc>
      </w:tr>
      <w:tr w:rsidR="00742C6D" w:rsidRPr="00547A82" w14:paraId="2E099CE9"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1779466E"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Total</w:t>
            </w:r>
          </w:p>
        </w:tc>
        <w:tc>
          <w:tcPr>
            <w:tcW w:w="1300" w:type="dxa"/>
            <w:gridSpan w:val="2"/>
            <w:tcBorders>
              <w:top w:val="nil"/>
              <w:left w:val="nil"/>
              <w:bottom w:val="nil"/>
              <w:right w:val="nil"/>
            </w:tcBorders>
            <w:shd w:val="clear" w:color="auto" w:fill="auto"/>
            <w:noWrap/>
            <w:vAlign w:val="bottom"/>
            <w:hideMark/>
          </w:tcPr>
          <w:p w14:paraId="228F97F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10.2</w:t>
            </w:r>
          </w:p>
        </w:tc>
        <w:tc>
          <w:tcPr>
            <w:tcW w:w="1440" w:type="dxa"/>
            <w:gridSpan w:val="2"/>
            <w:tcBorders>
              <w:top w:val="nil"/>
              <w:left w:val="nil"/>
              <w:bottom w:val="nil"/>
              <w:right w:val="nil"/>
            </w:tcBorders>
            <w:shd w:val="clear" w:color="auto" w:fill="auto"/>
            <w:noWrap/>
            <w:vAlign w:val="bottom"/>
            <w:hideMark/>
          </w:tcPr>
          <w:p w14:paraId="79C5CCC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4.0</w:t>
            </w:r>
          </w:p>
        </w:tc>
        <w:tc>
          <w:tcPr>
            <w:tcW w:w="1152" w:type="dxa"/>
            <w:gridSpan w:val="2"/>
            <w:tcBorders>
              <w:top w:val="nil"/>
              <w:left w:val="nil"/>
              <w:bottom w:val="nil"/>
              <w:right w:val="nil"/>
            </w:tcBorders>
            <w:shd w:val="clear" w:color="auto" w:fill="auto"/>
            <w:noWrap/>
            <w:vAlign w:val="bottom"/>
            <w:hideMark/>
          </w:tcPr>
          <w:p w14:paraId="344EA7C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14.2</w:t>
            </w:r>
          </w:p>
        </w:tc>
        <w:tc>
          <w:tcPr>
            <w:tcW w:w="1646" w:type="dxa"/>
            <w:tcBorders>
              <w:top w:val="nil"/>
              <w:left w:val="nil"/>
              <w:bottom w:val="nil"/>
              <w:right w:val="nil"/>
            </w:tcBorders>
            <w:shd w:val="clear" w:color="auto" w:fill="auto"/>
            <w:noWrap/>
            <w:vAlign w:val="bottom"/>
            <w:hideMark/>
          </w:tcPr>
          <w:p w14:paraId="4887EFF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8.4</w:t>
            </w:r>
          </w:p>
        </w:tc>
        <w:tc>
          <w:tcPr>
            <w:tcW w:w="1592" w:type="dxa"/>
            <w:tcBorders>
              <w:top w:val="nil"/>
              <w:left w:val="nil"/>
              <w:bottom w:val="nil"/>
              <w:right w:val="nil"/>
            </w:tcBorders>
            <w:shd w:val="clear" w:color="auto" w:fill="auto"/>
            <w:noWrap/>
            <w:vAlign w:val="bottom"/>
            <w:hideMark/>
          </w:tcPr>
          <w:p w14:paraId="220E7D3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29.9</w:t>
            </w:r>
          </w:p>
        </w:tc>
        <w:tc>
          <w:tcPr>
            <w:tcW w:w="1153" w:type="dxa"/>
            <w:tcBorders>
              <w:top w:val="nil"/>
              <w:left w:val="nil"/>
              <w:bottom w:val="nil"/>
              <w:right w:val="nil"/>
            </w:tcBorders>
            <w:shd w:val="clear" w:color="auto" w:fill="auto"/>
            <w:noWrap/>
            <w:vAlign w:val="bottom"/>
            <w:hideMark/>
          </w:tcPr>
          <w:p w14:paraId="20E5E18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38.3</w:t>
            </w:r>
          </w:p>
        </w:tc>
      </w:tr>
      <w:tr w:rsidR="00742C6D" w:rsidRPr="00547A82" w14:paraId="3851D07E"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41D55835"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Small</w:t>
            </w:r>
          </w:p>
        </w:tc>
        <w:tc>
          <w:tcPr>
            <w:tcW w:w="1300" w:type="dxa"/>
            <w:gridSpan w:val="2"/>
            <w:tcBorders>
              <w:top w:val="nil"/>
              <w:left w:val="nil"/>
              <w:bottom w:val="nil"/>
              <w:right w:val="nil"/>
            </w:tcBorders>
            <w:shd w:val="clear" w:color="auto" w:fill="auto"/>
            <w:noWrap/>
            <w:vAlign w:val="bottom"/>
            <w:hideMark/>
          </w:tcPr>
          <w:p w14:paraId="30A5C09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9.1</w:t>
            </w:r>
          </w:p>
        </w:tc>
        <w:tc>
          <w:tcPr>
            <w:tcW w:w="1440" w:type="dxa"/>
            <w:gridSpan w:val="2"/>
            <w:tcBorders>
              <w:top w:val="nil"/>
              <w:left w:val="nil"/>
              <w:bottom w:val="nil"/>
              <w:right w:val="nil"/>
            </w:tcBorders>
            <w:shd w:val="clear" w:color="auto" w:fill="auto"/>
            <w:noWrap/>
            <w:vAlign w:val="bottom"/>
            <w:hideMark/>
          </w:tcPr>
          <w:p w14:paraId="61DB65A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5.2</w:t>
            </w:r>
          </w:p>
        </w:tc>
        <w:tc>
          <w:tcPr>
            <w:tcW w:w="1152" w:type="dxa"/>
            <w:gridSpan w:val="2"/>
            <w:tcBorders>
              <w:top w:val="nil"/>
              <w:left w:val="nil"/>
              <w:bottom w:val="nil"/>
              <w:right w:val="nil"/>
            </w:tcBorders>
            <w:shd w:val="clear" w:color="auto" w:fill="auto"/>
            <w:noWrap/>
            <w:vAlign w:val="bottom"/>
            <w:hideMark/>
          </w:tcPr>
          <w:p w14:paraId="38D7CC5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14.3</w:t>
            </w:r>
          </w:p>
        </w:tc>
        <w:tc>
          <w:tcPr>
            <w:tcW w:w="1646" w:type="dxa"/>
            <w:tcBorders>
              <w:top w:val="nil"/>
              <w:left w:val="nil"/>
              <w:bottom w:val="nil"/>
              <w:right w:val="nil"/>
            </w:tcBorders>
            <w:shd w:val="clear" w:color="auto" w:fill="auto"/>
            <w:noWrap/>
            <w:vAlign w:val="bottom"/>
            <w:hideMark/>
          </w:tcPr>
          <w:p w14:paraId="49C6746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7.4</w:t>
            </w:r>
          </w:p>
        </w:tc>
        <w:tc>
          <w:tcPr>
            <w:tcW w:w="1592" w:type="dxa"/>
            <w:tcBorders>
              <w:top w:val="nil"/>
              <w:left w:val="nil"/>
              <w:bottom w:val="nil"/>
              <w:right w:val="nil"/>
            </w:tcBorders>
            <w:shd w:val="clear" w:color="auto" w:fill="auto"/>
            <w:noWrap/>
            <w:vAlign w:val="bottom"/>
            <w:hideMark/>
          </w:tcPr>
          <w:p w14:paraId="5D6B7A1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39.2</w:t>
            </w:r>
          </w:p>
        </w:tc>
        <w:tc>
          <w:tcPr>
            <w:tcW w:w="1153" w:type="dxa"/>
            <w:tcBorders>
              <w:top w:val="nil"/>
              <w:left w:val="nil"/>
              <w:bottom w:val="nil"/>
              <w:right w:val="nil"/>
            </w:tcBorders>
            <w:shd w:val="clear" w:color="auto" w:fill="auto"/>
            <w:noWrap/>
            <w:vAlign w:val="bottom"/>
            <w:hideMark/>
          </w:tcPr>
          <w:p w14:paraId="7F38924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46.6</w:t>
            </w:r>
          </w:p>
        </w:tc>
      </w:tr>
      <w:tr w:rsidR="00742C6D" w:rsidRPr="00547A82" w14:paraId="47C35F59"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35B84BEA"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Large</w:t>
            </w:r>
          </w:p>
        </w:tc>
        <w:tc>
          <w:tcPr>
            <w:tcW w:w="1300" w:type="dxa"/>
            <w:gridSpan w:val="2"/>
            <w:tcBorders>
              <w:top w:val="nil"/>
              <w:left w:val="nil"/>
              <w:bottom w:val="nil"/>
              <w:right w:val="nil"/>
            </w:tcBorders>
            <w:shd w:val="clear" w:color="auto" w:fill="auto"/>
            <w:noWrap/>
            <w:vAlign w:val="bottom"/>
            <w:hideMark/>
          </w:tcPr>
          <w:p w14:paraId="7A45173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10.5</w:t>
            </w:r>
          </w:p>
        </w:tc>
        <w:tc>
          <w:tcPr>
            <w:tcW w:w="1440" w:type="dxa"/>
            <w:gridSpan w:val="2"/>
            <w:tcBorders>
              <w:top w:val="nil"/>
              <w:left w:val="nil"/>
              <w:bottom w:val="nil"/>
              <w:right w:val="nil"/>
            </w:tcBorders>
            <w:shd w:val="clear" w:color="auto" w:fill="auto"/>
            <w:noWrap/>
            <w:vAlign w:val="bottom"/>
            <w:hideMark/>
          </w:tcPr>
          <w:p w14:paraId="47977BB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3.9</w:t>
            </w:r>
          </w:p>
        </w:tc>
        <w:tc>
          <w:tcPr>
            <w:tcW w:w="1152" w:type="dxa"/>
            <w:gridSpan w:val="2"/>
            <w:tcBorders>
              <w:top w:val="nil"/>
              <w:left w:val="nil"/>
              <w:bottom w:val="nil"/>
              <w:right w:val="nil"/>
            </w:tcBorders>
            <w:shd w:val="clear" w:color="auto" w:fill="auto"/>
            <w:noWrap/>
            <w:vAlign w:val="bottom"/>
            <w:hideMark/>
          </w:tcPr>
          <w:p w14:paraId="19719E8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14.4</w:t>
            </w:r>
          </w:p>
        </w:tc>
        <w:tc>
          <w:tcPr>
            <w:tcW w:w="1646" w:type="dxa"/>
            <w:tcBorders>
              <w:top w:val="nil"/>
              <w:left w:val="nil"/>
              <w:bottom w:val="nil"/>
              <w:right w:val="nil"/>
            </w:tcBorders>
            <w:shd w:val="clear" w:color="auto" w:fill="auto"/>
            <w:noWrap/>
            <w:vAlign w:val="bottom"/>
            <w:hideMark/>
          </w:tcPr>
          <w:p w14:paraId="36DC723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8.6</w:t>
            </w:r>
          </w:p>
        </w:tc>
        <w:tc>
          <w:tcPr>
            <w:tcW w:w="1592" w:type="dxa"/>
            <w:tcBorders>
              <w:top w:val="nil"/>
              <w:left w:val="nil"/>
              <w:bottom w:val="nil"/>
              <w:right w:val="nil"/>
            </w:tcBorders>
            <w:shd w:val="clear" w:color="auto" w:fill="auto"/>
            <w:noWrap/>
            <w:vAlign w:val="bottom"/>
            <w:hideMark/>
          </w:tcPr>
          <w:p w14:paraId="4216B6D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29.3</w:t>
            </w:r>
          </w:p>
        </w:tc>
        <w:tc>
          <w:tcPr>
            <w:tcW w:w="1153" w:type="dxa"/>
            <w:tcBorders>
              <w:top w:val="nil"/>
              <w:left w:val="nil"/>
              <w:bottom w:val="nil"/>
              <w:right w:val="nil"/>
            </w:tcBorders>
            <w:shd w:val="clear" w:color="auto" w:fill="auto"/>
            <w:noWrap/>
            <w:vAlign w:val="bottom"/>
            <w:hideMark/>
          </w:tcPr>
          <w:p w14:paraId="7C724B6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37.9</w:t>
            </w:r>
          </w:p>
        </w:tc>
      </w:tr>
      <w:tr w:rsidR="00742C6D" w:rsidRPr="00547A82" w14:paraId="3CDAB53E"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2D2DA456"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Foreign</w:t>
            </w:r>
          </w:p>
        </w:tc>
        <w:tc>
          <w:tcPr>
            <w:tcW w:w="1300" w:type="dxa"/>
            <w:gridSpan w:val="2"/>
            <w:tcBorders>
              <w:top w:val="nil"/>
              <w:left w:val="nil"/>
              <w:bottom w:val="nil"/>
              <w:right w:val="nil"/>
            </w:tcBorders>
            <w:shd w:val="clear" w:color="auto" w:fill="auto"/>
            <w:noWrap/>
            <w:vAlign w:val="bottom"/>
            <w:hideMark/>
          </w:tcPr>
          <w:p w14:paraId="4B064A4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12.5</w:t>
            </w:r>
          </w:p>
        </w:tc>
        <w:tc>
          <w:tcPr>
            <w:tcW w:w="1440" w:type="dxa"/>
            <w:gridSpan w:val="2"/>
            <w:tcBorders>
              <w:top w:val="nil"/>
              <w:left w:val="nil"/>
              <w:bottom w:val="nil"/>
              <w:right w:val="nil"/>
            </w:tcBorders>
            <w:shd w:val="clear" w:color="auto" w:fill="auto"/>
            <w:noWrap/>
            <w:vAlign w:val="bottom"/>
            <w:hideMark/>
          </w:tcPr>
          <w:p w14:paraId="4B5BD01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3.0</w:t>
            </w:r>
          </w:p>
        </w:tc>
        <w:tc>
          <w:tcPr>
            <w:tcW w:w="1152" w:type="dxa"/>
            <w:gridSpan w:val="2"/>
            <w:tcBorders>
              <w:top w:val="nil"/>
              <w:left w:val="nil"/>
              <w:bottom w:val="nil"/>
              <w:right w:val="nil"/>
            </w:tcBorders>
            <w:shd w:val="clear" w:color="auto" w:fill="auto"/>
            <w:noWrap/>
            <w:vAlign w:val="bottom"/>
            <w:hideMark/>
          </w:tcPr>
          <w:p w14:paraId="1C4A135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15.5</w:t>
            </w:r>
          </w:p>
        </w:tc>
        <w:tc>
          <w:tcPr>
            <w:tcW w:w="1646" w:type="dxa"/>
            <w:tcBorders>
              <w:top w:val="nil"/>
              <w:left w:val="nil"/>
              <w:bottom w:val="nil"/>
              <w:right w:val="nil"/>
            </w:tcBorders>
            <w:shd w:val="clear" w:color="auto" w:fill="auto"/>
            <w:noWrap/>
            <w:vAlign w:val="bottom"/>
            <w:hideMark/>
          </w:tcPr>
          <w:p w14:paraId="60D3B68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10.3</w:t>
            </w:r>
          </w:p>
        </w:tc>
        <w:tc>
          <w:tcPr>
            <w:tcW w:w="1592" w:type="dxa"/>
            <w:tcBorders>
              <w:top w:val="nil"/>
              <w:left w:val="nil"/>
              <w:bottom w:val="nil"/>
              <w:right w:val="nil"/>
            </w:tcBorders>
            <w:shd w:val="clear" w:color="auto" w:fill="auto"/>
            <w:noWrap/>
            <w:vAlign w:val="bottom"/>
            <w:hideMark/>
          </w:tcPr>
          <w:p w14:paraId="350F654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22.4</w:t>
            </w:r>
          </w:p>
        </w:tc>
        <w:tc>
          <w:tcPr>
            <w:tcW w:w="1153" w:type="dxa"/>
            <w:tcBorders>
              <w:top w:val="nil"/>
              <w:left w:val="nil"/>
              <w:bottom w:val="nil"/>
              <w:right w:val="nil"/>
            </w:tcBorders>
            <w:shd w:val="clear" w:color="auto" w:fill="auto"/>
            <w:noWrap/>
            <w:vAlign w:val="bottom"/>
            <w:hideMark/>
          </w:tcPr>
          <w:p w14:paraId="2AACA8F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32.7</w:t>
            </w:r>
          </w:p>
        </w:tc>
      </w:tr>
      <w:tr w:rsidR="00742C6D" w:rsidRPr="00547A82" w14:paraId="011B59B9"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2D67D721"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Exporting</w:t>
            </w:r>
          </w:p>
        </w:tc>
        <w:tc>
          <w:tcPr>
            <w:tcW w:w="1300" w:type="dxa"/>
            <w:gridSpan w:val="2"/>
            <w:tcBorders>
              <w:top w:val="nil"/>
              <w:left w:val="nil"/>
              <w:bottom w:val="nil"/>
              <w:right w:val="nil"/>
            </w:tcBorders>
            <w:shd w:val="clear" w:color="auto" w:fill="auto"/>
            <w:noWrap/>
            <w:vAlign w:val="bottom"/>
            <w:hideMark/>
          </w:tcPr>
          <w:p w14:paraId="03B4CB0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11.2</w:t>
            </w:r>
          </w:p>
        </w:tc>
        <w:tc>
          <w:tcPr>
            <w:tcW w:w="1440" w:type="dxa"/>
            <w:gridSpan w:val="2"/>
            <w:tcBorders>
              <w:top w:val="nil"/>
              <w:left w:val="nil"/>
              <w:bottom w:val="nil"/>
              <w:right w:val="nil"/>
            </w:tcBorders>
            <w:shd w:val="clear" w:color="auto" w:fill="auto"/>
            <w:noWrap/>
            <w:vAlign w:val="bottom"/>
            <w:hideMark/>
          </w:tcPr>
          <w:p w14:paraId="49DDB4A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4.9</w:t>
            </w:r>
          </w:p>
        </w:tc>
        <w:tc>
          <w:tcPr>
            <w:tcW w:w="1152" w:type="dxa"/>
            <w:gridSpan w:val="2"/>
            <w:tcBorders>
              <w:top w:val="nil"/>
              <w:left w:val="nil"/>
              <w:bottom w:val="nil"/>
              <w:right w:val="nil"/>
            </w:tcBorders>
            <w:shd w:val="clear" w:color="auto" w:fill="auto"/>
            <w:noWrap/>
            <w:vAlign w:val="bottom"/>
            <w:hideMark/>
          </w:tcPr>
          <w:p w14:paraId="5968D7E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16.1</w:t>
            </w:r>
          </w:p>
        </w:tc>
        <w:tc>
          <w:tcPr>
            <w:tcW w:w="1646" w:type="dxa"/>
            <w:tcBorders>
              <w:top w:val="nil"/>
              <w:left w:val="nil"/>
              <w:bottom w:val="nil"/>
              <w:right w:val="nil"/>
            </w:tcBorders>
            <w:shd w:val="clear" w:color="auto" w:fill="auto"/>
            <w:noWrap/>
            <w:vAlign w:val="bottom"/>
            <w:hideMark/>
          </w:tcPr>
          <w:p w14:paraId="262F228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9.2</w:t>
            </w:r>
          </w:p>
        </w:tc>
        <w:tc>
          <w:tcPr>
            <w:tcW w:w="1592" w:type="dxa"/>
            <w:tcBorders>
              <w:top w:val="nil"/>
              <w:left w:val="nil"/>
              <w:bottom w:val="nil"/>
              <w:right w:val="nil"/>
            </w:tcBorders>
            <w:shd w:val="clear" w:color="auto" w:fill="auto"/>
            <w:noWrap/>
            <w:vAlign w:val="bottom"/>
            <w:hideMark/>
          </w:tcPr>
          <w:p w14:paraId="794BEFE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36.8</w:t>
            </w:r>
          </w:p>
        </w:tc>
        <w:tc>
          <w:tcPr>
            <w:tcW w:w="1153" w:type="dxa"/>
            <w:tcBorders>
              <w:top w:val="nil"/>
              <w:left w:val="nil"/>
              <w:bottom w:val="nil"/>
              <w:right w:val="nil"/>
            </w:tcBorders>
            <w:shd w:val="clear" w:color="auto" w:fill="auto"/>
            <w:noWrap/>
            <w:vAlign w:val="bottom"/>
            <w:hideMark/>
          </w:tcPr>
          <w:p w14:paraId="713E60F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45.9</w:t>
            </w:r>
          </w:p>
        </w:tc>
      </w:tr>
      <w:tr w:rsidR="00742C6D" w:rsidRPr="00547A82" w14:paraId="5824CDFB"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114DCE46"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r w:rsidRPr="00547A82">
              <w:rPr>
                <w:rFonts w:ascii="Times New Roman" w:eastAsia="Times New Roman" w:hAnsi="Times New Roman" w:cs="Times New Roman"/>
                <w:b/>
                <w:bCs/>
                <w:color w:val="000000"/>
                <w:sz w:val="20"/>
                <w:szCs w:val="20"/>
              </w:rPr>
              <w:t>Ethiopia</w:t>
            </w:r>
          </w:p>
        </w:tc>
        <w:tc>
          <w:tcPr>
            <w:tcW w:w="1300" w:type="dxa"/>
            <w:gridSpan w:val="2"/>
            <w:tcBorders>
              <w:top w:val="nil"/>
              <w:left w:val="nil"/>
              <w:bottom w:val="nil"/>
              <w:right w:val="nil"/>
            </w:tcBorders>
            <w:shd w:val="clear" w:color="auto" w:fill="auto"/>
            <w:noWrap/>
            <w:vAlign w:val="bottom"/>
            <w:hideMark/>
          </w:tcPr>
          <w:p w14:paraId="70EF1285"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p>
        </w:tc>
        <w:tc>
          <w:tcPr>
            <w:tcW w:w="1440" w:type="dxa"/>
            <w:gridSpan w:val="2"/>
            <w:tcBorders>
              <w:top w:val="nil"/>
              <w:left w:val="nil"/>
              <w:bottom w:val="nil"/>
              <w:right w:val="nil"/>
            </w:tcBorders>
            <w:shd w:val="clear" w:color="auto" w:fill="auto"/>
            <w:noWrap/>
            <w:vAlign w:val="bottom"/>
            <w:hideMark/>
          </w:tcPr>
          <w:p w14:paraId="1EA65B69"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52" w:type="dxa"/>
            <w:gridSpan w:val="2"/>
            <w:tcBorders>
              <w:top w:val="nil"/>
              <w:left w:val="nil"/>
              <w:bottom w:val="nil"/>
              <w:right w:val="nil"/>
            </w:tcBorders>
            <w:shd w:val="clear" w:color="auto" w:fill="auto"/>
            <w:noWrap/>
            <w:vAlign w:val="bottom"/>
            <w:hideMark/>
          </w:tcPr>
          <w:p w14:paraId="6F0D9A57"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646" w:type="dxa"/>
            <w:tcBorders>
              <w:top w:val="nil"/>
              <w:left w:val="nil"/>
              <w:bottom w:val="nil"/>
              <w:right w:val="nil"/>
            </w:tcBorders>
            <w:shd w:val="clear" w:color="auto" w:fill="auto"/>
            <w:noWrap/>
            <w:vAlign w:val="bottom"/>
            <w:hideMark/>
          </w:tcPr>
          <w:p w14:paraId="77E6FB94"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592" w:type="dxa"/>
            <w:tcBorders>
              <w:top w:val="nil"/>
              <w:left w:val="nil"/>
              <w:bottom w:val="nil"/>
              <w:right w:val="nil"/>
            </w:tcBorders>
            <w:shd w:val="clear" w:color="auto" w:fill="auto"/>
            <w:noWrap/>
            <w:vAlign w:val="bottom"/>
            <w:hideMark/>
          </w:tcPr>
          <w:p w14:paraId="734E6642"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53" w:type="dxa"/>
            <w:tcBorders>
              <w:top w:val="nil"/>
              <w:left w:val="nil"/>
              <w:bottom w:val="nil"/>
              <w:right w:val="nil"/>
            </w:tcBorders>
            <w:shd w:val="clear" w:color="auto" w:fill="auto"/>
            <w:noWrap/>
            <w:vAlign w:val="bottom"/>
            <w:hideMark/>
          </w:tcPr>
          <w:p w14:paraId="21B5D7CE" w14:textId="77777777" w:rsidR="00742C6D" w:rsidRPr="00547A82" w:rsidRDefault="00742C6D" w:rsidP="00742C6D">
            <w:pPr>
              <w:spacing w:after="0" w:line="240" w:lineRule="auto"/>
              <w:rPr>
                <w:rFonts w:ascii="Times New Roman" w:eastAsia="Times New Roman" w:hAnsi="Times New Roman" w:cs="Times New Roman"/>
                <w:sz w:val="20"/>
                <w:szCs w:val="20"/>
              </w:rPr>
            </w:pPr>
          </w:p>
        </w:tc>
      </w:tr>
      <w:tr w:rsidR="00742C6D" w:rsidRPr="00547A82" w14:paraId="2FF15DD6"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16FEEF5A"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Total</w:t>
            </w:r>
          </w:p>
        </w:tc>
        <w:tc>
          <w:tcPr>
            <w:tcW w:w="1300" w:type="dxa"/>
            <w:gridSpan w:val="2"/>
            <w:tcBorders>
              <w:top w:val="nil"/>
              <w:left w:val="nil"/>
              <w:bottom w:val="nil"/>
              <w:right w:val="nil"/>
            </w:tcBorders>
            <w:shd w:val="clear" w:color="auto" w:fill="auto"/>
            <w:noWrap/>
            <w:vAlign w:val="bottom"/>
            <w:hideMark/>
          </w:tcPr>
          <w:p w14:paraId="4D31090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11.9</w:t>
            </w:r>
          </w:p>
        </w:tc>
        <w:tc>
          <w:tcPr>
            <w:tcW w:w="1440" w:type="dxa"/>
            <w:gridSpan w:val="2"/>
            <w:tcBorders>
              <w:top w:val="nil"/>
              <w:left w:val="nil"/>
              <w:bottom w:val="nil"/>
              <w:right w:val="nil"/>
            </w:tcBorders>
            <w:shd w:val="clear" w:color="auto" w:fill="auto"/>
            <w:noWrap/>
            <w:vAlign w:val="bottom"/>
            <w:hideMark/>
          </w:tcPr>
          <w:p w14:paraId="6D33B69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3.8</w:t>
            </w:r>
          </w:p>
        </w:tc>
        <w:tc>
          <w:tcPr>
            <w:tcW w:w="1152" w:type="dxa"/>
            <w:gridSpan w:val="2"/>
            <w:tcBorders>
              <w:top w:val="nil"/>
              <w:left w:val="nil"/>
              <w:bottom w:val="nil"/>
              <w:right w:val="nil"/>
            </w:tcBorders>
            <w:shd w:val="clear" w:color="auto" w:fill="auto"/>
            <w:noWrap/>
            <w:vAlign w:val="bottom"/>
            <w:hideMark/>
          </w:tcPr>
          <w:p w14:paraId="73EFC9E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15.7</w:t>
            </w:r>
          </w:p>
        </w:tc>
        <w:tc>
          <w:tcPr>
            <w:tcW w:w="1646" w:type="dxa"/>
            <w:tcBorders>
              <w:top w:val="nil"/>
              <w:left w:val="nil"/>
              <w:bottom w:val="nil"/>
              <w:right w:val="nil"/>
            </w:tcBorders>
            <w:shd w:val="clear" w:color="auto" w:fill="auto"/>
            <w:noWrap/>
            <w:vAlign w:val="bottom"/>
            <w:hideMark/>
          </w:tcPr>
          <w:p w14:paraId="51211B5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5.7</w:t>
            </w:r>
          </w:p>
        </w:tc>
        <w:tc>
          <w:tcPr>
            <w:tcW w:w="1592" w:type="dxa"/>
            <w:tcBorders>
              <w:top w:val="nil"/>
              <w:left w:val="nil"/>
              <w:bottom w:val="nil"/>
              <w:right w:val="nil"/>
            </w:tcBorders>
            <w:shd w:val="clear" w:color="auto" w:fill="auto"/>
            <w:noWrap/>
            <w:vAlign w:val="bottom"/>
            <w:hideMark/>
          </w:tcPr>
          <w:p w14:paraId="7E23185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21.8</w:t>
            </w:r>
          </w:p>
        </w:tc>
        <w:tc>
          <w:tcPr>
            <w:tcW w:w="1153" w:type="dxa"/>
            <w:tcBorders>
              <w:top w:val="nil"/>
              <w:left w:val="nil"/>
              <w:bottom w:val="nil"/>
              <w:right w:val="nil"/>
            </w:tcBorders>
            <w:shd w:val="clear" w:color="auto" w:fill="auto"/>
            <w:noWrap/>
            <w:vAlign w:val="bottom"/>
            <w:hideMark/>
          </w:tcPr>
          <w:p w14:paraId="2369E13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27.5</w:t>
            </w:r>
          </w:p>
        </w:tc>
      </w:tr>
      <w:tr w:rsidR="00742C6D" w:rsidRPr="00547A82" w14:paraId="6EBFA5BE"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59A99B54"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Small</w:t>
            </w:r>
          </w:p>
        </w:tc>
        <w:tc>
          <w:tcPr>
            <w:tcW w:w="1300" w:type="dxa"/>
            <w:gridSpan w:val="2"/>
            <w:tcBorders>
              <w:top w:val="nil"/>
              <w:left w:val="nil"/>
              <w:bottom w:val="nil"/>
              <w:right w:val="nil"/>
            </w:tcBorders>
            <w:shd w:val="clear" w:color="auto" w:fill="auto"/>
            <w:noWrap/>
            <w:vAlign w:val="bottom"/>
            <w:hideMark/>
          </w:tcPr>
          <w:p w14:paraId="5AB8D56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7.9</w:t>
            </w:r>
          </w:p>
        </w:tc>
        <w:tc>
          <w:tcPr>
            <w:tcW w:w="1440" w:type="dxa"/>
            <w:gridSpan w:val="2"/>
            <w:tcBorders>
              <w:top w:val="nil"/>
              <w:left w:val="nil"/>
              <w:bottom w:val="nil"/>
              <w:right w:val="nil"/>
            </w:tcBorders>
            <w:shd w:val="clear" w:color="auto" w:fill="auto"/>
            <w:noWrap/>
            <w:vAlign w:val="bottom"/>
            <w:hideMark/>
          </w:tcPr>
          <w:p w14:paraId="7FDEF1B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3.6</w:t>
            </w:r>
          </w:p>
        </w:tc>
        <w:tc>
          <w:tcPr>
            <w:tcW w:w="1152" w:type="dxa"/>
            <w:gridSpan w:val="2"/>
            <w:tcBorders>
              <w:top w:val="nil"/>
              <w:left w:val="nil"/>
              <w:bottom w:val="nil"/>
              <w:right w:val="nil"/>
            </w:tcBorders>
            <w:shd w:val="clear" w:color="auto" w:fill="auto"/>
            <w:noWrap/>
            <w:vAlign w:val="bottom"/>
            <w:hideMark/>
          </w:tcPr>
          <w:p w14:paraId="26EB962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11.5</w:t>
            </w:r>
          </w:p>
        </w:tc>
        <w:tc>
          <w:tcPr>
            <w:tcW w:w="1646" w:type="dxa"/>
            <w:tcBorders>
              <w:top w:val="nil"/>
              <w:left w:val="nil"/>
              <w:bottom w:val="nil"/>
              <w:right w:val="nil"/>
            </w:tcBorders>
            <w:shd w:val="clear" w:color="auto" w:fill="auto"/>
            <w:noWrap/>
            <w:vAlign w:val="bottom"/>
            <w:hideMark/>
          </w:tcPr>
          <w:p w14:paraId="36ED2C1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3.1</w:t>
            </w:r>
          </w:p>
        </w:tc>
        <w:tc>
          <w:tcPr>
            <w:tcW w:w="1592" w:type="dxa"/>
            <w:tcBorders>
              <w:top w:val="nil"/>
              <w:left w:val="nil"/>
              <w:bottom w:val="nil"/>
              <w:right w:val="nil"/>
            </w:tcBorders>
            <w:shd w:val="clear" w:color="auto" w:fill="auto"/>
            <w:noWrap/>
            <w:vAlign w:val="bottom"/>
            <w:hideMark/>
          </w:tcPr>
          <w:p w14:paraId="43C05B5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20.6</w:t>
            </w:r>
          </w:p>
        </w:tc>
        <w:tc>
          <w:tcPr>
            <w:tcW w:w="1153" w:type="dxa"/>
            <w:tcBorders>
              <w:top w:val="nil"/>
              <w:left w:val="nil"/>
              <w:bottom w:val="nil"/>
              <w:right w:val="nil"/>
            </w:tcBorders>
            <w:shd w:val="clear" w:color="auto" w:fill="auto"/>
            <w:noWrap/>
            <w:vAlign w:val="bottom"/>
            <w:hideMark/>
          </w:tcPr>
          <w:p w14:paraId="457D30A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23.7</w:t>
            </w:r>
          </w:p>
        </w:tc>
      </w:tr>
      <w:tr w:rsidR="00742C6D" w:rsidRPr="00547A82" w14:paraId="2C30193D"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494663A2"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Large</w:t>
            </w:r>
          </w:p>
        </w:tc>
        <w:tc>
          <w:tcPr>
            <w:tcW w:w="1300" w:type="dxa"/>
            <w:gridSpan w:val="2"/>
            <w:tcBorders>
              <w:top w:val="nil"/>
              <w:left w:val="nil"/>
              <w:bottom w:val="nil"/>
              <w:right w:val="nil"/>
            </w:tcBorders>
            <w:shd w:val="clear" w:color="auto" w:fill="auto"/>
            <w:noWrap/>
            <w:vAlign w:val="bottom"/>
            <w:hideMark/>
          </w:tcPr>
          <w:p w14:paraId="2C69103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13.3</w:t>
            </w:r>
          </w:p>
        </w:tc>
        <w:tc>
          <w:tcPr>
            <w:tcW w:w="1440" w:type="dxa"/>
            <w:gridSpan w:val="2"/>
            <w:tcBorders>
              <w:top w:val="nil"/>
              <w:left w:val="nil"/>
              <w:bottom w:val="nil"/>
              <w:right w:val="nil"/>
            </w:tcBorders>
            <w:shd w:val="clear" w:color="auto" w:fill="auto"/>
            <w:noWrap/>
            <w:vAlign w:val="bottom"/>
            <w:hideMark/>
          </w:tcPr>
          <w:p w14:paraId="559F3FE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3.9</w:t>
            </w:r>
          </w:p>
        </w:tc>
        <w:tc>
          <w:tcPr>
            <w:tcW w:w="1152" w:type="dxa"/>
            <w:gridSpan w:val="2"/>
            <w:tcBorders>
              <w:top w:val="nil"/>
              <w:left w:val="nil"/>
              <w:bottom w:val="nil"/>
              <w:right w:val="nil"/>
            </w:tcBorders>
            <w:shd w:val="clear" w:color="auto" w:fill="auto"/>
            <w:noWrap/>
            <w:vAlign w:val="bottom"/>
            <w:hideMark/>
          </w:tcPr>
          <w:p w14:paraId="596376C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17.2</w:t>
            </w:r>
          </w:p>
        </w:tc>
        <w:tc>
          <w:tcPr>
            <w:tcW w:w="1646" w:type="dxa"/>
            <w:tcBorders>
              <w:top w:val="nil"/>
              <w:left w:val="nil"/>
              <w:bottom w:val="nil"/>
              <w:right w:val="nil"/>
            </w:tcBorders>
            <w:shd w:val="clear" w:color="auto" w:fill="auto"/>
            <w:noWrap/>
            <w:vAlign w:val="bottom"/>
            <w:hideMark/>
          </w:tcPr>
          <w:p w14:paraId="57D0A5C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6.6</w:t>
            </w:r>
          </w:p>
        </w:tc>
        <w:tc>
          <w:tcPr>
            <w:tcW w:w="1592" w:type="dxa"/>
            <w:tcBorders>
              <w:top w:val="nil"/>
              <w:left w:val="nil"/>
              <w:bottom w:val="nil"/>
              <w:right w:val="nil"/>
            </w:tcBorders>
            <w:shd w:val="clear" w:color="auto" w:fill="auto"/>
            <w:noWrap/>
            <w:vAlign w:val="bottom"/>
            <w:hideMark/>
          </w:tcPr>
          <w:p w14:paraId="7A74BC4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22.5</w:t>
            </w:r>
          </w:p>
        </w:tc>
        <w:tc>
          <w:tcPr>
            <w:tcW w:w="1153" w:type="dxa"/>
            <w:tcBorders>
              <w:top w:val="nil"/>
              <w:left w:val="nil"/>
              <w:bottom w:val="nil"/>
              <w:right w:val="nil"/>
            </w:tcBorders>
            <w:shd w:val="clear" w:color="auto" w:fill="auto"/>
            <w:noWrap/>
            <w:vAlign w:val="bottom"/>
            <w:hideMark/>
          </w:tcPr>
          <w:p w14:paraId="6B68BD3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29.1</w:t>
            </w:r>
          </w:p>
        </w:tc>
      </w:tr>
      <w:tr w:rsidR="00742C6D" w:rsidRPr="00547A82" w14:paraId="110EDE9A" w14:textId="77777777" w:rsidTr="006762AC">
        <w:trPr>
          <w:trHeight w:val="20"/>
          <w:jc w:val="center"/>
        </w:trPr>
        <w:tc>
          <w:tcPr>
            <w:tcW w:w="1170" w:type="dxa"/>
            <w:tcBorders>
              <w:top w:val="nil"/>
              <w:left w:val="nil"/>
              <w:bottom w:val="single" w:sz="4" w:space="0" w:color="auto"/>
              <w:right w:val="nil"/>
            </w:tcBorders>
            <w:shd w:val="clear" w:color="auto" w:fill="auto"/>
            <w:noWrap/>
            <w:vAlign w:val="bottom"/>
            <w:hideMark/>
          </w:tcPr>
          <w:p w14:paraId="4C44F16E"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Foreign</w:t>
            </w:r>
          </w:p>
        </w:tc>
        <w:tc>
          <w:tcPr>
            <w:tcW w:w="1300" w:type="dxa"/>
            <w:gridSpan w:val="2"/>
            <w:tcBorders>
              <w:top w:val="nil"/>
              <w:left w:val="nil"/>
              <w:bottom w:val="single" w:sz="4" w:space="0" w:color="auto"/>
              <w:right w:val="nil"/>
            </w:tcBorders>
            <w:shd w:val="clear" w:color="auto" w:fill="auto"/>
            <w:noWrap/>
            <w:vAlign w:val="bottom"/>
            <w:hideMark/>
          </w:tcPr>
          <w:p w14:paraId="0BEEF29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27.9</w:t>
            </w:r>
          </w:p>
        </w:tc>
        <w:tc>
          <w:tcPr>
            <w:tcW w:w="1440" w:type="dxa"/>
            <w:gridSpan w:val="2"/>
            <w:tcBorders>
              <w:top w:val="nil"/>
              <w:left w:val="nil"/>
              <w:bottom w:val="single" w:sz="4" w:space="0" w:color="auto"/>
              <w:right w:val="nil"/>
            </w:tcBorders>
            <w:shd w:val="clear" w:color="auto" w:fill="auto"/>
            <w:noWrap/>
            <w:vAlign w:val="bottom"/>
            <w:hideMark/>
          </w:tcPr>
          <w:p w14:paraId="68DE28D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5.4</w:t>
            </w:r>
          </w:p>
        </w:tc>
        <w:tc>
          <w:tcPr>
            <w:tcW w:w="1152" w:type="dxa"/>
            <w:gridSpan w:val="2"/>
            <w:tcBorders>
              <w:top w:val="nil"/>
              <w:left w:val="nil"/>
              <w:bottom w:val="single" w:sz="4" w:space="0" w:color="auto"/>
              <w:right w:val="nil"/>
            </w:tcBorders>
            <w:shd w:val="clear" w:color="auto" w:fill="auto"/>
            <w:noWrap/>
            <w:vAlign w:val="bottom"/>
            <w:hideMark/>
          </w:tcPr>
          <w:p w14:paraId="2DD23FC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33.3</w:t>
            </w:r>
          </w:p>
        </w:tc>
        <w:tc>
          <w:tcPr>
            <w:tcW w:w="1646" w:type="dxa"/>
            <w:tcBorders>
              <w:top w:val="nil"/>
              <w:left w:val="nil"/>
              <w:bottom w:val="single" w:sz="4" w:space="0" w:color="auto"/>
              <w:right w:val="nil"/>
            </w:tcBorders>
            <w:shd w:val="clear" w:color="auto" w:fill="auto"/>
            <w:noWrap/>
            <w:vAlign w:val="bottom"/>
            <w:hideMark/>
          </w:tcPr>
          <w:p w14:paraId="75E4EC6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15.8</w:t>
            </w:r>
          </w:p>
        </w:tc>
        <w:tc>
          <w:tcPr>
            <w:tcW w:w="1592" w:type="dxa"/>
            <w:tcBorders>
              <w:top w:val="nil"/>
              <w:left w:val="nil"/>
              <w:bottom w:val="single" w:sz="4" w:space="0" w:color="auto"/>
              <w:right w:val="nil"/>
            </w:tcBorders>
            <w:shd w:val="clear" w:color="auto" w:fill="auto"/>
            <w:noWrap/>
            <w:vAlign w:val="bottom"/>
            <w:hideMark/>
          </w:tcPr>
          <w:p w14:paraId="6A4D75E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31.0</w:t>
            </w:r>
          </w:p>
        </w:tc>
        <w:tc>
          <w:tcPr>
            <w:tcW w:w="1153" w:type="dxa"/>
            <w:tcBorders>
              <w:top w:val="nil"/>
              <w:left w:val="nil"/>
              <w:bottom w:val="single" w:sz="4" w:space="0" w:color="auto"/>
              <w:right w:val="nil"/>
            </w:tcBorders>
            <w:shd w:val="clear" w:color="auto" w:fill="auto"/>
            <w:noWrap/>
            <w:vAlign w:val="bottom"/>
            <w:hideMark/>
          </w:tcPr>
          <w:p w14:paraId="38B19E3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46.8</w:t>
            </w:r>
          </w:p>
        </w:tc>
      </w:tr>
      <w:tr w:rsidR="00742C6D" w:rsidRPr="00547A82" w14:paraId="46136719" w14:textId="77777777" w:rsidTr="006762AC">
        <w:trPr>
          <w:trHeight w:val="20"/>
          <w:jc w:val="center"/>
        </w:trPr>
        <w:tc>
          <w:tcPr>
            <w:tcW w:w="9453" w:type="dxa"/>
            <w:gridSpan w:val="10"/>
            <w:tcBorders>
              <w:top w:val="nil"/>
              <w:left w:val="nil"/>
              <w:bottom w:val="nil"/>
              <w:right w:val="nil"/>
            </w:tcBorders>
            <w:shd w:val="clear" w:color="auto" w:fill="auto"/>
            <w:noWrap/>
            <w:vAlign w:val="bottom"/>
          </w:tcPr>
          <w:p w14:paraId="027E65C8"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u w:val="single"/>
              </w:rPr>
            </w:pPr>
            <w:r w:rsidRPr="00547A82">
              <w:rPr>
                <w:rFonts w:ascii="Times New Roman" w:eastAsia="Times New Roman" w:hAnsi="Times New Roman" w:cs="Times New Roman"/>
                <w:b/>
                <w:bCs/>
                <w:color w:val="000000"/>
                <w:sz w:val="20"/>
                <w:szCs w:val="20"/>
                <w:u w:val="single"/>
              </w:rPr>
              <w:t>Rubber and plastics products, and other non-metallic mineral products</w:t>
            </w:r>
          </w:p>
        </w:tc>
      </w:tr>
      <w:tr w:rsidR="00742C6D" w:rsidRPr="00547A82" w14:paraId="602B1C3E"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716701D3"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CZE</w:t>
            </w:r>
          </w:p>
        </w:tc>
        <w:tc>
          <w:tcPr>
            <w:tcW w:w="1300" w:type="dxa"/>
            <w:gridSpan w:val="2"/>
            <w:tcBorders>
              <w:top w:val="nil"/>
              <w:left w:val="nil"/>
              <w:bottom w:val="nil"/>
              <w:right w:val="nil"/>
            </w:tcBorders>
            <w:shd w:val="clear" w:color="auto" w:fill="auto"/>
            <w:noWrap/>
            <w:vAlign w:val="bottom"/>
            <w:hideMark/>
          </w:tcPr>
          <w:p w14:paraId="17BDE10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39.7</w:t>
            </w:r>
          </w:p>
        </w:tc>
        <w:tc>
          <w:tcPr>
            <w:tcW w:w="1440" w:type="dxa"/>
            <w:gridSpan w:val="2"/>
            <w:tcBorders>
              <w:top w:val="nil"/>
              <w:left w:val="nil"/>
              <w:bottom w:val="nil"/>
              <w:right w:val="nil"/>
            </w:tcBorders>
            <w:shd w:val="clear" w:color="auto" w:fill="auto"/>
            <w:noWrap/>
            <w:vAlign w:val="bottom"/>
            <w:hideMark/>
          </w:tcPr>
          <w:p w14:paraId="6A6EC09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55.9</w:t>
            </w:r>
          </w:p>
        </w:tc>
        <w:tc>
          <w:tcPr>
            <w:tcW w:w="1152" w:type="dxa"/>
            <w:gridSpan w:val="2"/>
            <w:tcBorders>
              <w:top w:val="nil"/>
              <w:left w:val="nil"/>
              <w:bottom w:val="nil"/>
              <w:right w:val="nil"/>
            </w:tcBorders>
            <w:shd w:val="clear" w:color="auto" w:fill="auto"/>
            <w:noWrap/>
            <w:vAlign w:val="bottom"/>
            <w:hideMark/>
          </w:tcPr>
          <w:p w14:paraId="35DFC5D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95.6</w:t>
            </w:r>
          </w:p>
        </w:tc>
        <w:tc>
          <w:tcPr>
            <w:tcW w:w="1646" w:type="dxa"/>
            <w:tcBorders>
              <w:top w:val="nil"/>
              <w:left w:val="nil"/>
              <w:bottom w:val="nil"/>
              <w:right w:val="nil"/>
            </w:tcBorders>
            <w:shd w:val="clear" w:color="auto" w:fill="auto"/>
            <w:noWrap/>
            <w:vAlign w:val="bottom"/>
            <w:hideMark/>
          </w:tcPr>
          <w:p w14:paraId="64B5802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36.2</w:t>
            </w:r>
          </w:p>
        </w:tc>
        <w:tc>
          <w:tcPr>
            <w:tcW w:w="1592" w:type="dxa"/>
            <w:tcBorders>
              <w:top w:val="nil"/>
              <w:left w:val="nil"/>
              <w:bottom w:val="nil"/>
              <w:right w:val="nil"/>
            </w:tcBorders>
            <w:shd w:val="clear" w:color="auto" w:fill="auto"/>
            <w:noWrap/>
            <w:vAlign w:val="bottom"/>
            <w:hideMark/>
          </w:tcPr>
          <w:p w14:paraId="22032B9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91.1</w:t>
            </w:r>
          </w:p>
        </w:tc>
        <w:tc>
          <w:tcPr>
            <w:tcW w:w="1153" w:type="dxa"/>
            <w:tcBorders>
              <w:top w:val="nil"/>
              <w:left w:val="nil"/>
              <w:bottom w:val="nil"/>
              <w:right w:val="nil"/>
            </w:tcBorders>
            <w:shd w:val="clear" w:color="auto" w:fill="auto"/>
            <w:noWrap/>
            <w:vAlign w:val="bottom"/>
            <w:hideMark/>
          </w:tcPr>
          <w:p w14:paraId="6EAC399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127.3</w:t>
            </w:r>
          </w:p>
        </w:tc>
      </w:tr>
      <w:tr w:rsidR="00742C6D" w:rsidRPr="00547A82" w14:paraId="12CD7866"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70E7590D"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ESP</w:t>
            </w:r>
          </w:p>
        </w:tc>
        <w:tc>
          <w:tcPr>
            <w:tcW w:w="1300" w:type="dxa"/>
            <w:gridSpan w:val="2"/>
            <w:tcBorders>
              <w:top w:val="nil"/>
              <w:left w:val="nil"/>
              <w:bottom w:val="nil"/>
              <w:right w:val="nil"/>
            </w:tcBorders>
            <w:shd w:val="clear" w:color="auto" w:fill="auto"/>
            <w:noWrap/>
            <w:vAlign w:val="bottom"/>
            <w:hideMark/>
          </w:tcPr>
          <w:p w14:paraId="7650427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111.6</w:t>
            </w:r>
          </w:p>
        </w:tc>
        <w:tc>
          <w:tcPr>
            <w:tcW w:w="1440" w:type="dxa"/>
            <w:gridSpan w:val="2"/>
            <w:tcBorders>
              <w:top w:val="nil"/>
              <w:left w:val="nil"/>
              <w:bottom w:val="nil"/>
              <w:right w:val="nil"/>
            </w:tcBorders>
            <w:shd w:val="clear" w:color="auto" w:fill="auto"/>
            <w:noWrap/>
            <w:vAlign w:val="bottom"/>
            <w:hideMark/>
          </w:tcPr>
          <w:p w14:paraId="00124A5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162.1</w:t>
            </w:r>
          </w:p>
        </w:tc>
        <w:tc>
          <w:tcPr>
            <w:tcW w:w="1152" w:type="dxa"/>
            <w:gridSpan w:val="2"/>
            <w:tcBorders>
              <w:top w:val="nil"/>
              <w:left w:val="nil"/>
              <w:bottom w:val="nil"/>
              <w:right w:val="nil"/>
            </w:tcBorders>
            <w:shd w:val="clear" w:color="auto" w:fill="auto"/>
            <w:noWrap/>
            <w:vAlign w:val="bottom"/>
            <w:hideMark/>
          </w:tcPr>
          <w:p w14:paraId="58BB8CC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273.7</w:t>
            </w:r>
          </w:p>
        </w:tc>
        <w:tc>
          <w:tcPr>
            <w:tcW w:w="1646" w:type="dxa"/>
            <w:tcBorders>
              <w:top w:val="nil"/>
              <w:left w:val="nil"/>
              <w:bottom w:val="nil"/>
              <w:right w:val="nil"/>
            </w:tcBorders>
            <w:shd w:val="clear" w:color="auto" w:fill="auto"/>
            <w:noWrap/>
            <w:vAlign w:val="bottom"/>
            <w:hideMark/>
          </w:tcPr>
          <w:p w14:paraId="2E13A01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98.3</w:t>
            </w:r>
          </w:p>
        </w:tc>
        <w:tc>
          <w:tcPr>
            <w:tcW w:w="1592" w:type="dxa"/>
            <w:tcBorders>
              <w:top w:val="nil"/>
              <w:left w:val="nil"/>
              <w:bottom w:val="nil"/>
              <w:right w:val="nil"/>
            </w:tcBorders>
            <w:shd w:val="clear" w:color="auto" w:fill="auto"/>
            <w:noWrap/>
            <w:vAlign w:val="bottom"/>
            <w:hideMark/>
          </w:tcPr>
          <w:p w14:paraId="41F1102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244.9</w:t>
            </w:r>
          </w:p>
        </w:tc>
        <w:tc>
          <w:tcPr>
            <w:tcW w:w="1153" w:type="dxa"/>
            <w:tcBorders>
              <w:top w:val="nil"/>
              <w:left w:val="nil"/>
              <w:bottom w:val="nil"/>
              <w:right w:val="nil"/>
            </w:tcBorders>
            <w:shd w:val="clear" w:color="auto" w:fill="auto"/>
            <w:noWrap/>
            <w:vAlign w:val="bottom"/>
            <w:hideMark/>
          </w:tcPr>
          <w:p w14:paraId="5806AAA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343.2</w:t>
            </w:r>
          </w:p>
        </w:tc>
      </w:tr>
      <w:tr w:rsidR="00742C6D" w:rsidRPr="00547A82" w14:paraId="4C2370C9"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6F90AF94"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ITA</w:t>
            </w:r>
          </w:p>
        </w:tc>
        <w:tc>
          <w:tcPr>
            <w:tcW w:w="1300" w:type="dxa"/>
            <w:gridSpan w:val="2"/>
            <w:tcBorders>
              <w:top w:val="nil"/>
              <w:left w:val="nil"/>
              <w:bottom w:val="nil"/>
              <w:right w:val="nil"/>
            </w:tcBorders>
            <w:shd w:val="clear" w:color="auto" w:fill="auto"/>
            <w:noWrap/>
            <w:vAlign w:val="bottom"/>
            <w:hideMark/>
          </w:tcPr>
          <w:p w14:paraId="1CACA86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104.3</w:t>
            </w:r>
          </w:p>
        </w:tc>
        <w:tc>
          <w:tcPr>
            <w:tcW w:w="1440" w:type="dxa"/>
            <w:gridSpan w:val="2"/>
            <w:tcBorders>
              <w:top w:val="nil"/>
              <w:left w:val="nil"/>
              <w:bottom w:val="nil"/>
              <w:right w:val="nil"/>
            </w:tcBorders>
            <w:shd w:val="clear" w:color="auto" w:fill="auto"/>
            <w:noWrap/>
            <w:vAlign w:val="bottom"/>
            <w:hideMark/>
          </w:tcPr>
          <w:p w14:paraId="26C4E64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50.6</w:t>
            </w:r>
          </w:p>
        </w:tc>
        <w:tc>
          <w:tcPr>
            <w:tcW w:w="1152" w:type="dxa"/>
            <w:gridSpan w:val="2"/>
            <w:tcBorders>
              <w:top w:val="nil"/>
              <w:left w:val="nil"/>
              <w:bottom w:val="nil"/>
              <w:right w:val="nil"/>
            </w:tcBorders>
            <w:shd w:val="clear" w:color="auto" w:fill="auto"/>
            <w:noWrap/>
            <w:vAlign w:val="bottom"/>
            <w:hideMark/>
          </w:tcPr>
          <w:p w14:paraId="6AC25B5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155.0</w:t>
            </w:r>
          </w:p>
        </w:tc>
        <w:tc>
          <w:tcPr>
            <w:tcW w:w="1646" w:type="dxa"/>
            <w:tcBorders>
              <w:top w:val="nil"/>
              <w:left w:val="nil"/>
              <w:bottom w:val="nil"/>
              <w:right w:val="nil"/>
            </w:tcBorders>
            <w:shd w:val="clear" w:color="auto" w:fill="auto"/>
            <w:noWrap/>
            <w:vAlign w:val="bottom"/>
            <w:hideMark/>
          </w:tcPr>
          <w:p w14:paraId="3D3667D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92.8</w:t>
            </w:r>
          </w:p>
        </w:tc>
        <w:tc>
          <w:tcPr>
            <w:tcW w:w="1592" w:type="dxa"/>
            <w:tcBorders>
              <w:top w:val="nil"/>
              <w:left w:val="nil"/>
              <w:bottom w:val="nil"/>
              <w:right w:val="nil"/>
            </w:tcBorders>
            <w:shd w:val="clear" w:color="auto" w:fill="auto"/>
            <w:noWrap/>
            <w:vAlign w:val="bottom"/>
            <w:hideMark/>
          </w:tcPr>
          <w:p w14:paraId="6B3A005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68.7</w:t>
            </w:r>
          </w:p>
        </w:tc>
        <w:tc>
          <w:tcPr>
            <w:tcW w:w="1153" w:type="dxa"/>
            <w:tcBorders>
              <w:top w:val="nil"/>
              <w:left w:val="nil"/>
              <w:bottom w:val="nil"/>
              <w:right w:val="nil"/>
            </w:tcBorders>
            <w:shd w:val="clear" w:color="auto" w:fill="auto"/>
            <w:noWrap/>
            <w:vAlign w:val="bottom"/>
            <w:hideMark/>
          </w:tcPr>
          <w:p w14:paraId="2B2BD8A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161.5</w:t>
            </w:r>
          </w:p>
        </w:tc>
      </w:tr>
      <w:tr w:rsidR="00742C6D" w:rsidRPr="00547A82" w14:paraId="7BB7F4AD"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06AA9B00"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NLD</w:t>
            </w:r>
          </w:p>
        </w:tc>
        <w:tc>
          <w:tcPr>
            <w:tcW w:w="1300" w:type="dxa"/>
            <w:gridSpan w:val="2"/>
            <w:tcBorders>
              <w:top w:val="nil"/>
              <w:left w:val="nil"/>
              <w:bottom w:val="nil"/>
              <w:right w:val="nil"/>
            </w:tcBorders>
            <w:shd w:val="clear" w:color="auto" w:fill="auto"/>
            <w:noWrap/>
            <w:vAlign w:val="bottom"/>
            <w:hideMark/>
          </w:tcPr>
          <w:p w14:paraId="5A09098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167.2</w:t>
            </w:r>
          </w:p>
        </w:tc>
        <w:tc>
          <w:tcPr>
            <w:tcW w:w="1440" w:type="dxa"/>
            <w:gridSpan w:val="2"/>
            <w:tcBorders>
              <w:top w:val="nil"/>
              <w:left w:val="nil"/>
              <w:bottom w:val="nil"/>
              <w:right w:val="nil"/>
            </w:tcBorders>
            <w:shd w:val="clear" w:color="auto" w:fill="auto"/>
            <w:noWrap/>
            <w:vAlign w:val="bottom"/>
            <w:hideMark/>
          </w:tcPr>
          <w:p w14:paraId="27BF07D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52.8</w:t>
            </w:r>
          </w:p>
        </w:tc>
        <w:tc>
          <w:tcPr>
            <w:tcW w:w="1152" w:type="dxa"/>
            <w:gridSpan w:val="2"/>
            <w:tcBorders>
              <w:top w:val="nil"/>
              <w:left w:val="nil"/>
              <w:bottom w:val="nil"/>
              <w:right w:val="nil"/>
            </w:tcBorders>
            <w:shd w:val="clear" w:color="auto" w:fill="auto"/>
            <w:noWrap/>
            <w:vAlign w:val="bottom"/>
            <w:hideMark/>
          </w:tcPr>
          <w:p w14:paraId="669C726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220.0</w:t>
            </w:r>
          </w:p>
        </w:tc>
        <w:tc>
          <w:tcPr>
            <w:tcW w:w="1646" w:type="dxa"/>
            <w:tcBorders>
              <w:top w:val="nil"/>
              <w:left w:val="nil"/>
              <w:bottom w:val="nil"/>
              <w:right w:val="nil"/>
            </w:tcBorders>
            <w:shd w:val="clear" w:color="auto" w:fill="auto"/>
            <w:noWrap/>
            <w:vAlign w:val="bottom"/>
            <w:hideMark/>
          </w:tcPr>
          <w:p w14:paraId="1ADD0B0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140.3</w:t>
            </w:r>
          </w:p>
        </w:tc>
        <w:tc>
          <w:tcPr>
            <w:tcW w:w="1592" w:type="dxa"/>
            <w:tcBorders>
              <w:top w:val="nil"/>
              <w:left w:val="nil"/>
              <w:bottom w:val="nil"/>
              <w:right w:val="nil"/>
            </w:tcBorders>
            <w:shd w:val="clear" w:color="auto" w:fill="auto"/>
            <w:noWrap/>
            <w:vAlign w:val="bottom"/>
            <w:hideMark/>
          </w:tcPr>
          <w:p w14:paraId="2CFD7EF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55.8</w:t>
            </w:r>
          </w:p>
        </w:tc>
        <w:tc>
          <w:tcPr>
            <w:tcW w:w="1153" w:type="dxa"/>
            <w:tcBorders>
              <w:top w:val="nil"/>
              <w:left w:val="nil"/>
              <w:bottom w:val="nil"/>
              <w:right w:val="nil"/>
            </w:tcBorders>
            <w:shd w:val="clear" w:color="auto" w:fill="auto"/>
            <w:noWrap/>
            <w:vAlign w:val="bottom"/>
            <w:hideMark/>
          </w:tcPr>
          <w:p w14:paraId="13FD692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196.1</w:t>
            </w:r>
          </w:p>
        </w:tc>
      </w:tr>
      <w:tr w:rsidR="00742C6D" w:rsidRPr="00547A82" w14:paraId="7DA1A4ED"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5B32862F"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GBR</w:t>
            </w:r>
          </w:p>
        </w:tc>
        <w:tc>
          <w:tcPr>
            <w:tcW w:w="1300" w:type="dxa"/>
            <w:gridSpan w:val="2"/>
            <w:tcBorders>
              <w:top w:val="nil"/>
              <w:left w:val="nil"/>
              <w:bottom w:val="nil"/>
              <w:right w:val="nil"/>
            </w:tcBorders>
            <w:shd w:val="clear" w:color="auto" w:fill="auto"/>
            <w:noWrap/>
            <w:vAlign w:val="bottom"/>
            <w:hideMark/>
          </w:tcPr>
          <w:p w14:paraId="3C52A44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63.3</w:t>
            </w:r>
          </w:p>
        </w:tc>
        <w:tc>
          <w:tcPr>
            <w:tcW w:w="1440" w:type="dxa"/>
            <w:gridSpan w:val="2"/>
            <w:tcBorders>
              <w:top w:val="nil"/>
              <w:left w:val="nil"/>
              <w:bottom w:val="nil"/>
              <w:right w:val="nil"/>
            </w:tcBorders>
            <w:shd w:val="clear" w:color="auto" w:fill="auto"/>
            <w:noWrap/>
            <w:vAlign w:val="bottom"/>
            <w:hideMark/>
          </w:tcPr>
          <w:p w14:paraId="4975CEA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42.6</w:t>
            </w:r>
          </w:p>
        </w:tc>
        <w:tc>
          <w:tcPr>
            <w:tcW w:w="1152" w:type="dxa"/>
            <w:gridSpan w:val="2"/>
            <w:tcBorders>
              <w:top w:val="nil"/>
              <w:left w:val="nil"/>
              <w:bottom w:val="nil"/>
              <w:right w:val="nil"/>
            </w:tcBorders>
            <w:shd w:val="clear" w:color="auto" w:fill="auto"/>
            <w:noWrap/>
            <w:vAlign w:val="bottom"/>
            <w:hideMark/>
          </w:tcPr>
          <w:p w14:paraId="47869F3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105.9</w:t>
            </w:r>
          </w:p>
        </w:tc>
        <w:tc>
          <w:tcPr>
            <w:tcW w:w="1646" w:type="dxa"/>
            <w:tcBorders>
              <w:top w:val="nil"/>
              <w:left w:val="nil"/>
              <w:bottom w:val="nil"/>
              <w:right w:val="nil"/>
            </w:tcBorders>
            <w:shd w:val="clear" w:color="auto" w:fill="auto"/>
            <w:noWrap/>
            <w:vAlign w:val="bottom"/>
            <w:hideMark/>
          </w:tcPr>
          <w:p w14:paraId="1297993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61.7</w:t>
            </w:r>
          </w:p>
        </w:tc>
        <w:tc>
          <w:tcPr>
            <w:tcW w:w="1592" w:type="dxa"/>
            <w:tcBorders>
              <w:top w:val="nil"/>
              <w:left w:val="nil"/>
              <w:bottom w:val="nil"/>
              <w:right w:val="nil"/>
            </w:tcBorders>
            <w:shd w:val="clear" w:color="auto" w:fill="auto"/>
            <w:noWrap/>
            <w:vAlign w:val="bottom"/>
            <w:hideMark/>
          </w:tcPr>
          <w:p w14:paraId="5CDD935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48.2</w:t>
            </w:r>
          </w:p>
        </w:tc>
        <w:tc>
          <w:tcPr>
            <w:tcW w:w="1153" w:type="dxa"/>
            <w:tcBorders>
              <w:top w:val="nil"/>
              <w:left w:val="nil"/>
              <w:bottom w:val="nil"/>
              <w:right w:val="nil"/>
            </w:tcBorders>
            <w:shd w:val="clear" w:color="auto" w:fill="auto"/>
            <w:noWrap/>
            <w:vAlign w:val="bottom"/>
            <w:hideMark/>
          </w:tcPr>
          <w:p w14:paraId="3B6A71E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110.0</w:t>
            </w:r>
          </w:p>
        </w:tc>
      </w:tr>
      <w:tr w:rsidR="00742C6D" w:rsidRPr="00547A82" w14:paraId="09184CE3"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3D4126C3"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r w:rsidRPr="00547A82">
              <w:rPr>
                <w:rFonts w:ascii="Times New Roman" w:eastAsia="Times New Roman" w:hAnsi="Times New Roman" w:cs="Times New Roman"/>
                <w:b/>
                <w:bCs/>
                <w:color w:val="000000"/>
                <w:sz w:val="20"/>
                <w:szCs w:val="20"/>
              </w:rPr>
              <w:t>Tanzania</w:t>
            </w:r>
          </w:p>
        </w:tc>
        <w:tc>
          <w:tcPr>
            <w:tcW w:w="1300" w:type="dxa"/>
            <w:gridSpan w:val="2"/>
            <w:tcBorders>
              <w:top w:val="nil"/>
              <w:left w:val="nil"/>
              <w:bottom w:val="nil"/>
              <w:right w:val="nil"/>
            </w:tcBorders>
            <w:shd w:val="clear" w:color="auto" w:fill="auto"/>
            <w:noWrap/>
            <w:vAlign w:val="bottom"/>
            <w:hideMark/>
          </w:tcPr>
          <w:p w14:paraId="0778DAB0"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p>
        </w:tc>
        <w:tc>
          <w:tcPr>
            <w:tcW w:w="1440" w:type="dxa"/>
            <w:gridSpan w:val="2"/>
            <w:tcBorders>
              <w:top w:val="nil"/>
              <w:left w:val="nil"/>
              <w:bottom w:val="nil"/>
              <w:right w:val="nil"/>
            </w:tcBorders>
            <w:shd w:val="clear" w:color="auto" w:fill="auto"/>
            <w:noWrap/>
            <w:vAlign w:val="bottom"/>
            <w:hideMark/>
          </w:tcPr>
          <w:p w14:paraId="426A4F3B"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52" w:type="dxa"/>
            <w:gridSpan w:val="2"/>
            <w:tcBorders>
              <w:top w:val="nil"/>
              <w:left w:val="nil"/>
              <w:bottom w:val="nil"/>
              <w:right w:val="nil"/>
            </w:tcBorders>
            <w:shd w:val="clear" w:color="auto" w:fill="auto"/>
            <w:noWrap/>
            <w:vAlign w:val="bottom"/>
            <w:hideMark/>
          </w:tcPr>
          <w:p w14:paraId="036E543E"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646" w:type="dxa"/>
            <w:tcBorders>
              <w:top w:val="nil"/>
              <w:left w:val="nil"/>
              <w:bottom w:val="nil"/>
              <w:right w:val="nil"/>
            </w:tcBorders>
            <w:shd w:val="clear" w:color="auto" w:fill="auto"/>
            <w:noWrap/>
            <w:vAlign w:val="bottom"/>
            <w:hideMark/>
          </w:tcPr>
          <w:p w14:paraId="3AA27EC7"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592" w:type="dxa"/>
            <w:tcBorders>
              <w:top w:val="nil"/>
              <w:left w:val="nil"/>
              <w:bottom w:val="nil"/>
              <w:right w:val="nil"/>
            </w:tcBorders>
            <w:shd w:val="clear" w:color="auto" w:fill="auto"/>
            <w:noWrap/>
            <w:vAlign w:val="bottom"/>
            <w:hideMark/>
          </w:tcPr>
          <w:p w14:paraId="06E6713D"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53" w:type="dxa"/>
            <w:tcBorders>
              <w:top w:val="nil"/>
              <w:left w:val="nil"/>
              <w:bottom w:val="nil"/>
              <w:right w:val="nil"/>
            </w:tcBorders>
            <w:shd w:val="clear" w:color="auto" w:fill="auto"/>
            <w:noWrap/>
            <w:vAlign w:val="bottom"/>
            <w:hideMark/>
          </w:tcPr>
          <w:p w14:paraId="5192D593" w14:textId="77777777" w:rsidR="00742C6D" w:rsidRPr="00547A82" w:rsidRDefault="00742C6D" w:rsidP="00742C6D">
            <w:pPr>
              <w:spacing w:after="0" w:line="240" w:lineRule="auto"/>
              <w:rPr>
                <w:rFonts w:ascii="Times New Roman" w:eastAsia="Times New Roman" w:hAnsi="Times New Roman" w:cs="Times New Roman"/>
                <w:sz w:val="20"/>
                <w:szCs w:val="20"/>
              </w:rPr>
            </w:pPr>
          </w:p>
        </w:tc>
      </w:tr>
      <w:tr w:rsidR="00742C6D" w:rsidRPr="00547A82" w14:paraId="2B4634B6"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044A43D6"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Total</w:t>
            </w:r>
          </w:p>
        </w:tc>
        <w:tc>
          <w:tcPr>
            <w:tcW w:w="1300" w:type="dxa"/>
            <w:gridSpan w:val="2"/>
            <w:tcBorders>
              <w:top w:val="nil"/>
              <w:left w:val="nil"/>
              <w:bottom w:val="nil"/>
              <w:right w:val="nil"/>
            </w:tcBorders>
            <w:shd w:val="clear" w:color="auto" w:fill="auto"/>
            <w:noWrap/>
            <w:vAlign w:val="bottom"/>
            <w:hideMark/>
          </w:tcPr>
          <w:p w14:paraId="3019120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30.8</w:t>
            </w:r>
          </w:p>
        </w:tc>
        <w:tc>
          <w:tcPr>
            <w:tcW w:w="1440" w:type="dxa"/>
            <w:gridSpan w:val="2"/>
            <w:tcBorders>
              <w:top w:val="nil"/>
              <w:left w:val="nil"/>
              <w:bottom w:val="nil"/>
              <w:right w:val="nil"/>
            </w:tcBorders>
            <w:shd w:val="clear" w:color="auto" w:fill="auto"/>
            <w:noWrap/>
            <w:vAlign w:val="bottom"/>
            <w:hideMark/>
          </w:tcPr>
          <w:p w14:paraId="4CD5739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9.2</w:t>
            </w:r>
          </w:p>
        </w:tc>
        <w:tc>
          <w:tcPr>
            <w:tcW w:w="1152" w:type="dxa"/>
            <w:gridSpan w:val="2"/>
            <w:tcBorders>
              <w:top w:val="nil"/>
              <w:left w:val="nil"/>
              <w:bottom w:val="nil"/>
              <w:right w:val="nil"/>
            </w:tcBorders>
            <w:shd w:val="clear" w:color="auto" w:fill="auto"/>
            <w:noWrap/>
            <w:vAlign w:val="bottom"/>
            <w:hideMark/>
          </w:tcPr>
          <w:p w14:paraId="33C0CBB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39.9</w:t>
            </w:r>
          </w:p>
        </w:tc>
        <w:tc>
          <w:tcPr>
            <w:tcW w:w="1646" w:type="dxa"/>
            <w:tcBorders>
              <w:top w:val="nil"/>
              <w:left w:val="nil"/>
              <w:bottom w:val="nil"/>
              <w:right w:val="nil"/>
            </w:tcBorders>
            <w:shd w:val="clear" w:color="auto" w:fill="auto"/>
            <w:noWrap/>
            <w:vAlign w:val="bottom"/>
            <w:hideMark/>
          </w:tcPr>
          <w:p w14:paraId="0653ED1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25.3</w:t>
            </w:r>
          </w:p>
        </w:tc>
        <w:tc>
          <w:tcPr>
            <w:tcW w:w="1592" w:type="dxa"/>
            <w:tcBorders>
              <w:top w:val="nil"/>
              <w:left w:val="nil"/>
              <w:bottom w:val="nil"/>
              <w:right w:val="nil"/>
            </w:tcBorders>
            <w:shd w:val="clear" w:color="auto" w:fill="auto"/>
            <w:noWrap/>
            <w:vAlign w:val="bottom"/>
            <w:hideMark/>
          </w:tcPr>
          <w:p w14:paraId="5CBC763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68.9</w:t>
            </w:r>
          </w:p>
        </w:tc>
        <w:tc>
          <w:tcPr>
            <w:tcW w:w="1153" w:type="dxa"/>
            <w:tcBorders>
              <w:top w:val="nil"/>
              <w:left w:val="nil"/>
              <w:bottom w:val="nil"/>
              <w:right w:val="nil"/>
            </w:tcBorders>
            <w:shd w:val="clear" w:color="auto" w:fill="auto"/>
            <w:noWrap/>
            <w:vAlign w:val="bottom"/>
            <w:hideMark/>
          </w:tcPr>
          <w:p w14:paraId="4510A99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94.2</w:t>
            </w:r>
          </w:p>
        </w:tc>
      </w:tr>
      <w:tr w:rsidR="00742C6D" w:rsidRPr="00547A82" w14:paraId="192534BA"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3F60E875"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Small</w:t>
            </w:r>
          </w:p>
        </w:tc>
        <w:tc>
          <w:tcPr>
            <w:tcW w:w="1300" w:type="dxa"/>
            <w:gridSpan w:val="2"/>
            <w:tcBorders>
              <w:top w:val="nil"/>
              <w:left w:val="nil"/>
              <w:bottom w:val="nil"/>
              <w:right w:val="nil"/>
            </w:tcBorders>
            <w:shd w:val="clear" w:color="auto" w:fill="auto"/>
            <w:noWrap/>
            <w:vAlign w:val="bottom"/>
            <w:hideMark/>
          </w:tcPr>
          <w:p w14:paraId="03C2AF2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7.9</w:t>
            </w:r>
          </w:p>
        </w:tc>
        <w:tc>
          <w:tcPr>
            <w:tcW w:w="1440" w:type="dxa"/>
            <w:gridSpan w:val="2"/>
            <w:tcBorders>
              <w:top w:val="nil"/>
              <w:left w:val="nil"/>
              <w:bottom w:val="nil"/>
              <w:right w:val="nil"/>
            </w:tcBorders>
            <w:shd w:val="clear" w:color="auto" w:fill="auto"/>
            <w:noWrap/>
            <w:vAlign w:val="bottom"/>
            <w:hideMark/>
          </w:tcPr>
          <w:p w14:paraId="5EC5BB5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3.1</w:t>
            </w:r>
          </w:p>
        </w:tc>
        <w:tc>
          <w:tcPr>
            <w:tcW w:w="1152" w:type="dxa"/>
            <w:gridSpan w:val="2"/>
            <w:tcBorders>
              <w:top w:val="nil"/>
              <w:left w:val="nil"/>
              <w:bottom w:val="nil"/>
              <w:right w:val="nil"/>
            </w:tcBorders>
            <w:shd w:val="clear" w:color="auto" w:fill="auto"/>
            <w:noWrap/>
            <w:vAlign w:val="bottom"/>
            <w:hideMark/>
          </w:tcPr>
          <w:p w14:paraId="62B1BCF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11.0</w:t>
            </w:r>
          </w:p>
        </w:tc>
        <w:tc>
          <w:tcPr>
            <w:tcW w:w="1646" w:type="dxa"/>
            <w:tcBorders>
              <w:top w:val="nil"/>
              <w:left w:val="nil"/>
              <w:bottom w:val="nil"/>
              <w:right w:val="nil"/>
            </w:tcBorders>
            <w:shd w:val="clear" w:color="auto" w:fill="auto"/>
            <w:noWrap/>
            <w:vAlign w:val="bottom"/>
            <w:hideMark/>
          </w:tcPr>
          <w:p w14:paraId="57AB5C4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6.5</w:t>
            </w:r>
          </w:p>
        </w:tc>
        <w:tc>
          <w:tcPr>
            <w:tcW w:w="1592" w:type="dxa"/>
            <w:tcBorders>
              <w:top w:val="nil"/>
              <w:left w:val="nil"/>
              <w:bottom w:val="nil"/>
              <w:right w:val="nil"/>
            </w:tcBorders>
            <w:shd w:val="clear" w:color="auto" w:fill="auto"/>
            <w:noWrap/>
            <w:vAlign w:val="bottom"/>
            <w:hideMark/>
          </w:tcPr>
          <w:p w14:paraId="6400A02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23.3</w:t>
            </w:r>
          </w:p>
        </w:tc>
        <w:tc>
          <w:tcPr>
            <w:tcW w:w="1153" w:type="dxa"/>
            <w:tcBorders>
              <w:top w:val="nil"/>
              <w:left w:val="nil"/>
              <w:bottom w:val="nil"/>
              <w:right w:val="nil"/>
            </w:tcBorders>
            <w:shd w:val="clear" w:color="auto" w:fill="auto"/>
            <w:noWrap/>
            <w:vAlign w:val="bottom"/>
            <w:hideMark/>
          </w:tcPr>
          <w:p w14:paraId="070D027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29.8</w:t>
            </w:r>
          </w:p>
        </w:tc>
      </w:tr>
      <w:tr w:rsidR="00742C6D" w:rsidRPr="00547A82" w14:paraId="4AAE0591"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436489B4"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Large</w:t>
            </w:r>
          </w:p>
        </w:tc>
        <w:tc>
          <w:tcPr>
            <w:tcW w:w="1300" w:type="dxa"/>
            <w:gridSpan w:val="2"/>
            <w:tcBorders>
              <w:top w:val="nil"/>
              <w:left w:val="nil"/>
              <w:bottom w:val="nil"/>
              <w:right w:val="nil"/>
            </w:tcBorders>
            <w:shd w:val="clear" w:color="auto" w:fill="auto"/>
            <w:noWrap/>
            <w:vAlign w:val="bottom"/>
            <w:hideMark/>
          </w:tcPr>
          <w:p w14:paraId="030398D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38.5</w:t>
            </w:r>
          </w:p>
        </w:tc>
        <w:tc>
          <w:tcPr>
            <w:tcW w:w="1440" w:type="dxa"/>
            <w:gridSpan w:val="2"/>
            <w:tcBorders>
              <w:top w:val="nil"/>
              <w:left w:val="nil"/>
              <w:bottom w:val="nil"/>
              <w:right w:val="nil"/>
            </w:tcBorders>
            <w:shd w:val="clear" w:color="auto" w:fill="auto"/>
            <w:noWrap/>
            <w:vAlign w:val="bottom"/>
            <w:hideMark/>
          </w:tcPr>
          <w:p w14:paraId="3C0AE01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11.5</w:t>
            </w:r>
          </w:p>
        </w:tc>
        <w:tc>
          <w:tcPr>
            <w:tcW w:w="1152" w:type="dxa"/>
            <w:gridSpan w:val="2"/>
            <w:tcBorders>
              <w:top w:val="nil"/>
              <w:left w:val="nil"/>
              <w:bottom w:val="nil"/>
              <w:right w:val="nil"/>
            </w:tcBorders>
            <w:shd w:val="clear" w:color="auto" w:fill="auto"/>
            <w:noWrap/>
            <w:vAlign w:val="bottom"/>
            <w:hideMark/>
          </w:tcPr>
          <w:p w14:paraId="0842F15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50.0</w:t>
            </w:r>
          </w:p>
        </w:tc>
        <w:tc>
          <w:tcPr>
            <w:tcW w:w="1646" w:type="dxa"/>
            <w:tcBorders>
              <w:top w:val="nil"/>
              <w:left w:val="nil"/>
              <w:bottom w:val="nil"/>
              <w:right w:val="nil"/>
            </w:tcBorders>
            <w:shd w:val="clear" w:color="auto" w:fill="auto"/>
            <w:noWrap/>
            <w:vAlign w:val="bottom"/>
            <w:hideMark/>
          </w:tcPr>
          <w:p w14:paraId="0B30E56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31.6</w:t>
            </w:r>
          </w:p>
        </w:tc>
        <w:tc>
          <w:tcPr>
            <w:tcW w:w="1592" w:type="dxa"/>
            <w:tcBorders>
              <w:top w:val="nil"/>
              <w:left w:val="nil"/>
              <w:bottom w:val="nil"/>
              <w:right w:val="nil"/>
            </w:tcBorders>
            <w:shd w:val="clear" w:color="auto" w:fill="auto"/>
            <w:noWrap/>
            <w:vAlign w:val="bottom"/>
            <w:hideMark/>
          </w:tcPr>
          <w:p w14:paraId="6DDC871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86.3</w:t>
            </w:r>
          </w:p>
        </w:tc>
        <w:tc>
          <w:tcPr>
            <w:tcW w:w="1153" w:type="dxa"/>
            <w:tcBorders>
              <w:top w:val="nil"/>
              <w:left w:val="nil"/>
              <w:bottom w:val="nil"/>
              <w:right w:val="nil"/>
            </w:tcBorders>
            <w:shd w:val="clear" w:color="auto" w:fill="auto"/>
            <w:noWrap/>
            <w:vAlign w:val="bottom"/>
            <w:hideMark/>
          </w:tcPr>
          <w:p w14:paraId="40384B5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117.9</w:t>
            </w:r>
          </w:p>
        </w:tc>
      </w:tr>
      <w:tr w:rsidR="00742C6D" w:rsidRPr="00547A82" w14:paraId="2C767184"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11186CC9"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Foreign</w:t>
            </w:r>
          </w:p>
        </w:tc>
        <w:tc>
          <w:tcPr>
            <w:tcW w:w="1300" w:type="dxa"/>
            <w:gridSpan w:val="2"/>
            <w:tcBorders>
              <w:top w:val="nil"/>
              <w:left w:val="nil"/>
              <w:bottom w:val="nil"/>
              <w:right w:val="nil"/>
            </w:tcBorders>
            <w:shd w:val="clear" w:color="auto" w:fill="auto"/>
            <w:noWrap/>
            <w:vAlign w:val="bottom"/>
            <w:hideMark/>
          </w:tcPr>
          <w:p w14:paraId="71121E1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50.9</w:t>
            </w:r>
          </w:p>
        </w:tc>
        <w:tc>
          <w:tcPr>
            <w:tcW w:w="1440" w:type="dxa"/>
            <w:gridSpan w:val="2"/>
            <w:tcBorders>
              <w:top w:val="nil"/>
              <w:left w:val="nil"/>
              <w:bottom w:val="nil"/>
              <w:right w:val="nil"/>
            </w:tcBorders>
            <w:shd w:val="clear" w:color="auto" w:fill="auto"/>
            <w:noWrap/>
            <w:vAlign w:val="bottom"/>
            <w:hideMark/>
          </w:tcPr>
          <w:p w14:paraId="5F18D4E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15.9</w:t>
            </w:r>
          </w:p>
        </w:tc>
        <w:tc>
          <w:tcPr>
            <w:tcW w:w="1152" w:type="dxa"/>
            <w:gridSpan w:val="2"/>
            <w:tcBorders>
              <w:top w:val="nil"/>
              <w:left w:val="nil"/>
              <w:bottom w:val="nil"/>
              <w:right w:val="nil"/>
            </w:tcBorders>
            <w:shd w:val="clear" w:color="auto" w:fill="auto"/>
            <w:noWrap/>
            <w:vAlign w:val="bottom"/>
            <w:hideMark/>
          </w:tcPr>
          <w:p w14:paraId="56ACBAF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66.9</w:t>
            </w:r>
          </w:p>
        </w:tc>
        <w:tc>
          <w:tcPr>
            <w:tcW w:w="1646" w:type="dxa"/>
            <w:tcBorders>
              <w:top w:val="nil"/>
              <w:left w:val="nil"/>
              <w:bottom w:val="nil"/>
              <w:right w:val="nil"/>
            </w:tcBorders>
            <w:shd w:val="clear" w:color="auto" w:fill="auto"/>
            <w:noWrap/>
            <w:vAlign w:val="bottom"/>
            <w:hideMark/>
          </w:tcPr>
          <w:p w14:paraId="3B8EA5F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41.8</w:t>
            </w:r>
          </w:p>
        </w:tc>
        <w:tc>
          <w:tcPr>
            <w:tcW w:w="1592" w:type="dxa"/>
            <w:tcBorders>
              <w:top w:val="nil"/>
              <w:left w:val="nil"/>
              <w:bottom w:val="nil"/>
              <w:right w:val="nil"/>
            </w:tcBorders>
            <w:shd w:val="clear" w:color="auto" w:fill="auto"/>
            <w:noWrap/>
            <w:vAlign w:val="bottom"/>
            <w:hideMark/>
          </w:tcPr>
          <w:p w14:paraId="6A830DE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119.5</w:t>
            </w:r>
          </w:p>
        </w:tc>
        <w:tc>
          <w:tcPr>
            <w:tcW w:w="1153" w:type="dxa"/>
            <w:tcBorders>
              <w:top w:val="nil"/>
              <w:left w:val="nil"/>
              <w:bottom w:val="nil"/>
              <w:right w:val="nil"/>
            </w:tcBorders>
            <w:shd w:val="clear" w:color="auto" w:fill="auto"/>
            <w:noWrap/>
            <w:vAlign w:val="bottom"/>
            <w:hideMark/>
          </w:tcPr>
          <w:p w14:paraId="40B9A18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161.3</w:t>
            </w:r>
          </w:p>
        </w:tc>
      </w:tr>
      <w:tr w:rsidR="00742C6D" w:rsidRPr="00547A82" w14:paraId="68844AC3"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56ED94A4"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r w:rsidRPr="00547A82">
              <w:rPr>
                <w:rFonts w:ascii="Times New Roman" w:eastAsia="Times New Roman" w:hAnsi="Times New Roman" w:cs="Times New Roman"/>
                <w:b/>
                <w:bCs/>
                <w:color w:val="000000"/>
                <w:sz w:val="20"/>
                <w:szCs w:val="20"/>
              </w:rPr>
              <w:t>Ethiopia</w:t>
            </w:r>
          </w:p>
        </w:tc>
        <w:tc>
          <w:tcPr>
            <w:tcW w:w="1300" w:type="dxa"/>
            <w:gridSpan w:val="2"/>
            <w:tcBorders>
              <w:top w:val="nil"/>
              <w:left w:val="nil"/>
              <w:bottom w:val="nil"/>
              <w:right w:val="nil"/>
            </w:tcBorders>
            <w:shd w:val="clear" w:color="auto" w:fill="auto"/>
            <w:noWrap/>
            <w:vAlign w:val="bottom"/>
            <w:hideMark/>
          </w:tcPr>
          <w:p w14:paraId="736C408D"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p>
        </w:tc>
        <w:tc>
          <w:tcPr>
            <w:tcW w:w="1440" w:type="dxa"/>
            <w:gridSpan w:val="2"/>
            <w:tcBorders>
              <w:top w:val="nil"/>
              <w:left w:val="nil"/>
              <w:bottom w:val="nil"/>
              <w:right w:val="nil"/>
            </w:tcBorders>
            <w:shd w:val="clear" w:color="auto" w:fill="auto"/>
            <w:noWrap/>
            <w:vAlign w:val="bottom"/>
            <w:hideMark/>
          </w:tcPr>
          <w:p w14:paraId="1AF54D6C"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52" w:type="dxa"/>
            <w:gridSpan w:val="2"/>
            <w:tcBorders>
              <w:top w:val="nil"/>
              <w:left w:val="nil"/>
              <w:bottom w:val="nil"/>
              <w:right w:val="nil"/>
            </w:tcBorders>
            <w:shd w:val="clear" w:color="auto" w:fill="auto"/>
            <w:noWrap/>
            <w:vAlign w:val="bottom"/>
            <w:hideMark/>
          </w:tcPr>
          <w:p w14:paraId="4FA7E6CD"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646" w:type="dxa"/>
            <w:tcBorders>
              <w:top w:val="nil"/>
              <w:left w:val="nil"/>
              <w:bottom w:val="nil"/>
              <w:right w:val="nil"/>
            </w:tcBorders>
            <w:shd w:val="clear" w:color="auto" w:fill="auto"/>
            <w:noWrap/>
            <w:vAlign w:val="bottom"/>
            <w:hideMark/>
          </w:tcPr>
          <w:p w14:paraId="774E13A5"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592" w:type="dxa"/>
            <w:tcBorders>
              <w:top w:val="nil"/>
              <w:left w:val="nil"/>
              <w:bottom w:val="nil"/>
              <w:right w:val="nil"/>
            </w:tcBorders>
            <w:shd w:val="clear" w:color="auto" w:fill="auto"/>
            <w:noWrap/>
            <w:vAlign w:val="bottom"/>
            <w:hideMark/>
          </w:tcPr>
          <w:p w14:paraId="0954A498"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53" w:type="dxa"/>
            <w:tcBorders>
              <w:top w:val="nil"/>
              <w:left w:val="nil"/>
              <w:bottom w:val="nil"/>
              <w:right w:val="nil"/>
            </w:tcBorders>
            <w:shd w:val="clear" w:color="auto" w:fill="auto"/>
            <w:noWrap/>
            <w:vAlign w:val="bottom"/>
            <w:hideMark/>
          </w:tcPr>
          <w:p w14:paraId="0F3B143E" w14:textId="77777777" w:rsidR="00742C6D" w:rsidRPr="00547A82" w:rsidRDefault="00742C6D" w:rsidP="00742C6D">
            <w:pPr>
              <w:spacing w:after="0" w:line="240" w:lineRule="auto"/>
              <w:rPr>
                <w:rFonts w:ascii="Times New Roman" w:eastAsia="Times New Roman" w:hAnsi="Times New Roman" w:cs="Times New Roman"/>
                <w:sz w:val="20"/>
                <w:szCs w:val="20"/>
              </w:rPr>
            </w:pPr>
          </w:p>
        </w:tc>
      </w:tr>
      <w:tr w:rsidR="00742C6D" w:rsidRPr="00547A82" w14:paraId="43A3B6A9"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36351C8B"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Total</w:t>
            </w:r>
          </w:p>
        </w:tc>
        <w:tc>
          <w:tcPr>
            <w:tcW w:w="1300" w:type="dxa"/>
            <w:gridSpan w:val="2"/>
            <w:tcBorders>
              <w:top w:val="nil"/>
              <w:left w:val="nil"/>
              <w:bottom w:val="nil"/>
              <w:right w:val="nil"/>
            </w:tcBorders>
            <w:shd w:val="clear" w:color="auto" w:fill="auto"/>
            <w:noWrap/>
            <w:vAlign w:val="bottom"/>
            <w:hideMark/>
          </w:tcPr>
          <w:p w14:paraId="2E94C41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11.1</w:t>
            </w:r>
          </w:p>
        </w:tc>
        <w:tc>
          <w:tcPr>
            <w:tcW w:w="1440" w:type="dxa"/>
            <w:gridSpan w:val="2"/>
            <w:tcBorders>
              <w:top w:val="nil"/>
              <w:left w:val="nil"/>
              <w:bottom w:val="nil"/>
              <w:right w:val="nil"/>
            </w:tcBorders>
            <w:shd w:val="clear" w:color="auto" w:fill="auto"/>
            <w:noWrap/>
            <w:vAlign w:val="bottom"/>
            <w:hideMark/>
          </w:tcPr>
          <w:p w14:paraId="1C332D5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3.5</w:t>
            </w:r>
          </w:p>
        </w:tc>
        <w:tc>
          <w:tcPr>
            <w:tcW w:w="1152" w:type="dxa"/>
            <w:gridSpan w:val="2"/>
            <w:tcBorders>
              <w:top w:val="nil"/>
              <w:left w:val="nil"/>
              <w:bottom w:val="nil"/>
              <w:right w:val="nil"/>
            </w:tcBorders>
            <w:shd w:val="clear" w:color="auto" w:fill="auto"/>
            <w:noWrap/>
            <w:vAlign w:val="bottom"/>
            <w:hideMark/>
          </w:tcPr>
          <w:p w14:paraId="725E9ED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14.6</w:t>
            </w:r>
          </w:p>
        </w:tc>
        <w:tc>
          <w:tcPr>
            <w:tcW w:w="1646" w:type="dxa"/>
            <w:tcBorders>
              <w:top w:val="nil"/>
              <w:left w:val="nil"/>
              <w:bottom w:val="nil"/>
              <w:right w:val="nil"/>
            </w:tcBorders>
            <w:shd w:val="clear" w:color="auto" w:fill="auto"/>
            <w:noWrap/>
            <w:vAlign w:val="bottom"/>
            <w:hideMark/>
          </w:tcPr>
          <w:p w14:paraId="3301A30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5.3</w:t>
            </w:r>
          </w:p>
        </w:tc>
        <w:tc>
          <w:tcPr>
            <w:tcW w:w="1592" w:type="dxa"/>
            <w:tcBorders>
              <w:top w:val="nil"/>
              <w:left w:val="nil"/>
              <w:bottom w:val="nil"/>
              <w:right w:val="nil"/>
            </w:tcBorders>
            <w:shd w:val="clear" w:color="auto" w:fill="auto"/>
            <w:noWrap/>
            <w:vAlign w:val="bottom"/>
            <w:hideMark/>
          </w:tcPr>
          <w:p w14:paraId="60D94C6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20.2</w:t>
            </w:r>
          </w:p>
        </w:tc>
        <w:tc>
          <w:tcPr>
            <w:tcW w:w="1153" w:type="dxa"/>
            <w:tcBorders>
              <w:top w:val="nil"/>
              <w:left w:val="nil"/>
              <w:bottom w:val="nil"/>
              <w:right w:val="nil"/>
            </w:tcBorders>
            <w:shd w:val="clear" w:color="auto" w:fill="auto"/>
            <w:noWrap/>
            <w:vAlign w:val="bottom"/>
            <w:hideMark/>
          </w:tcPr>
          <w:p w14:paraId="0B547F4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25.5</w:t>
            </w:r>
          </w:p>
        </w:tc>
      </w:tr>
      <w:tr w:rsidR="00742C6D" w:rsidRPr="00547A82" w14:paraId="40E3A5C7"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7AA35280"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Small</w:t>
            </w:r>
          </w:p>
        </w:tc>
        <w:tc>
          <w:tcPr>
            <w:tcW w:w="1300" w:type="dxa"/>
            <w:gridSpan w:val="2"/>
            <w:tcBorders>
              <w:top w:val="nil"/>
              <w:left w:val="nil"/>
              <w:bottom w:val="nil"/>
              <w:right w:val="nil"/>
            </w:tcBorders>
            <w:shd w:val="clear" w:color="auto" w:fill="auto"/>
            <w:noWrap/>
            <w:vAlign w:val="bottom"/>
            <w:hideMark/>
          </w:tcPr>
          <w:p w14:paraId="66A0E1E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5.2</w:t>
            </w:r>
          </w:p>
        </w:tc>
        <w:tc>
          <w:tcPr>
            <w:tcW w:w="1440" w:type="dxa"/>
            <w:gridSpan w:val="2"/>
            <w:tcBorders>
              <w:top w:val="nil"/>
              <w:left w:val="nil"/>
              <w:bottom w:val="nil"/>
              <w:right w:val="nil"/>
            </w:tcBorders>
            <w:shd w:val="clear" w:color="auto" w:fill="auto"/>
            <w:noWrap/>
            <w:vAlign w:val="bottom"/>
            <w:hideMark/>
          </w:tcPr>
          <w:p w14:paraId="45080A7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1.5</w:t>
            </w:r>
          </w:p>
        </w:tc>
        <w:tc>
          <w:tcPr>
            <w:tcW w:w="1152" w:type="dxa"/>
            <w:gridSpan w:val="2"/>
            <w:tcBorders>
              <w:top w:val="nil"/>
              <w:left w:val="nil"/>
              <w:bottom w:val="nil"/>
              <w:right w:val="nil"/>
            </w:tcBorders>
            <w:shd w:val="clear" w:color="auto" w:fill="auto"/>
            <w:noWrap/>
            <w:vAlign w:val="bottom"/>
            <w:hideMark/>
          </w:tcPr>
          <w:p w14:paraId="6085D74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6.7</w:t>
            </w:r>
          </w:p>
        </w:tc>
        <w:tc>
          <w:tcPr>
            <w:tcW w:w="1646" w:type="dxa"/>
            <w:tcBorders>
              <w:top w:val="nil"/>
              <w:left w:val="nil"/>
              <w:bottom w:val="nil"/>
              <w:right w:val="nil"/>
            </w:tcBorders>
            <w:shd w:val="clear" w:color="auto" w:fill="auto"/>
            <w:noWrap/>
            <w:vAlign w:val="bottom"/>
            <w:hideMark/>
          </w:tcPr>
          <w:p w14:paraId="09A1E35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2.6</w:t>
            </w:r>
          </w:p>
        </w:tc>
        <w:tc>
          <w:tcPr>
            <w:tcW w:w="1592" w:type="dxa"/>
            <w:tcBorders>
              <w:top w:val="nil"/>
              <w:left w:val="nil"/>
              <w:bottom w:val="nil"/>
              <w:right w:val="nil"/>
            </w:tcBorders>
            <w:shd w:val="clear" w:color="auto" w:fill="auto"/>
            <w:noWrap/>
            <w:vAlign w:val="bottom"/>
            <w:hideMark/>
          </w:tcPr>
          <w:p w14:paraId="229C55A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8.8</w:t>
            </w:r>
          </w:p>
        </w:tc>
        <w:tc>
          <w:tcPr>
            <w:tcW w:w="1153" w:type="dxa"/>
            <w:tcBorders>
              <w:top w:val="nil"/>
              <w:left w:val="nil"/>
              <w:bottom w:val="nil"/>
              <w:right w:val="nil"/>
            </w:tcBorders>
            <w:shd w:val="clear" w:color="auto" w:fill="auto"/>
            <w:noWrap/>
            <w:vAlign w:val="bottom"/>
            <w:hideMark/>
          </w:tcPr>
          <w:p w14:paraId="628FC77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11.4</w:t>
            </w:r>
          </w:p>
        </w:tc>
      </w:tr>
      <w:tr w:rsidR="00742C6D" w:rsidRPr="00547A82" w14:paraId="266E5F30"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785B87B3"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Large</w:t>
            </w:r>
          </w:p>
        </w:tc>
        <w:tc>
          <w:tcPr>
            <w:tcW w:w="1300" w:type="dxa"/>
            <w:gridSpan w:val="2"/>
            <w:tcBorders>
              <w:top w:val="nil"/>
              <w:left w:val="nil"/>
              <w:bottom w:val="nil"/>
              <w:right w:val="nil"/>
            </w:tcBorders>
            <w:shd w:val="clear" w:color="auto" w:fill="auto"/>
            <w:noWrap/>
            <w:vAlign w:val="bottom"/>
            <w:hideMark/>
          </w:tcPr>
          <w:p w14:paraId="6A71D80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13.2</w:t>
            </w:r>
          </w:p>
        </w:tc>
        <w:tc>
          <w:tcPr>
            <w:tcW w:w="1440" w:type="dxa"/>
            <w:gridSpan w:val="2"/>
            <w:tcBorders>
              <w:top w:val="nil"/>
              <w:left w:val="nil"/>
              <w:bottom w:val="nil"/>
              <w:right w:val="nil"/>
            </w:tcBorders>
            <w:shd w:val="clear" w:color="auto" w:fill="auto"/>
            <w:noWrap/>
            <w:vAlign w:val="bottom"/>
            <w:hideMark/>
          </w:tcPr>
          <w:p w14:paraId="2C78B9D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4.2</w:t>
            </w:r>
          </w:p>
        </w:tc>
        <w:tc>
          <w:tcPr>
            <w:tcW w:w="1152" w:type="dxa"/>
            <w:gridSpan w:val="2"/>
            <w:tcBorders>
              <w:top w:val="nil"/>
              <w:left w:val="nil"/>
              <w:bottom w:val="nil"/>
              <w:right w:val="nil"/>
            </w:tcBorders>
            <w:shd w:val="clear" w:color="auto" w:fill="auto"/>
            <w:noWrap/>
            <w:vAlign w:val="bottom"/>
            <w:hideMark/>
          </w:tcPr>
          <w:p w14:paraId="2E7E434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17.3</w:t>
            </w:r>
          </w:p>
        </w:tc>
        <w:tc>
          <w:tcPr>
            <w:tcW w:w="1646" w:type="dxa"/>
            <w:tcBorders>
              <w:top w:val="nil"/>
              <w:left w:val="nil"/>
              <w:bottom w:val="nil"/>
              <w:right w:val="nil"/>
            </w:tcBorders>
            <w:shd w:val="clear" w:color="auto" w:fill="auto"/>
            <w:noWrap/>
            <w:vAlign w:val="bottom"/>
            <w:hideMark/>
          </w:tcPr>
          <w:p w14:paraId="3CE7A9E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6.3</w:t>
            </w:r>
          </w:p>
        </w:tc>
        <w:tc>
          <w:tcPr>
            <w:tcW w:w="1592" w:type="dxa"/>
            <w:tcBorders>
              <w:top w:val="nil"/>
              <w:left w:val="nil"/>
              <w:bottom w:val="nil"/>
              <w:right w:val="nil"/>
            </w:tcBorders>
            <w:shd w:val="clear" w:color="auto" w:fill="auto"/>
            <w:noWrap/>
            <w:vAlign w:val="bottom"/>
            <w:hideMark/>
          </w:tcPr>
          <w:p w14:paraId="1E6EA63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24.1</w:t>
            </w:r>
          </w:p>
        </w:tc>
        <w:tc>
          <w:tcPr>
            <w:tcW w:w="1153" w:type="dxa"/>
            <w:tcBorders>
              <w:top w:val="nil"/>
              <w:left w:val="nil"/>
              <w:bottom w:val="nil"/>
              <w:right w:val="nil"/>
            </w:tcBorders>
            <w:shd w:val="clear" w:color="auto" w:fill="auto"/>
            <w:noWrap/>
            <w:vAlign w:val="bottom"/>
            <w:hideMark/>
          </w:tcPr>
          <w:p w14:paraId="15EC546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30.4</w:t>
            </w:r>
          </w:p>
        </w:tc>
      </w:tr>
      <w:tr w:rsidR="00742C6D" w:rsidRPr="00547A82" w14:paraId="2DB60D7F" w14:textId="77777777" w:rsidTr="006762AC">
        <w:trPr>
          <w:trHeight w:val="20"/>
          <w:jc w:val="center"/>
        </w:trPr>
        <w:tc>
          <w:tcPr>
            <w:tcW w:w="1170" w:type="dxa"/>
            <w:tcBorders>
              <w:top w:val="nil"/>
              <w:left w:val="nil"/>
              <w:bottom w:val="single" w:sz="4" w:space="0" w:color="auto"/>
              <w:right w:val="nil"/>
            </w:tcBorders>
            <w:shd w:val="clear" w:color="auto" w:fill="auto"/>
            <w:noWrap/>
            <w:vAlign w:val="bottom"/>
            <w:hideMark/>
          </w:tcPr>
          <w:p w14:paraId="73468CA0"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Foreign</w:t>
            </w:r>
          </w:p>
        </w:tc>
        <w:tc>
          <w:tcPr>
            <w:tcW w:w="1300" w:type="dxa"/>
            <w:gridSpan w:val="2"/>
            <w:tcBorders>
              <w:top w:val="nil"/>
              <w:left w:val="nil"/>
              <w:bottom w:val="single" w:sz="4" w:space="0" w:color="auto"/>
              <w:right w:val="nil"/>
            </w:tcBorders>
            <w:shd w:val="clear" w:color="auto" w:fill="auto"/>
            <w:noWrap/>
            <w:vAlign w:val="bottom"/>
            <w:hideMark/>
          </w:tcPr>
          <w:p w14:paraId="748DCE4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14.3</w:t>
            </w:r>
          </w:p>
        </w:tc>
        <w:tc>
          <w:tcPr>
            <w:tcW w:w="1440" w:type="dxa"/>
            <w:gridSpan w:val="2"/>
            <w:tcBorders>
              <w:top w:val="nil"/>
              <w:left w:val="nil"/>
              <w:bottom w:val="single" w:sz="4" w:space="0" w:color="auto"/>
              <w:right w:val="nil"/>
            </w:tcBorders>
            <w:shd w:val="clear" w:color="auto" w:fill="auto"/>
            <w:noWrap/>
            <w:vAlign w:val="bottom"/>
            <w:hideMark/>
          </w:tcPr>
          <w:p w14:paraId="7F30940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4.8</w:t>
            </w:r>
          </w:p>
        </w:tc>
        <w:tc>
          <w:tcPr>
            <w:tcW w:w="1152" w:type="dxa"/>
            <w:gridSpan w:val="2"/>
            <w:tcBorders>
              <w:top w:val="nil"/>
              <w:left w:val="nil"/>
              <w:bottom w:val="single" w:sz="4" w:space="0" w:color="auto"/>
              <w:right w:val="nil"/>
            </w:tcBorders>
            <w:shd w:val="clear" w:color="auto" w:fill="auto"/>
            <w:noWrap/>
            <w:vAlign w:val="bottom"/>
            <w:hideMark/>
          </w:tcPr>
          <w:p w14:paraId="05AB969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19.1</w:t>
            </w:r>
          </w:p>
        </w:tc>
        <w:tc>
          <w:tcPr>
            <w:tcW w:w="1646" w:type="dxa"/>
            <w:tcBorders>
              <w:top w:val="nil"/>
              <w:left w:val="nil"/>
              <w:bottom w:val="single" w:sz="4" w:space="0" w:color="auto"/>
              <w:right w:val="nil"/>
            </w:tcBorders>
            <w:shd w:val="clear" w:color="auto" w:fill="auto"/>
            <w:noWrap/>
            <w:vAlign w:val="bottom"/>
            <w:hideMark/>
          </w:tcPr>
          <w:p w14:paraId="22BD657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6.6</w:t>
            </w:r>
          </w:p>
        </w:tc>
        <w:tc>
          <w:tcPr>
            <w:tcW w:w="1592" w:type="dxa"/>
            <w:tcBorders>
              <w:top w:val="nil"/>
              <w:left w:val="nil"/>
              <w:bottom w:val="single" w:sz="4" w:space="0" w:color="auto"/>
              <w:right w:val="nil"/>
            </w:tcBorders>
            <w:shd w:val="clear" w:color="auto" w:fill="auto"/>
            <w:noWrap/>
            <w:vAlign w:val="bottom"/>
            <w:hideMark/>
          </w:tcPr>
          <w:p w14:paraId="56EB5A8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27.8</w:t>
            </w:r>
          </w:p>
        </w:tc>
        <w:tc>
          <w:tcPr>
            <w:tcW w:w="1153" w:type="dxa"/>
            <w:tcBorders>
              <w:top w:val="nil"/>
              <w:left w:val="nil"/>
              <w:bottom w:val="single" w:sz="4" w:space="0" w:color="auto"/>
              <w:right w:val="nil"/>
            </w:tcBorders>
            <w:shd w:val="clear" w:color="auto" w:fill="auto"/>
            <w:noWrap/>
            <w:vAlign w:val="bottom"/>
            <w:hideMark/>
          </w:tcPr>
          <w:p w14:paraId="1DFDD3E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34.4</w:t>
            </w:r>
          </w:p>
        </w:tc>
      </w:tr>
      <w:tr w:rsidR="00742C6D" w:rsidRPr="00547A82" w14:paraId="2BF065F2" w14:textId="77777777" w:rsidTr="006762AC">
        <w:trPr>
          <w:trHeight w:val="20"/>
          <w:jc w:val="center"/>
        </w:trPr>
        <w:tc>
          <w:tcPr>
            <w:tcW w:w="9453" w:type="dxa"/>
            <w:gridSpan w:val="10"/>
            <w:tcBorders>
              <w:top w:val="nil"/>
              <w:left w:val="nil"/>
              <w:bottom w:val="nil"/>
              <w:right w:val="nil"/>
            </w:tcBorders>
            <w:shd w:val="clear" w:color="auto" w:fill="auto"/>
            <w:noWrap/>
            <w:vAlign w:val="bottom"/>
          </w:tcPr>
          <w:p w14:paraId="3C3081CD"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u w:val="single"/>
              </w:rPr>
            </w:pPr>
            <w:r w:rsidRPr="00547A82">
              <w:rPr>
                <w:rFonts w:ascii="Times New Roman" w:eastAsia="Times New Roman" w:hAnsi="Times New Roman" w:cs="Times New Roman"/>
                <w:b/>
                <w:bCs/>
                <w:color w:val="000000"/>
                <w:sz w:val="20"/>
                <w:szCs w:val="20"/>
                <w:u w:val="single"/>
              </w:rPr>
              <w:t xml:space="preserve">Textiles, wearing apparel, </w:t>
            </w:r>
            <w:proofErr w:type="gramStart"/>
            <w:r w:rsidRPr="00547A82">
              <w:rPr>
                <w:rFonts w:ascii="Times New Roman" w:eastAsia="Times New Roman" w:hAnsi="Times New Roman" w:cs="Times New Roman"/>
                <w:b/>
                <w:bCs/>
                <w:color w:val="000000"/>
                <w:sz w:val="20"/>
                <w:szCs w:val="20"/>
                <w:u w:val="single"/>
              </w:rPr>
              <w:t>leather</w:t>
            </w:r>
            <w:proofErr w:type="gramEnd"/>
            <w:r w:rsidRPr="00547A82">
              <w:rPr>
                <w:rFonts w:ascii="Times New Roman" w:eastAsia="Times New Roman" w:hAnsi="Times New Roman" w:cs="Times New Roman"/>
                <w:b/>
                <w:bCs/>
                <w:color w:val="000000"/>
                <w:sz w:val="20"/>
                <w:szCs w:val="20"/>
                <w:u w:val="single"/>
              </w:rPr>
              <w:t xml:space="preserve"> and related products</w:t>
            </w:r>
          </w:p>
        </w:tc>
      </w:tr>
      <w:tr w:rsidR="00742C6D" w:rsidRPr="00547A82" w14:paraId="7238B169"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4083D1E6"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CZE</w:t>
            </w:r>
          </w:p>
        </w:tc>
        <w:tc>
          <w:tcPr>
            <w:tcW w:w="1300" w:type="dxa"/>
            <w:gridSpan w:val="2"/>
            <w:tcBorders>
              <w:top w:val="nil"/>
              <w:left w:val="nil"/>
              <w:bottom w:val="nil"/>
              <w:right w:val="nil"/>
            </w:tcBorders>
            <w:shd w:val="clear" w:color="auto" w:fill="auto"/>
            <w:noWrap/>
            <w:vAlign w:val="bottom"/>
            <w:hideMark/>
          </w:tcPr>
          <w:p w14:paraId="1C184E5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22.1</w:t>
            </w:r>
          </w:p>
        </w:tc>
        <w:tc>
          <w:tcPr>
            <w:tcW w:w="1440" w:type="dxa"/>
            <w:gridSpan w:val="2"/>
            <w:tcBorders>
              <w:top w:val="nil"/>
              <w:left w:val="nil"/>
              <w:bottom w:val="nil"/>
              <w:right w:val="nil"/>
            </w:tcBorders>
            <w:shd w:val="clear" w:color="auto" w:fill="auto"/>
            <w:noWrap/>
            <w:vAlign w:val="bottom"/>
            <w:hideMark/>
          </w:tcPr>
          <w:p w14:paraId="6B82BED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32.9</w:t>
            </w:r>
          </w:p>
        </w:tc>
        <w:tc>
          <w:tcPr>
            <w:tcW w:w="1152" w:type="dxa"/>
            <w:gridSpan w:val="2"/>
            <w:tcBorders>
              <w:top w:val="nil"/>
              <w:left w:val="nil"/>
              <w:bottom w:val="nil"/>
              <w:right w:val="nil"/>
            </w:tcBorders>
            <w:shd w:val="clear" w:color="auto" w:fill="auto"/>
            <w:noWrap/>
            <w:vAlign w:val="bottom"/>
            <w:hideMark/>
          </w:tcPr>
          <w:p w14:paraId="11DF35E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55.0</w:t>
            </w:r>
          </w:p>
        </w:tc>
        <w:tc>
          <w:tcPr>
            <w:tcW w:w="1646" w:type="dxa"/>
            <w:tcBorders>
              <w:top w:val="nil"/>
              <w:left w:val="nil"/>
              <w:bottom w:val="nil"/>
              <w:right w:val="nil"/>
            </w:tcBorders>
            <w:shd w:val="clear" w:color="auto" w:fill="auto"/>
            <w:noWrap/>
            <w:vAlign w:val="bottom"/>
            <w:hideMark/>
          </w:tcPr>
          <w:p w14:paraId="3B2316E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20.2</w:t>
            </w:r>
          </w:p>
        </w:tc>
        <w:tc>
          <w:tcPr>
            <w:tcW w:w="1592" w:type="dxa"/>
            <w:tcBorders>
              <w:top w:val="nil"/>
              <w:left w:val="nil"/>
              <w:bottom w:val="nil"/>
              <w:right w:val="nil"/>
            </w:tcBorders>
            <w:shd w:val="clear" w:color="auto" w:fill="auto"/>
            <w:noWrap/>
            <w:vAlign w:val="bottom"/>
            <w:hideMark/>
          </w:tcPr>
          <w:p w14:paraId="4C32D37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53.6</w:t>
            </w:r>
          </w:p>
        </w:tc>
        <w:tc>
          <w:tcPr>
            <w:tcW w:w="1153" w:type="dxa"/>
            <w:tcBorders>
              <w:top w:val="nil"/>
              <w:left w:val="nil"/>
              <w:bottom w:val="nil"/>
              <w:right w:val="nil"/>
            </w:tcBorders>
            <w:shd w:val="clear" w:color="auto" w:fill="auto"/>
            <w:noWrap/>
            <w:vAlign w:val="bottom"/>
            <w:hideMark/>
          </w:tcPr>
          <w:p w14:paraId="54E8635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73.7</w:t>
            </w:r>
          </w:p>
        </w:tc>
      </w:tr>
      <w:tr w:rsidR="00742C6D" w:rsidRPr="00547A82" w14:paraId="27505031"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03FB060E"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ESP</w:t>
            </w:r>
          </w:p>
        </w:tc>
        <w:tc>
          <w:tcPr>
            <w:tcW w:w="1300" w:type="dxa"/>
            <w:gridSpan w:val="2"/>
            <w:tcBorders>
              <w:top w:val="nil"/>
              <w:left w:val="nil"/>
              <w:bottom w:val="nil"/>
              <w:right w:val="nil"/>
            </w:tcBorders>
            <w:shd w:val="clear" w:color="auto" w:fill="auto"/>
            <w:noWrap/>
            <w:vAlign w:val="bottom"/>
            <w:hideMark/>
          </w:tcPr>
          <w:p w14:paraId="5023F2C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43.8</w:t>
            </w:r>
          </w:p>
        </w:tc>
        <w:tc>
          <w:tcPr>
            <w:tcW w:w="1440" w:type="dxa"/>
            <w:gridSpan w:val="2"/>
            <w:tcBorders>
              <w:top w:val="nil"/>
              <w:left w:val="nil"/>
              <w:bottom w:val="nil"/>
              <w:right w:val="nil"/>
            </w:tcBorders>
            <w:shd w:val="clear" w:color="auto" w:fill="auto"/>
            <w:noWrap/>
            <w:vAlign w:val="bottom"/>
            <w:hideMark/>
          </w:tcPr>
          <w:p w14:paraId="0E25457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74.3</w:t>
            </w:r>
          </w:p>
        </w:tc>
        <w:tc>
          <w:tcPr>
            <w:tcW w:w="1152" w:type="dxa"/>
            <w:gridSpan w:val="2"/>
            <w:tcBorders>
              <w:top w:val="nil"/>
              <w:left w:val="nil"/>
              <w:bottom w:val="nil"/>
              <w:right w:val="nil"/>
            </w:tcBorders>
            <w:shd w:val="clear" w:color="auto" w:fill="auto"/>
            <w:noWrap/>
            <w:vAlign w:val="bottom"/>
            <w:hideMark/>
          </w:tcPr>
          <w:p w14:paraId="46E5934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118.1</w:t>
            </w:r>
          </w:p>
        </w:tc>
        <w:tc>
          <w:tcPr>
            <w:tcW w:w="1646" w:type="dxa"/>
            <w:tcBorders>
              <w:top w:val="nil"/>
              <w:left w:val="nil"/>
              <w:bottom w:val="nil"/>
              <w:right w:val="nil"/>
            </w:tcBorders>
            <w:shd w:val="clear" w:color="auto" w:fill="auto"/>
            <w:noWrap/>
            <w:vAlign w:val="bottom"/>
            <w:hideMark/>
          </w:tcPr>
          <w:p w14:paraId="70510B5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38.6</w:t>
            </w:r>
          </w:p>
        </w:tc>
        <w:tc>
          <w:tcPr>
            <w:tcW w:w="1592" w:type="dxa"/>
            <w:tcBorders>
              <w:top w:val="nil"/>
              <w:left w:val="nil"/>
              <w:bottom w:val="nil"/>
              <w:right w:val="nil"/>
            </w:tcBorders>
            <w:shd w:val="clear" w:color="auto" w:fill="auto"/>
            <w:noWrap/>
            <w:vAlign w:val="bottom"/>
            <w:hideMark/>
          </w:tcPr>
          <w:p w14:paraId="702C4FE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112.3</w:t>
            </w:r>
          </w:p>
        </w:tc>
        <w:tc>
          <w:tcPr>
            <w:tcW w:w="1153" w:type="dxa"/>
            <w:tcBorders>
              <w:top w:val="nil"/>
              <w:left w:val="nil"/>
              <w:bottom w:val="nil"/>
              <w:right w:val="nil"/>
            </w:tcBorders>
            <w:shd w:val="clear" w:color="auto" w:fill="auto"/>
            <w:noWrap/>
            <w:vAlign w:val="bottom"/>
            <w:hideMark/>
          </w:tcPr>
          <w:p w14:paraId="6F017E1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150.8</w:t>
            </w:r>
          </w:p>
        </w:tc>
      </w:tr>
      <w:tr w:rsidR="00742C6D" w:rsidRPr="00547A82" w14:paraId="5CE91AAB"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4F21350D"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ITA</w:t>
            </w:r>
          </w:p>
        </w:tc>
        <w:tc>
          <w:tcPr>
            <w:tcW w:w="1300" w:type="dxa"/>
            <w:gridSpan w:val="2"/>
            <w:tcBorders>
              <w:top w:val="nil"/>
              <w:left w:val="nil"/>
              <w:bottom w:val="nil"/>
              <w:right w:val="nil"/>
            </w:tcBorders>
            <w:shd w:val="clear" w:color="auto" w:fill="auto"/>
            <w:noWrap/>
            <w:vAlign w:val="bottom"/>
            <w:hideMark/>
          </w:tcPr>
          <w:p w14:paraId="47FD17F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31.4</w:t>
            </w:r>
          </w:p>
        </w:tc>
        <w:tc>
          <w:tcPr>
            <w:tcW w:w="1440" w:type="dxa"/>
            <w:gridSpan w:val="2"/>
            <w:tcBorders>
              <w:top w:val="nil"/>
              <w:left w:val="nil"/>
              <w:bottom w:val="nil"/>
              <w:right w:val="nil"/>
            </w:tcBorders>
            <w:shd w:val="clear" w:color="auto" w:fill="auto"/>
            <w:noWrap/>
            <w:vAlign w:val="bottom"/>
            <w:hideMark/>
          </w:tcPr>
          <w:p w14:paraId="538DAD0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19.2</w:t>
            </w:r>
          </w:p>
        </w:tc>
        <w:tc>
          <w:tcPr>
            <w:tcW w:w="1152" w:type="dxa"/>
            <w:gridSpan w:val="2"/>
            <w:tcBorders>
              <w:top w:val="nil"/>
              <w:left w:val="nil"/>
              <w:bottom w:val="nil"/>
              <w:right w:val="nil"/>
            </w:tcBorders>
            <w:shd w:val="clear" w:color="auto" w:fill="auto"/>
            <w:noWrap/>
            <w:vAlign w:val="bottom"/>
            <w:hideMark/>
          </w:tcPr>
          <w:p w14:paraId="7D3301B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50.6</w:t>
            </w:r>
          </w:p>
        </w:tc>
        <w:tc>
          <w:tcPr>
            <w:tcW w:w="1646" w:type="dxa"/>
            <w:tcBorders>
              <w:top w:val="nil"/>
              <w:left w:val="nil"/>
              <w:bottom w:val="nil"/>
              <w:right w:val="nil"/>
            </w:tcBorders>
            <w:shd w:val="clear" w:color="auto" w:fill="auto"/>
            <w:noWrap/>
            <w:vAlign w:val="bottom"/>
            <w:hideMark/>
          </w:tcPr>
          <w:p w14:paraId="28D68B9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28.0</w:t>
            </w:r>
          </w:p>
        </w:tc>
        <w:tc>
          <w:tcPr>
            <w:tcW w:w="1592" w:type="dxa"/>
            <w:tcBorders>
              <w:top w:val="nil"/>
              <w:left w:val="nil"/>
              <w:bottom w:val="nil"/>
              <w:right w:val="nil"/>
            </w:tcBorders>
            <w:shd w:val="clear" w:color="auto" w:fill="auto"/>
            <w:noWrap/>
            <w:vAlign w:val="bottom"/>
            <w:hideMark/>
          </w:tcPr>
          <w:p w14:paraId="49B641A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26.0</w:t>
            </w:r>
          </w:p>
        </w:tc>
        <w:tc>
          <w:tcPr>
            <w:tcW w:w="1153" w:type="dxa"/>
            <w:tcBorders>
              <w:top w:val="nil"/>
              <w:left w:val="nil"/>
              <w:bottom w:val="nil"/>
              <w:right w:val="nil"/>
            </w:tcBorders>
            <w:shd w:val="clear" w:color="auto" w:fill="auto"/>
            <w:noWrap/>
            <w:vAlign w:val="bottom"/>
            <w:hideMark/>
          </w:tcPr>
          <w:p w14:paraId="7000772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54.0</w:t>
            </w:r>
          </w:p>
        </w:tc>
      </w:tr>
      <w:tr w:rsidR="00742C6D" w:rsidRPr="00547A82" w14:paraId="1F981DAA"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75B0EECE"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NLD</w:t>
            </w:r>
          </w:p>
        </w:tc>
        <w:tc>
          <w:tcPr>
            <w:tcW w:w="1300" w:type="dxa"/>
            <w:gridSpan w:val="2"/>
            <w:tcBorders>
              <w:top w:val="nil"/>
              <w:left w:val="nil"/>
              <w:bottom w:val="nil"/>
              <w:right w:val="nil"/>
            </w:tcBorders>
            <w:shd w:val="clear" w:color="auto" w:fill="auto"/>
            <w:noWrap/>
            <w:vAlign w:val="bottom"/>
            <w:hideMark/>
          </w:tcPr>
          <w:p w14:paraId="1FC6492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94.4</w:t>
            </w:r>
          </w:p>
        </w:tc>
        <w:tc>
          <w:tcPr>
            <w:tcW w:w="1440" w:type="dxa"/>
            <w:gridSpan w:val="2"/>
            <w:tcBorders>
              <w:top w:val="nil"/>
              <w:left w:val="nil"/>
              <w:bottom w:val="nil"/>
              <w:right w:val="nil"/>
            </w:tcBorders>
            <w:shd w:val="clear" w:color="auto" w:fill="auto"/>
            <w:noWrap/>
            <w:vAlign w:val="bottom"/>
            <w:hideMark/>
          </w:tcPr>
          <w:p w14:paraId="14F026D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49.3</w:t>
            </w:r>
          </w:p>
        </w:tc>
        <w:tc>
          <w:tcPr>
            <w:tcW w:w="1152" w:type="dxa"/>
            <w:gridSpan w:val="2"/>
            <w:tcBorders>
              <w:top w:val="nil"/>
              <w:left w:val="nil"/>
              <w:bottom w:val="nil"/>
              <w:right w:val="nil"/>
            </w:tcBorders>
            <w:shd w:val="clear" w:color="auto" w:fill="auto"/>
            <w:noWrap/>
            <w:vAlign w:val="bottom"/>
            <w:hideMark/>
          </w:tcPr>
          <w:p w14:paraId="5C0FEF1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143.7</w:t>
            </w:r>
          </w:p>
        </w:tc>
        <w:tc>
          <w:tcPr>
            <w:tcW w:w="1646" w:type="dxa"/>
            <w:tcBorders>
              <w:top w:val="nil"/>
              <w:left w:val="nil"/>
              <w:bottom w:val="nil"/>
              <w:right w:val="nil"/>
            </w:tcBorders>
            <w:shd w:val="clear" w:color="auto" w:fill="auto"/>
            <w:noWrap/>
            <w:vAlign w:val="bottom"/>
            <w:hideMark/>
          </w:tcPr>
          <w:p w14:paraId="6A54E48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79.2</w:t>
            </w:r>
          </w:p>
        </w:tc>
        <w:tc>
          <w:tcPr>
            <w:tcW w:w="1592" w:type="dxa"/>
            <w:tcBorders>
              <w:top w:val="nil"/>
              <w:left w:val="nil"/>
              <w:bottom w:val="nil"/>
              <w:right w:val="nil"/>
            </w:tcBorders>
            <w:shd w:val="clear" w:color="auto" w:fill="auto"/>
            <w:noWrap/>
            <w:vAlign w:val="bottom"/>
            <w:hideMark/>
          </w:tcPr>
          <w:p w14:paraId="55D0FE3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52.1</w:t>
            </w:r>
          </w:p>
        </w:tc>
        <w:tc>
          <w:tcPr>
            <w:tcW w:w="1153" w:type="dxa"/>
            <w:tcBorders>
              <w:top w:val="nil"/>
              <w:left w:val="nil"/>
              <w:bottom w:val="nil"/>
              <w:right w:val="nil"/>
            </w:tcBorders>
            <w:shd w:val="clear" w:color="auto" w:fill="auto"/>
            <w:noWrap/>
            <w:vAlign w:val="bottom"/>
            <w:hideMark/>
          </w:tcPr>
          <w:p w14:paraId="4DB4792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131.4</w:t>
            </w:r>
          </w:p>
        </w:tc>
      </w:tr>
      <w:tr w:rsidR="00742C6D" w:rsidRPr="00547A82" w14:paraId="64C48327"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29B6D674"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GBR</w:t>
            </w:r>
          </w:p>
        </w:tc>
        <w:tc>
          <w:tcPr>
            <w:tcW w:w="1300" w:type="dxa"/>
            <w:gridSpan w:val="2"/>
            <w:tcBorders>
              <w:top w:val="nil"/>
              <w:left w:val="nil"/>
              <w:bottom w:val="nil"/>
              <w:right w:val="nil"/>
            </w:tcBorders>
            <w:shd w:val="clear" w:color="auto" w:fill="auto"/>
            <w:noWrap/>
            <w:vAlign w:val="bottom"/>
            <w:hideMark/>
          </w:tcPr>
          <w:p w14:paraId="664DF5D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24.3</w:t>
            </w:r>
          </w:p>
        </w:tc>
        <w:tc>
          <w:tcPr>
            <w:tcW w:w="1440" w:type="dxa"/>
            <w:gridSpan w:val="2"/>
            <w:tcBorders>
              <w:top w:val="nil"/>
              <w:left w:val="nil"/>
              <w:bottom w:val="nil"/>
              <w:right w:val="nil"/>
            </w:tcBorders>
            <w:shd w:val="clear" w:color="auto" w:fill="auto"/>
            <w:noWrap/>
            <w:vAlign w:val="bottom"/>
            <w:hideMark/>
          </w:tcPr>
          <w:p w14:paraId="57DDCAF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35.1</w:t>
            </w:r>
          </w:p>
        </w:tc>
        <w:tc>
          <w:tcPr>
            <w:tcW w:w="1152" w:type="dxa"/>
            <w:gridSpan w:val="2"/>
            <w:tcBorders>
              <w:top w:val="nil"/>
              <w:left w:val="nil"/>
              <w:bottom w:val="nil"/>
              <w:right w:val="nil"/>
            </w:tcBorders>
            <w:shd w:val="clear" w:color="auto" w:fill="auto"/>
            <w:noWrap/>
            <w:vAlign w:val="bottom"/>
            <w:hideMark/>
          </w:tcPr>
          <w:p w14:paraId="72C061F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59.3</w:t>
            </w:r>
          </w:p>
        </w:tc>
        <w:tc>
          <w:tcPr>
            <w:tcW w:w="1646" w:type="dxa"/>
            <w:tcBorders>
              <w:top w:val="nil"/>
              <w:left w:val="nil"/>
              <w:bottom w:val="nil"/>
              <w:right w:val="nil"/>
            </w:tcBorders>
            <w:shd w:val="clear" w:color="auto" w:fill="auto"/>
            <w:noWrap/>
            <w:vAlign w:val="bottom"/>
            <w:hideMark/>
          </w:tcPr>
          <w:p w14:paraId="597AFA5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23.7</w:t>
            </w:r>
          </w:p>
        </w:tc>
        <w:tc>
          <w:tcPr>
            <w:tcW w:w="1592" w:type="dxa"/>
            <w:tcBorders>
              <w:top w:val="nil"/>
              <w:left w:val="nil"/>
              <w:bottom w:val="nil"/>
              <w:right w:val="nil"/>
            </w:tcBorders>
            <w:shd w:val="clear" w:color="auto" w:fill="auto"/>
            <w:noWrap/>
            <w:vAlign w:val="bottom"/>
            <w:hideMark/>
          </w:tcPr>
          <w:p w14:paraId="5DE31C6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39.7</w:t>
            </w:r>
          </w:p>
        </w:tc>
        <w:tc>
          <w:tcPr>
            <w:tcW w:w="1153" w:type="dxa"/>
            <w:tcBorders>
              <w:top w:val="nil"/>
              <w:left w:val="nil"/>
              <w:bottom w:val="nil"/>
              <w:right w:val="nil"/>
            </w:tcBorders>
            <w:shd w:val="clear" w:color="auto" w:fill="auto"/>
            <w:noWrap/>
            <w:vAlign w:val="bottom"/>
            <w:hideMark/>
          </w:tcPr>
          <w:p w14:paraId="6CC5366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63.4</w:t>
            </w:r>
          </w:p>
        </w:tc>
      </w:tr>
      <w:tr w:rsidR="00742C6D" w:rsidRPr="00547A82" w14:paraId="7B324FF4"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61E84D80"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r w:rsidRPr="00547A82">
              <w:rPr>
                <w:rFonts w:ascii="Times New Roman" w:eastAsia="Times New Roman" w:hAnsi="Times New Roman" w:cs="Times New Roman"/>
                <w:b/>
                <w:bCs/>
                <w:color w:val="000000"/>
                <w:sz w:val="20"/>
                <w:szCs w:val="20"/>
              </w:rPr>
              <w:t>Tanzania</w:t>
            </w:r>
          </w:p>
        </w:tc>
        <w:tc>
          <w:tcPr>
            <w:tcW w:w="1300" w:type="dxa"/>
            <w:gridSpan w:val="2"/>
            <w:tcBorders>
              <w:top w:val="nil"/>
              <w:left w:val="nil"/>
              <w:bottom w:val="nil"/>
              <w:right w:val="nil"/>
            </w:tcBorders>
            <w:shd w:val="clear" w:color="auto" w:fill="auto"/>
            <w:noWrap/>
            <w:vAlign w:val="bottom"/>
            <w:hideMark/>
          </w:tcPr>
          <w:p w14:paraId="27F21BA4"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p>
        </w:tc>
        <w:tc>
          <w:tcPr>
            <w:tcW w:w="1440" w:type="dxa"/>
            <w:gridSpan w:val="2"/>
            <w:tcBorders>
              <w:top w:val="nil"/>
              <w:left w:val="nil"/>
              <w:bottom w:val="nil"/>
              <w:right w:val="nil"/>
            </w:tcBorders>
            <w:shd w:val="clear" w:color="auto" w:fill="auto"/>
            <w:noWrap/>
            <w:vAlign w:val="bottom"/>
            <w:hideMark/>
          </w:tcPr>
          <w:p w14:paraId="0E1B2AE3"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52" w:type="dxa"/>
            <w:gridSpan w:val="2"/>
            <w:tcBorders>
              <w:top w:val="nil"/>
              <w:left w:val="nil"/>
              <w:bottom w:val="nil"/>
              <w:right w:val="nil"/>
            </w:tcBorders>
            <w:shd w:val="clear" w:color="auto" w:fill="auto"/>
            <w:noWrap/>
            <w:vAlign w:val="bottom"/>
            <w:hideMark/>
          </w:tcPr>
          <w:p w14:paraId="434904CE"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646" w:type="dxa"/>
            <w:tcBorders>
              <w:top w:val="nil"/>
              <w:left w:val="nil"/>
              <w:bottom w:val="nil"/>
              <w:right w:val="nil"/>
            </w:tcBorders>
            <w:shd w:val="clear" w:color="auto" w:fill="auto"/>
            <w:noWrap/>
            <w:vAlign w:val="bottom"/>
            <w:hideMark/>
          </w:tcPr>
          <w:p w14:paraId="634A3178"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592" w:type="dxa"/>
            <w:tcBorders>
              <w:top w:val="nil"/>
              <w:left w:val="nil"/>
              <w:bottom w:val="nil"/>
              <w:right w:val="nil"/>
            </w:tcBorders>
            <w:shd w:val="clear" w:color="auto" w:fill="auto"/>
            <w:noWrap/>
            <w:vAlign w:val="bottom"/>
            <w:hideMark/>
          </w:tcPr>
          <w:p w14:paraId="3058B23E"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53" w:type="dxa"/>
            <w:tcBorders>
              <w:top w:val="nil"/>
              <w:left w:val="nil"/>
              <w:bottom w:val="nil"/>
              <w:right w:val="nil"/>
            </w:tcBorders>
            <w:shd w:val="clear" w:color="auto" w:fill="auto"/>
            <w:noWrap/>
            <w:vAlign w:val="bottom"/>
            <w:hideMark/>
          </w:tcPr>
          <w:p w14:paraId="55BAD2B5" w14:textId="77777777" w:rsidR="00742C6D" w:rsidRPr="00547A82" w:rsidRDefault="00742C6D" w:rsidP="00742C6D">
            <w:pPr>
              <w:spacing w:after="0" w:line="240" w:lineRule="auto"/>
              <w:rPr>
                <w:rFonts w:ascii="Times New Roman" w:eastAsia="Times New Roman" w:hAnsi="Times New Roman" w:cs="Times New Roman"/>
                <w:sz w:val="20"/>
                <w:szCs w:val="20"/>
              </w:rPr>
            </w:pPr>
          </w:p>
        </w:tc>
      </w:tr>
      <w:tr w:rsidR="00742C6D" w:rsidRPr="00547A82" w14:paraId="6BC8B404"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54323A8D"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Total</w:t>
            </w:r>
          </w:p>
        </w:tc>
        <w:tc>
          <w:tcPr>
            <w:tcW w:w="1300" w:type="dxa"/>
            <w:gridSpan w:val="2"/>
            <w:tcBorders>
              <w:top w:val="nil"/>
              <w:left w:val="nil"/>
              <w:bottom w:val="nil"/>
              <w:right w:val="nil"/>
            </w:tcBorders>
            <w:shd w:val="clear" w:color="auto" w:fill="auto"/>
            <w:noWrap/>
            <w:vAlign w:val="bottom"/>
            <w:hideMark/>
          </w:tcPr>
          <w:p w14:paraId="25FD174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7.9</w:t>
            </w:r>
          </w:p>
        </w:tc>
        <w:tc>
          <w:tcPr>
            <w:tcW w:w="1440" w:type="dxa"/>
            <w:gridSpan w:val="2"/>
            <w:tcBorders>
              <w:top w:val="nil"/>
              <w:left w:val="nil"/>
              <w:bottom w:val="nil"/>
              <w:right w:val="nil"/>
            </w:tcBorders>
            <w:shd w:val="clear" w:color="auto" w:fill="auto"/>
            <w:noWrap/>
            <w:vAlign w:val="bottom"/>
            <w:hideMark/>
          </w:tcPr>
          <w:p w14:paraId="7971DEE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3.1</w:t>
            </w:r>
          </w:p>
        </w:tc>
        <w:tc>
          <w:tcPr>
            <w:tcW w:w="1152" w:type="dxa"/>
            <w:gridSpan w:val="2"/>
            <w:tcBorders>
              <w:top w:val="nil"/>
              <w:left w:val="nil"/>
              <w:bottom w:val="nil"/>
              <w:right w:val="nil"/>
            </w:tcBorders>
            <w:shd w:val="clear" w:color="auto" w:fill="auto"/>
            <w:noWrap/>
            <w:vAlign w:val="bottom"/>
            <w:hideMark/>
          </w:tcPr>
          <w:p w14:paraId="2080DF9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11.0</w:t>
            </w:r>
          </w:p>
        </w:tc>
        <w:tc>
          <w:tcPr>
            <w:tcW w:w="1646" w:type="dxa"/>
            <w:tcBorders>
              <w:top w:val="nil"/>
              <w:left w:val="nil"/>
              <w:bottom w:val="nil"/>
              <w:right w:val="nil"/>
            </w:tcBorders>
            <w:shd w:val="clear" w:color="auto" w:fill="auto"/>
            <w:noWrap/>
            <w:vAlign w:val="bottom"/>
            <w:hideMark/>
          </w:tcPr>
          <w:p w14:paraId="0B0D989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6.5</w:t>
            </w:r>
          </w:p>
        </w:tc>
        <w:tc>
          <w:tcPr>
            <w:tcW w:w="1592" w:type="dxa"/>
            <w:tcBorders>
              <w:top w:val="nil"/>
              <w:left w:val="nil"/>
              <w:bottom w:val="nil"/>
              <w:right w:val="nil"/>
            </w:tcBorders>
            <w:shd w:val="clear" w:color="auto" w:fill="auto"/>
            <w:noWrap/>
            <w:vAlign w:val="bottom"/>
            <w:hideMark/>
          </w:tcPr>
          <w:p w14:paraId="23A2B2D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23.0</w:t>
            </w:r>
          </w:p>
        </w:tc>
        <w:tc>
          <w:tcPr>
            <w:tcW w:w="1153" w:type="dxa"/>
            <w:tcBorders>
              <w:top w:val="nil"/>
              <w:left w:val="nil"/>
              <w:bottom w:val="nil"/>
              <w:right w:val="nil"/>
            </w:tcBorders>
            <w:shd w:val="clear" w:color="auto" w:fill="auto"/>
            <w:noWrap/>
            <w:vAlign w:val="bottom"/>
            <w:hideMark/>
          </w:tcPr>
          <w:p w14:paraId="33B2C1F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29.5</w:t>
            </w:r>
          </w:p>
        </w:tc>
      </w:tr>
      <w:tr w:rsidR="00742C6D" w:rsidRPr="00547A82" w14:paraId="457F483A"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0DAEE4A2"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Small</w:t>
            </w:r>
          </w:p>
        </w:tc>
        <w:tc>
          <w:tcPr>
            <w:tcW w:w="1300" w:type="dxa"/>
            <w:gridSpan w:val="2"/>
            <w:tcBorders>
              <w:top w:val="nil"/>
              <w:left w:val="nil"/>
              <w:bottom w:val="nil"/>
              <w:right w:val="nil"/>
            </w:tcBorders>
            <w:shd w:val="clear" w:color="auto" w:fill="auto"/>
            <w:noWrap/>
            <w:vAlign w:val="bottom"/>
            <w:hideMark/>
          </w:tcPr>
          <w:p w14:paraId="0985D2F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4.5</w:t>
            </w:r>
          </w:p>
        </w:tc>
        <w:tc>
          <w:tcPr>
            <w:tcW w:w="1440" w:type="dxa"/>
            <w:gridSpan w:val="2"/>
            <w:tcBorders>
              <w:top w:val="nil"/>
              <w:left w:val="nil"/>
              <w:bottom w:val="nil"/>
              <w:right w:val="nil"/>
            </w:tcBorders>
            <w:shd w:val="clear" w:color="auto" w:fill="auto"/>
            <w:noWrap/>
            <w:vAlign w:val="bottom"/>
            <w:hideMark/>
          </w:tcPr>
          <w:p w14:paraId="6DFB762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1.5</w:t>
            </w:r>
          </w:p>
        </w:tc>
        <w:tc>
          <w:tcPr>
            <w:tcW w:w="1152" w:type="dxa"/>
            <w:gridSpan w:val="2"/>
            <w:tcBorders>
              <w:top w:val="nil"/>
              <w:left w:val="nil"/>
              <w:bottom w:val="nil"/>
              <w:right w:val="nil"/>
            </w:tcBorders>
            <w:shd w:val="clear" w:color="auto" w:fill="auto"/>
            <w:noWrap/>
            <w:vAlign w:val="bottom"/>
            <w:hideMark/>
          </w:tcPr>
          <w:p w14:paraId="62F1360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5.9</w:t>
            </w:r>
          </w:p>
        </w:tc>
        <w:tc>
          <w:tcPr>
            <w:tcW w:w="1646" w:type="dxa"/>
            <w:tcBorders>
              <w:top w:val="nil"/>
              <w:left w:val="nil"/>
              <w:bottom w:val="nil"/>
              <w:right w:val="nil"/>
            </w:tcBorders>
            <w:shd w:val="clear" w:color="auto" w:fill="auto"/>
            <w:noWrap/>
            <w:vAlign w:val="bottom"/>
            <w:hideMark/>
          </w:tcPr>
          <w:p w14:paraId="5AB34FE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3.7</w:t>
            </w:r>
          </w:p>
        </w:tc>
        <w:tc>
          <w:tcPr>
            <w:tcW w:w="1592" w:type="dxa"/>
            <w:tcBorders>
              <w:top w:val="nil"/>
              <w:left w:val="nil"/>
              <w:bottom w:val="nil"/>
              <w:right w:val="nil"/>
            </w:tcBorders>
            <w:shd w:val="clear" w:color="auto" w:fill="auto"/>
            <w:noWrap/>
            <w:vAlign w:val="bottom"/>
            <w:hideMark/>
          </w:tcPr>
          <w:p w14:paraId="2C0C960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11.0</w:t>
            </w:r>
          </w:p>
        </w:tc>
        <w:tc>
          <w:tcPr>
            <w:tcW w:w="1153" w:type="dxa"/>
            <w:tcBorders>
              <w:top w:val="nil"/>
              <w:left w:val="nil"/>
              <w:bottom w:val="nil"/>
              <w:right w:val="nil"/>
            </w:tcBorders>
            <w:shd w:val="clear" w:color="auto" w:fill="auto"/>
            <w:noWrap/>
            <w:vAlign w:val="bottom"/>
            <w:hideMark/>
          </w:tcPr>
          <w:p w14:paraId="79E446D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14.7</w:t>
            </w:r>
          </w:p>
        </w:tc>
      </w:tr>
      <w:tr w:rsidR="00742C6D" w:rsidRPr="00547A82" w14:paraId="09B094F6"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3F02BEE6"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Large</w:t>
            </w:r>
          </w:p>
        </w:tc>
        <w:tc>
          <w:tcPr>
            <w:tcW w:w="1300" w:type="dxa"/>
            <w:gridSpan w:val="2"/>
            <w:tcBorders>
              <w:top w:val="nil"/>
              <w:left w:val="nil"/>
              <w:bottom w:val="nil"/>
              <w:right w:val="nil"/>
            </w:tcBorders>
            <w:shd w:val="clear" w:color="auto" w:fill="auto"/>
            <w:noWrap/>
            <w:vAlign w:val="bottom"/>
            <w:hideMark/>
          </w:tcPr>
          <w:p w14:paraId="6762519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8.2</w:t>
            </w:r>
          </w:p>
        </w:tc>
        <w:tc>
          <w:tcPr>
            <w:tcW w:w="1440" w:type="dxa"/>
            <w:gridSpan w:val="2"/>
            <w:tcBorders>
              <w:top w:val="nil"/>
              <w:left w:val="nil"/>
              <w:bottom w:val="nil"/>
              <w:right w:val="nil"/>
            </w:tcBorders>
            <w:shd w:val="clear" w:color="auto" w:fill="auto"/>
            <w:noWrap/>
            <w:vAlign w:val="bottom"/>
            <w:hideMark/>
          </w:tcPr>
          <w:p w14:paraId="41E23952"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3.2</w:t>
            </w:r>
          </w:p>
        </w:tc>
        <w:tc>
          <w:tcPr>
            <w:tcW w:w="1152" w:type="dxa"/>
            <w:gridSpan w:val="2"/>
            <w:tcBorders>
              <w:top w:val="nil"/>
              <w:left w:val="nil"/>
              <w:bottom w:val="nil"/>
              <w:right w:val="nil"/>
            </w:tcBorders>
            <w:shd w:val="clear" w:color="auto" w:fill="auto"/>
            <w:noWrap/>
            <w:vAlign w:val="bottom"/>
            <w:hideMark/>
          </w:tcPr>
          <w:p w14:paraId="1EBDE29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11.4</w:t>
            </w:r>
          </w:p>
        </w:tc>
        <w:tc>
          <w:tcPr>
            <w:tcW w:w="1646" w:type="dxa"/>
            <w:tcBorders>
              <w:top w:val="nil"/>
              <w:left w:val="nil"/>
              <w:bottom w:val="nil"/>
              <w:right w:val="nil"/>
            </w:tcBorders>
            <w:shd w:val="clear" w:color="auto" w:fill="auto"/>
            <w:noWrap/>
            <w:vAlign w:val="bottom"/>
            <w:hideMark/>
          </w:tcPr>
          <w:p w14:paraId="75AAB8F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6.7</w:t>
            </w:r>
          </w:p>
        </w:tc>
        <w:tc>
          <w:tcPr>
            <w:tcW w:w="1592" w:type="dxa"/>
            <w:tcBorders>
              <w:top w:val="nil"/>
              <w:left w:val="nil"/>
              <w:bottom w:val="nil"/>
              <w:right w:val="nil"/>
            </w:tcBorders>
            <w:shd w:val="clear" w:color="auto" w:fill="auto"/>
            <w:noWrap/>
            <w:vAlign w:val="bottom"/>
            <w:hideMark/>
          </w:tcPr>
          <w:p w14:paraId="318683B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23.8</w:t>
            </w:r>
          </w:p>
        </w:tc>
        <w:tc>
          <w:tcPr>
            <w:tcW w:w="1153" w:type="dxa"/>
            <w:tcBorders>
              <w:top w:val="nil"/>
              <w:left w:val="nil"/>
              <w:bottom w:val="nil"/>
              <w:right w:val="nil"/>
            </w:tcBorders>
            <w:shd w:val="clear" w:color="auto" w:fill="auto"/>
            <w:noWrap/>
            <w:vAlign w:val="bottom"/>
            <w:hideMark/>
          </w:tcPr>
          <w:p w14:paraId="1078E9D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30.6</w:t>
            </w:r>
          </w:p>
        </w:tc>
      </w:tr>
      <w:tr w:rsidR="00742C6D" w:rsidRPr="00547A82" w14:paraId="1989277B"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564F5464"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Foreign</w:t>
            </w:r>
          </w:p>
        </w:tc>
        <w:tc>
          <w:tcPr>
            <w:tcW w:w="1300" w:type="dxa"/>
            <w:gridSpan w:val="2"/>
            <w:tcBorders>
              <w:top w:val="nil"/>
              <w:left w:val="nil"/>
              <w:bottom w:val="nil"/>
              <w:right w:val="nil"/>
            </w:tcBorders>
            <w:shd w:val="clear" w:color="auto" w:fill="auto"/>
            <w:noWrap/>
            <w:vAlign w:val="bottom"/>
            <w:hideMark/>
          </w:tcPr>
          <w:p w14:paraId="3C6574E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7.0</w:t>
            </w:r>
          </w:p>
        </w:tc>
        <w:tc>
          <w:tcPr>
            <w:tcW w:w="1440" w:type="dxa"/>
            <w:gridSpan w:val="2"/>
            <w:tcBorders>
              <w:top w:val="nil"/>
              <w:left w:val="nil"/>
              <w:bottom w:val="nil"/>
              <w:right w:val="nil"/>
            </w:tcBorders>
            <w:shd w:val="clear" w:color="auto" w:fill="auto"/>
            <w:noWrap/>
            <w:vAlign w:val="bottom"/>
            <w:hideMark/>
          </w:tcPr>
          <w:p w14:paraId="1B43272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4.0</w:t>
            </w:r>
          </w:p>
        </w:tc>
        <w:tc>
          <w:tcPr>
            <w:tcW w:w="1152" w:type="dxa"/>
            <w:gridSpan w:val="2"/>
            <w:tcBorders>
              <w:top w:val="nil"/>
              <w:left w:val="nil"/>
              <w:bottom w:val="nil"/>
              <w:right w:val="nil"/>
            </w:tcBorders>
            <w:shd w:val="clear" w:color="auto" w:fill="auto"/>
            <w:noWrap/>
            <w:vAlign w:val="bottom"/>
            <w:hideMark/>
          </w:tcPr>
          <w:p w14:paraId="7A40C29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11.0</w:t>
            </w:r>
          </w:p>
        </w:tc>
        <w:tc>
          <w:tcPr>
            <w:tcW w:w="1646" w:type="dxa"/>
            <w:tcBorders>
              <w:top w:val="nil"/>
              <w:left w:val="nil"/>
              <w:bottom w:val="nil"/>
              <w:right w:val="nil"/>
            </w:tcBorders>
            <w:shd w:val="clear" w:color="auto" w:fill="auto"/>
            <w:noWrap/>
            <w:vAlign w:val="bottom"/>
            <w:hideMark/>
          </w:tcPr>
          <w:p w14:paraId="21766ED4"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5.8</w:t>
            </w:r>
          </w:p>
        </w:tc>
        <w:tc>
          <w:tcPr>
            <w:tcW w:w="1592" w:type="dxa"/>
            <w:tcBorders>
              <w:top w:val="nil"/>
              <w:left w:val="nil"/>
              <w:bottom w:val="nil"/>
              <w:right w:val="nil"/>
            </w:tcBorders>
            <w:shd w:val="clear" w:color="auto" w:fill="auto"/>
            <w:noWrap/>
            <w:vAlign w:val="bottom"/>
            <w:hideMark/>
          </w:tcPr>
          <w:p w14:paraId="57868F9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29.7</w:t>
            </w:r>
          </w:p>
        </w:tc>
        <w:tc>
          <w:tcPr>
            <w:tcW w:w="1153" w:type="dxa"/>
            <w:tcBorders>
              <w:top w:val="nil"/>
              <w:left w:val="nil"/>
              <w:bottom w:val="nil"/>
              <w:right w:val="nil"/>
            </w:tcBorders>
            <w:shd w:val="clear" w:color="auto" w:fill="auto"/>
            <w:noWrap/>
            <w:vAlign w:val="bottom"/>
            <w:hideMark/>
          </w:tcPr>
          <w:p w14:paraId="60403048"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35.4</w:t>
            </w:r>
          </w:p>
        </w:tc>
      </w:tr>
      <w:tr w:rsidR="00742C6D" w:rsidRPr="00547A82" w14:paraId="391FE33B"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3DBC4DAF"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r w:rsidRPr="00547A82">
              <w:rPr>
                <w:rFonts w:ascii="Times New Roman" w:eastAsia="Times New Roman" w:hAnsi="Times New Roman" w:cs="Times New Roman"/>
                <w:b/>
                <w:bCs/>
                <w:color w:val="000000"/>
                <w:sz w:val="20"/>
                <w:szCs w:val="20"/>
              </w:rPr>
              <w:t>Ethiopia</w:t>
            </w:r>
          </w:p>
        </w:tc>
        <w:tc>
          <w:tcPr>
            <w:tcW w:w="1300" w:type="dxa"/>
            <w:gridSpan w:val="2"/>
            <w:tcBorders>
              <w:top w:val="nil"/>
              <w:left w:val="nil"/>
              <w:bottom w:val="nil"/>
              <w:right w:val="nil"/>
            </w:tcBorders>
            <w:shd w:val="clear" w:color="auto" w:fill="auto"/>
            <w:noWrap/>
            <w:vAlign w:val="bottom"/>
            <w:hideMark/>
          </w:tcPr>
          <w:p w14:paraId="7BFD0EA8" w14:textId="77777777" w:rsidR="00742C6D" w:rsidRPr="00547A82" w:rsidRDefault="00742C6D" w:rsidP="00742C6D">
            <w:pPr>
              <w:spacing w:after="0" w:line="240" w:lineRule="auto"/>
              <w:rPr>
                <w:rFonts w:ascii="Times New Roman" w:eastAsia="Times New Roman" w:hAnsi="Times New Roman" w:cs="Times New Roman"/>
                <w:b/>
                <w:bCs/>
                <w:color w:val="000000"/>
                <w:sz w:val="20"/>
                <w:szCs w:val="20"/>
              </w:rPr>
            </w:pPr>
          </w:p>
        </w:tc>
        <w:tc>
          <w:tcPr>
            <w:tcW w:w="1440" w:type="dxa"/>
            <w:gridSpan w:val="2"/>
            <w:tcBorders>
              <w:top w:val="nil"/>
              <w:left w:val="nil"/>
              <w:bottom w:val="nil"/>
              <w:right w:val="nil"/>
            </w:tcBorders>
            <w:shd w:val="clear" w:color="auto" w:fill="auto"/>
            <w:noWrap/>
            <w:vAlign w:val="bottom"/>
            <w:hideMark/>
          </w:tcPr>
          <w:p w14:paraId="36284C4D"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52" w:type="dxa"/>
            <w:gridSpan w:val="2"/>
            <w:tcBorders>
              <w:top w:val="nil"/>
              <w:left w:val="nil"/>
              <w:bottom w:val="nil"/>
              <w:right w:val="nil"/>
            </w:tcBorders>
            <w:shd w:val="clear" w:color="auto" w:fill="auto"/>
            <w:noWrap/>
            <w:vAlign w:val="bottom"/>
            <w:hideMark/>
          </w:tcPr>
          <w:p w14:paraId="4303F6D2"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646" w:type="dxa"/>
            <w:tcBorders>
              <w:top w:val="nil"/>
              <w:left w:val="nil"/>
              <w:bottom w:val="nil"/>
              <w:right w:val="nil"/>
            </w:tcBorders>
            <w:shd w:val="clear" w:color="auto" w:fill="auto"/>
            <w:noWrap/>
            <w:vAlign w:val="bottom"/>
            <w:hideMark/>
          </w:tcPr>
          <w:p w14:paraId="0A20AFC2"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592" w:type="dxa"/>
            <w:tcBorders>
              <w:top w:val="nil"/>
              <w:left w:val="nil"/>
              <w:bottom w:val="nil"/>
              <w:right w:val="nil"/>
            </w:tcBorders>
            <w:shd w:val="clear" w:color="auto" w:fill="auto"/>
            <w:noWrap/>
            <w:vAlign w:val="bottom"/>
            <w:hideMark/>
          </w:tcPr>
          <w:p w14:paraId="2303544F" w14:textId="77777777" w:rsidR="00742C6D" w:rsidRPr="00547A82" w:rsidRDefault="00742C6D" w:rsidP="00742C6D">
            <w:pPr>
              <w:spacing w:after="0" w:line="240" w:lineRule="auto"/>
              <w:rPr>
                <w:rFonts w:ascii="Times New Roman" w:eastAsia="Times New Roman" w:hAnsi="Times New Roman" w:cs="Times New Roman"/>
                <w:sz w:val="20"/>
                <w:szCs w:val="20"/>
              </w:rPr>
            </w:pPr>
          </w:p>
        </w:tc>
        <w:tc>
          <w:tcPr>
            <w:tcW w:w="1153" w:type="dxa"/>
            <w:tcBorders>
              <w:top w:val="nil"/>
              <w:left w:val="nil"/>
              <w:bottom w:val="nil"/>
              <w:right w:val="nil"/>
            </w:tcBorders>
            <w:shd w:val="clear" w:color="auto" w:fill="auto"/>
            <w:noWrap/>
            <w:vAlign w:val="bottom"/>
            <w:hideMark/>
          </w:tcPr>
          <w:p w14:paraId="51C62254" w14:textId="77777777" w:rsidR="00742C6D" w:rsidRPr="00547A82" w:rsidRDefault="00742C6D" w:rsidP="00742C6D">
            <w:pPr>
              <w:spacing w:after="0" w:line="240" w:lineRule="auto"/>
              <w:rPr>
                <w:rFonts w:ascii="Times New Roman" w:eastAsia="Times New Roman" w:hAnsi="Times New Roman" w:cs="Times New Roman"/>
                <w:sz w:val="20"/>
                <w:szCs w:val="20"/>
              </w:rPr>
            </w:pPr>
          </w:p>
        </w:tc>
      </w:tr>
      <w:tr w:rsidR="00742C6D" w:rsidRPr="00547A82" w14:paraId="24E2D489"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175D2BCC"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Total</w:t>
            </w:r>
          </w:p>
        </w:tc>
        <w:tc>
          <w:tcPr>
            <w:tcW w:w="1300" w:type="dxa"/>
            <w:gridSpan w:val="2"/>
            <w:tcBorders>
              <w:top w:val="nil"/>
              <w:left w:val="nil"/>
              <w:bottom w:val="nil"/>
              <w:right w:val="nil"/>
            </w:tcBorders>
            <w:shd w:val="clear" w:color="auto" w:fill="auto"/>
            <w:noWrap/>
            <w:vAlign w:val="bottom"/>
            <w:hideMark/>
          </w:tcPr>
          <w:p w14:paraId="6C65F10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5.7</w:t>
            </w:r>
          </w:p>
        </w:tc>
        <w:tc>
          <w:tcPr>
            <w:tcW w:w="1440" w:type="dxa"/>
            <w:gridSpan w:val="2"/>
            <w:tcBorders>
              <w:top w:val="nil"/>
              <w:left w:val="nil"/>
              <w:bottom w:val="nil"/>
              <w:right w:val="nil"/>
            </w:tcBorders>
            <w:shd w:val="clear" w:color="auto" w:fill="auto"/>
            <w:noWrap/>
            <w:vAlign w:val="bottom"/>
            <w:hideMark/>
          </w:tcPr>
          <w:p w14:paraId="1DDC4AB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1.9</w:t>
            </w:r>
          </w:p>
        </w:tc>
        <w:tc>
          <w:tcPr>
            <w:tcW w:w="1152" w:type="dxa"/>
            <w:gridSpan w:val="2"/>
            <w:tcBorders>
              <w:top w:val="nil"/>
              <w:left w:val="nil"/>
              <w:bottom w:val="nil"/>
              <w:right w:val="nil"/>
            </w:tcBorders>
            <w:shd w:val="clear" w:color="auto" w:fill="auto"/>
            <w:noWrap/>
            <w:vAlign w:val="bottom"/>
            <w:hideMark/>
          </w:tcPr>
          <w:p w14:paraId="272A6E8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7.6</w:t>
            </w:r>
          </w:p>
        </w:tc>
        <w:tc>
          <w:tcPr>
            <w:tcW w:w="1646" w:type="dxa"/>
            <w:tcBorders>
              <w:top w:val="nil"/>
              <w:left w:val="nil"/>
              <w:bottom w:val="nil"/>
              <w:right w:val="nil"/>
            </w:tcBorders>
            <w:shd w:val="clear" w:color="auto" w:fill="auto"/>
            <w:noWrap/>
            <w:vAlign w:val="bottom"/>
            <w:hideMark/>
          </w:tcPr>
          <w:p w14:paraId="21DDE43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2.7</w:t>
            </w:r>
          </w:p>
        </w:tc>
        <w:tc>
          <w:tcPr>
            <w:tcW w:w="1592" w:type="dxa"/>
            <w:tcBorders>
              <w:top w:val="nil"/>
              <w:left w:val="nil"/>
              <w:bottom w:val="nil"/>
              <w:right w:val="nil"/>
            </w:tcBorders>
            <w:shd w:val="clear" w:color="auto" w:fill="auto"/>
            <w:noWrap/>
            <w:vAlign w:val="bottom"/>
            <w:hideMark/>
          </w:tcPr>
          <w:p w14:paraId="5887EE6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10.9</w:t>
            </w:r>
          </w:p>
        </w:tc>
        <w:tc>
          <w:tcPr>
            <w:tcW w:w="1153" w:type="dxa"/>
            <w:tcBorders>
              <w:top w:val="nil"/>
              <w:left w:val="nil"/>
              <w:bottom w:val="nil"/>
              <w:right w:val="nil"/>
            </w:tcBorders>
            <w:shd w:val="clear" w:color="auto" w:fill="auto"/>
            <w:noWrap/>
            <w:vAlign w:val="bottom"/>
            <w:hideMark/>
          </w:tcPr>
          <w:p w14:paraId="71D21E5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13.6</w:t>
            </w:r>
          </w:p>
        </w:tc>
      </w:tr>
      <w:tr w:rsidR="00742C6D" w:rsidRPr="00547A82" w14:paraId="1C38D53E"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2D005906"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Small</w:t>
            </w:r>
          </w:p>
        </w:tc>
        <w:tc>
          <w:tcPr>
            <w:tcW w:w="1300" w:type="dxa"/>
            <w:gridSpan w:val="2"/>
            <w:tcBorders>
              <w:top w:val="nil"/>
              <w:left w:val="nil"/>
              <w:bottom w:val="nil"/>
              <w:right w:val="nil"/>
            </w:tcBorders>
            <w:shd w:val="clear" w:color="auto" w:fill="auto"/>
            <w:noWrap/>
            <w:vAlign w:val="bottom"/>
            <w:hideMark/>
          </w:tcPr>
          <w:p w14:paraId="0163F91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5.5</w:t>
            </w:r>
          </w:p>
        </w:tc>
        <w:tc>
          <w:tcPr>
            <w:tcW w:w="1440" w:type="dxa"/>
            <w:gridSpan w:val="2"/>
            <w:tcBorders>
              <w:top w:val="nil"/>
              <w:left w:val="nil"/>
              <w:bottom w:val="nil"/>
              <w:right w:val="nil"/>
            </w:tcBorders>
            <w:shd w:val="clear" w:color="auto" w:fill="auto"/>
            <w:noWrap/>
            <w:vAlign w:val="bottom"/>
            <w:hideMark/>
          </w:tcPr>
          <w:p w14:paraId="735702B9"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1.7</w:t>
            </w:r>
          </w:p>
        </w:tc>
        <w:tc>
          <w:tcPr>
            <w:tcW w:w="1152" w:type="dxa"/>
            <w:gridSpan w:val="2"/>
            <w:tcBorders>
              <w:top w:val="nil"/>
              <w:left w:val="nil"/>
              <w:bottom w:val="nil"/>
              <w:right w:val="nil"/>
            </w:tcBorders>
            <w:shd w:val="clear" w:color="auto" w:fill="auto"/>
            <w:noWrap/>
            <w:vAlign w:val="bottom"/>
            <w:hideMark/>
          </w:tcPr>
          <w:p w14:paraId="6C10759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7.3</w:t>
            </w:r>
          </w:p>
        </w:tc>
        <w:tc>
          <w:tcPr>
            <w:tcW w:w="1646" w:type="dxa"/>
            <w:tcBorders>
              <w:top w:val="nil"/>
              <w:left w:val="nil"/>
              <w:bottom w:val="nil"/>
              <w:right w:val="nil"/>
            </w:tcBorders>
            <w:shd w:val="clear" w:color="auto" w:fill="auto"/>
            <w:noWrap/>
            <w:vAlign w:val="bottom"/>
            <w:hideMark/>
          </w:tcPr>
          <w:p w14:paraId="4E7BBC9B"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2.7</w:t>
            </w:r>
          </w:p>
        </w:tc>
        <w:tc>
          <w:tcPr>
            <w:tcW w:w="1592" w:type="dxa"/>
            <w:tcBorders>
              <w:top w:val="nil"/>
              <w:left w:val="nil"/>
              <w:bottom w:val="nil"/>
              <w:right w:val="nil"/>
            </w:tcBorders>
            <w:shd w:val="clear" w:color="auto" w:fill="auto"/>
            <w:noWrap/>
            <w:vAlign w:val="bottom"/>
            <w:hideMark/>
          </w:tcPr>
          <w:p w14:paraId="7BFF5A4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10.0</w:t>
            </w:r>
          </w:p>
        </w:tc>
        <w:tc>
          <w:tcPr>
            <w:tcW w:w="1153" w:type="dxa"/>
            <w:tcBorders>
              <w:top w:val="nil"/>
              <w:left w:val="nil"/>
              <w:bottom w:val="nil"/>
              <w:right w:val="nil"/>
            </w:tcBorders>
            <w:shd w:val="clear" w:color="auto" w:fill="auto"/>
            <w:noWrap/>
            <w:vAlign w:val="bottom"/>
            <w:hideMark/>
          </w:tcPr>
          <w:p w14:paraId="0E382D9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12.7</w:t>
            </w:r>
          </w:p>
        </w:tc>
      </w:tr>
      <w:tr w:rsidR="00742C6D" w:rsidRPr="00547A82" w14:paraId="7149EA20"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4B595C87"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Large</w:t>
            </w:r>
          </w:p>
        </w:tc>
        <w:tc>
          <w:tcPr>
            <w:tcW w:w="1300" w:type="dxa"/>
            <w:gridSpan w:val="2"/>
            <w:tcBorders>
              <w:top w:val="nil"/>
              <w:left w:val="nil"/>
              <w:bottom w:val="nil"/>
              <w:right w:val="nil"/>
            </w:tcBorders>
            <w:shd w:val="clear" w:color="auto" w:fill="auto"/>
            <w:noWrap/>
            <w:vAlign w:val="bottom"/>
            <w:hideMark/>
          </w:tcPr>
          <w:p w14:paraId="3E3F78F1"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5.8</w:t>
            </w:r>
          </w:p>
        </w:tc>
        <w:tc>
          <w:tcPr>
            <w:tcW w:w="1440" w:type="dxa"/>
            <w:gridSpan w:val="2"/>
            <w:tcBorders>
              <w:top w:val="nil"/>
              <w:left w:val="nil"/>
              <w:bottom w:val="nil"/>
              <w:right w:val="nil"/>
            </w:tcBorders>
            <w:shd w:val="clear" w:color="auto" w:fill="auto"/>
            <w:noWrap/>
            <w:vAlign w:val="bottom"/>
            <w:hideMark/>
          </w:tcPr>
          <w:p w14:paraId="240F7D7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1.9</w:t>
            </w:r>
          </w:p>
        </w:tc>
        <w:tc>
          <w:tcPr>
            <w:tcW w:w="1152" w:type="dxa"/>
            <w:gridSpan w:val="2"/>
            <w:tcBorders>
              <w:top w:val="nil"/>
              <w:left w:val="nil"/>
              <w:bottom w:val="nil"/>
              <w:right w:val="nil"/>
            </w:tcBorders>
            <w:shd w:val="clear" w:color="auto" w:fill="auto"/>
            <w:noWrap/>
            <w:vAlign w:val="bottom"/>
            <w:hideMark/>
          </w:tcPr>
          <w:p w14:paraId="014DBFEA"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7.7</w:t>
            </w:r>
          </w:p>
        </w:tc>
        <w:tc>
          <w:tcPr>
            <w:tcW w:w="1646" w:type="dxa"/>
            <w:tcBorders>
              <w:top w:val="nil"/>
              <w:left w:val="nil"/>
              <w:bottom w:val="nil"/>
              <w:right w:val="nil"/>
            </w:tcBorders>
            <w:shd w:val="clear" w:color="auto" w:fill="auto"/>
            <w:noWrap/>
            <w:vAlign w:val="bottom"/>
            <w:hideMark/>
          </w:tcPr>
          <w:p w14:paraId="1EC81A8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2.7</w:t>
            </w:r>
          </w:p>
        </w:tc>
        <w:tc>
          <w:tcPr>
            <w:tcW w:w="1592" w:type="dxa"/>
            <w:tcBorders>
              <w:top w:val="nil"/>
              <w:left w:val="nil"/>
              <w:bottom w:val="nil"/>
              <w:right w:val="nil"/>
            </w:tcBorders>
            <w:shd w:val="clear" w:color="auto" w:fill="auto"/>
            <w:noWrap/>
            <w:vAlign w:val="bottom"/>
            <w:hideMark/>
          </w:tcPr>
          <w:p w14:paraId="7DAE481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11.0</w:t>
            </w:r>
          </w:p>
        </w:tc>
        <w:tc>
          <w:tcPr>
            <w:tcW w:w="1153" w:type="dxa"/>
            <w:tcBorders>
              <w:top w:val="nil"/>
              <w:left w:val="nil"/>
              <w:bottom w:val="nil"/>
              <w:right w:val="nil"/>
            </w:tcBorders>
            <w:shd w:val="clear" w:color="auto" w:fill="auto"/>
            <w:noWrap/>
            <w:vAlign w:val="bottom"/>
            <w:hideMark/>
          </w:tcPr>
          <w:p w14:paraId="221095A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13.7</w:t>
            </w:r>
          </w:p>
        </w:tc>
      </w:tr>
      <w:tr w:rsidR="00742C6D" w:rsidRPr="00547A82" w14:paraId="27FED692" w14:textId="77777777" w:rsidTr="006762AC">
        <w:trPr>
          <w:trHeight w:val="20"/>
          <w:jc w:val="center"/>
        </w:trPr>
        <w:tc>
          <w:tcPr>
            <w:tcW w:w="1170" w:type="dxa"/>
            <w:tcBorders>
              <w:top w:val="nil"/>
              <w:left w:val="nil"/>
              <w:bottom w:val="nil"/>
              <w:right w:val="nil"/>
            </w:tcBorders>
            <w:shd w:val="clear" w:color="auto" w:fill="auto"/>
            <w:noWrap/>
            <w:vAlign w:val="bottom"/>
            <w:hideMark/>
          </w:tcPr>
          <w:p w14:paraId="3BA7D240"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Foreign</w:t>
            </w:r>
          </w:p>
        </w:tc>
        <w:tc>
          <w:tcPr>
            <w:tcW w:w="1300" w:type="dxa"/>
            <w:gridSpan w:val="2"/>
            <w:tcBorders>
              <w:top w:val="nil"/>
              <w:left w:val="nil"/>
              <w:bottom w:val="nil"/>
              <w:right w:val="nil"/>
            </w:tcBorders>
            <w:shd w:val="clear" w:color="auto" w:fill="auto"/>
            <w:noWrap/>
            <w:vAlign w:val="bottom"/>
            <w:hideMark/>
          </w:tcPr>
          <w:p w14:paraId="3039A835"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6.2</w:t>
            </w:r>
          </w:p>
        </w:tc>
        <w:tc>
          <w:tcPr>
            <w:tcW w:w="1440" w:type="dxa"/>
            <w:gridSpan w:val="2"/>
            <w:tcBorders>
              <w:top w:val="nil"/>
              <w:left w:val="nil"/>
              <w:bottom w:val="nil"/>
              <w:right w:val="nil"/>
            </w:tcBorders>
            <w:shd w:val="clear" w:color="auto" w:fill="auto"/>
            <w:noWrap/>
            <w:vAlign w:val="bottom"/>
            <w:hideMark/>
          </w:tcPr>
          <w:p w14:paraId="2EF6D39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1.7</w:t>
            </w:r>
          </w:p>
        </w:tc>
        <w:tc>
          <w:tcPr>
            <w:tcW w:w="1152" w:type="dxa"/>
            <w:gridSpan w:val="2"/>
            <w:tcBorders>
              <w:top w:val="nil"/>
              <w:left w:val="nil"/>
              <w:bottom w:val="nil"/>
              <w:right w:val="nil"/>
            </w:tcBorders>
            <w:shd w:val="clear" w:color="auto" w:fill="auto"/>
            <w:noWrap/>
            <w:vAlign w:val="bottom"/>
            <w:hideMark/>
          </w:tcPr>
          <w:p w14:paraId="4E21307C"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8.0</w:t>
            </w:r>
          </w:p>
        </w:tc>
        <w:tc>
          <w:tcPr>
            <w:tcW w:w="1646" w:type="dxa"/>
            <w:tcBorders>
              <w:top w:val="nil"/>
              <w:left w:val="nil"/>
              <w:bottom w:val="nil"/>
              <w:right w:val="nil"/>
            </w:tcBorders>
            <w:shd w:val="clear" w:color="auto" w:fill="auto"/>
            <w:noWrap/>
            <w:vAlign w:val="bottom"/>
            <w:hideMark/>
          </w:tcPr>
          <w:p w14:paraId="6A4DE7F3"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3.1</w:t>
            </w:r>
          </w:p>
        </w:tc>
        <w:tc>
          <w:tcPr>
            <w:tcW w:w="1592" w:type="dxa"/>
            <w:tcBorders>
              <w:top w:val="nil"/>
              <w:left w:val="nil"/>
              <w:bottom w:val="nil"/>
              <w:right w:val="nil"/>
            </w:tcBorders>
            <w:shd w:val="clear" w:color="auto" w:fill="auto"/>
            <w:noWrap/>
            <w:vAlign w:val="bottom"/>
            <w:hideMark/>
          </w:tcPr>
          <w:p w14:paraId="49C84C7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10.0</w:t>
            </w:r>
          </w:p>
        </w:tc>
        <w:tc>
          <w:tcPr>
            <w:tcW w:w="1153" w:type="dxa"/>
            <w:tcBorders>
              <w:top w:val="nil"/>
              <w:left w:val="nil"/>
              <w:bottom w:val="nil"/>
              <w:right w:val="nil"/>
            </w:tcBorders>
            <w:shd w:val="clear" w:color="auto" w:fill="auto"/>
            <w:noWrap/>
            <w:vAlign w:val="bottom"/>
            <w:hideMark/>
          </w:tcPr>
          <w:p w14:paraId="242B30E0"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13.2</w:t>
            </w:r>
          </w:p>
        </w:tc>
      </w:tr>
      <w:tr w:rsidR="00742C6D" w:rsidRPr="00547A82" w14:paraId="5F4EA574" w14:textId="77777777" w:rsidTr="006762AC">
        <w:trPr>
          <w:trHeight w:val="20"/>
          <w:jc w:val="center"/>
        </w:trPr>
        <w:tc>
          <w:tcPr>
            <w:tcW w:w="1170" w:type="dxa"/>
            <w:tcBorders>
              <w:top w:val="nil"/>
              <w:left w:val="nil"/>
              <w:bottom w:val="single" w:sz="4" w:space="0" w:color="auto"/>
              <w:right w:val="nil"/>
            </w:tcBorders>
            <w:shd w:val="clear" w:color="auto" w:fill="auto"/>
            <w:noWrap/>
            <w:vAlign w:val="bottom"/>
            <w:hideMark/>
          </w:tcPr>
          <w:p w14:paraId="767A66AB" w14:textId="77777777" w:rsidR="00742C6D" w:rsidRPr="00547A82" w:rsidRDefault="00742C6D" w:rsidP="00742C6D">
            <w:pPr>
              <w:spacing w:after="0" w:line="240" w:lineRule="auto"/>
              <w:rPr>
                <w:rFonts w:ascii="Times New Roman" w:eastAsia="Times New Roman" w:hAnsi="Times New Roman" w:cs="Times New Roman"/>
                <w:color w:val="000000"/>
                <w:sz w:val="20"/>
                <w:szCs w:val="20"/>
              </w:rPr>
            </w:pPr>
            <w:r w:rsidRPr="00547A82">
              <w:rPr>
                <w:rFonts w:ascii="Times New Roman" w:eastAsia="Times New Roman" w:hAnsi="Times New Roman" w:cs="Times New Roman"/>
                <w:color w:val="000000"/>
                <w:sz w:val="20"/>
                <w:szCs w:val="20"/>
              </w:rPr>
              <w:t>Exporting</w:t>
            </w:r>
          </w:p>
        </w:tc>
        <w:tc>
          <w:tcPr>
            <w:tcW w:w="1300" w:type="dxa"/>
            <w:gridSpan w:val="2"/>
            <w:tcBorders>
              <w:top w:val="nil"/>
              <w:left w:val="nil"/>
              <w:bottom w:val="single" w:sz="4" w:space="0" w:color="auto"/>
              <w:right w:val="nil"/>
            </w:tcBorders>
            <w:shd w:val="clear" w:color="auto" w:fill="auto"/>
            <w:noWrap/>
            <w:vAlign w:val="bottom"/>
            <w:hideMark/>
          </w:tcPr>
          <w:p w14:paraId="50C1A0D6"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7.1</w:t>
            </w:r>
          </w:p>
        </w:tc>
        <w:tc>
          <w:tcPr>
            <w:tcW w:w="1440" w:type="dxa"/>
            <w:gridSpan w:val="2"/>
            <w:tcBorders>
              <w:top w:val="nil"/>
              <w:left w:val="nil"/>
              <w:bottom w:val="single" w:sz="4" w:space="0" w:color="auto"/>
              <w:right w:val="nil"/>
            </w:tcBorders>
            <w:shd w:val="clear" w:color="auto" w:fill="auto"/>
            <w:noWrap/>
            <w:vAlign w:val="bottom"/>
            <w:hideMark/>
          </w:tcPr>
          <w:p w14:paraId="2F440F2E"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2.1</w:t>
            </w:r>
          </w:p>
        </w:tc>
        <w:tc>
          <w:tcPr>
            <w:tcW w:w="1152" w:type="dxa"/>
            <w:gridSpan w:val="2"/>
            <w:tcBorders>
              <w:top w:val="nil"/>
              <w:left w:val="nil"/>
              <w:bottom w:val="single" w:sz="4" w:space="0" w:color="auto"/>
              <w:right w:val="nil"/>
            </w:tcBorders>
            <w:shd w:val="clear" w:color="auto" w:fill="auto"/>
            <w:noWrap/>
            <w:vAlign w:val="bottom"/>
            <w:hideMark/>
          </w:tcPr>
          <w:p w14:paraId="61071E97"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9.1</w:t>
            </w:r>
          </w:p>
        </w:tc>
        <w:tc>
          <w:tcPr>
            <w:tcW w:w="1646" w:type="dxa"/>
            <w:tcBorders>
              <w:top w:val="nil"/>
              <w:left w:val="nil"/>
              <w:bottom w:val="single" w:sz="4" w:space="0" w:color="auto"/>
              <w:right w:val="nil"/>
            </w:tcBorders>
            <w:shd w:val="clear" w:color="auto" w:fill="auto"/>
            <w:noWrap/>
            <w:vAlign w:val="bottom"/>
            <w:hideMark/>
          </w:tcPr>
          <w:p w14:paraId="692D809D"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3.5</w:t>
            </w:r>
          </w:p>
        </w:tc>
        <w:tc>
          <w:tcPr>
            <w:tcW w:w="1592" w:type="dxa"/>
            <w:tcBorders>
              <w:top w:val="nil"/>
              <w:left w:val="nil"/>
              <w:bottom w:val="single" w:sz="4" w:space="0" w:color="auto"/>
              <w:right w:val="nil"/>
            </w:tcBorders>
            <w:shd w:val="clear" w:color="auto" w:fill="auto"/>
            <w:noWrap/>
            <w:vAlign w:val="bottom"/>
            <w:hideMark/>
          </w:tcPr>
          <w:p w14:paraId="11ABE73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11.9</w:t>
            </w:r>
          </w:p>
        </w:tc>
        <w:tc>
          <w:tcPr>
            <w:tcW w:w="1153" w:type="dxa"/>
            <w:tcBorders>
              <w:top w:val="nil"/>
              <w:left w:val="nil"/>
              <w:bottom w:val="single" w:sz="4" w:space="0" w:color="auto"/>
              <w:right w:val="nil"/>
            </w:tcBorders>
            <w:shd w:val="clear" w:color="auto" w:fill="auto"/>
            <w:noWrap/>
            <w:vAlign w:val="bottom"/>
            <w:hideMark/>
          </w:tcPr>
          <w:p w14:paraId="0AD3180F" w14:textId="77777777" w:rsidR="00742C6D" w:rsidRPr="00547A82" w:rsidRDefault="00742C6D" w:rsidP="00742C6D">
            <w:pPr>
              <w:spacing w:after="0" w:line="240" w:lineRule="auto"/>
              <w:jc w:val="right"/>
              <w:rPr>
                <w:rFonts w:ascii="Times New Roman" w:eastAsia="Times New Roman" w:hAnsi="Times New Roman" w:cs="Times New Roman"/>
                <w:color w:val="000000"/>
                <w:sz w:val="20"/>
                <w:szCs w:val="20"/>
              </w:rPr>
            </w:pPr>
            <w:r w:rsidRPr="00547A82">
              <w:rPr>
                <w:rFonts w:ascii="Times New Roman" w:hAnsi="Times New Roman" w:cs="Times New Roman"/>
                <w:color w:val="000000"/>
                <w:sz w:val="20"/>
                <w:szCs w:val="20"/>
              </w:rPr>
              <w:t>15.4</w:t>
            </w:r>
          </w:p>
        </w:tc>
      </w:tr>
    </w:tbl>
    <w:bookmarkEnd w:id="15"/>
    <w:p w14:paraId="672E4135" w14:textId="22E702A4" w:rsidR="00742C6D" w:rsidRPr="00B019FF" w:rsidRDefault="00742C6D" w:rsidP="00833683">
      <w:pPr>
        <w:spacing w:after="0" w:line="240" w:lineRule="auto"/>
        <w:ind w:firstLine="720"/>
        <w:rPr>
          <w:rFonts w:ascii="Times New Roman" w:hAnsi="Times New Roman" w:cs="Times New Roman"/>
          <w:sz w:val="20"/>
          <w:szCs w:val="20"/>
        </w:rPr>
      </w:pPr>
      <w:r w:rsidRPr="00F95321">
        <w:rPr>
          <w:rFonts w:ascii="Times New Roman" w:hAnsi="Times New Roman" w:cs="Times New Roman"/>
          <w:i/>
          <w:iCs/>
          <w:sz w:val="20"/>
          <w:szCs w:val="20"/>
        </w:rPr>
        <w:t>Note</w:t>
      </w:r>
      <w:r w:rsidRPr="00B019FF">
        <w:rPr>
          <w:rFonts w:ascii="Times New Roman" w:hAnsi="Times New Roman" w:cs="Times New Roman"/>
          <w:sz w:val="20"/>
          <w:szCs w:val="20"/>
        </w:rPr>
        <w:t xml:space="preserve">: HUN's sector data is not available. </w:t>
      </w:r>
    </w:p>
    <w:p w14:paraId="2728CE22" w14:textId="3939E4DC" w:rsidR="004174CA" w:rsidRDefault="004174CA">
      <w:pPr>
        <w:rPr>
          <w:rFonts w:ascii="Times New Roman" w:hAnsi="Times New Roman" w:cs="Times New Roman"/>
          <w:sz w:val="24"/>
          <w:szCs w:val="24"/>
        </w:rPr>
      </w:pPr>
      <w:r>
        <w:rPr>
          <w:rFonts w:ascii="Times New Roman" w:hAnsi="Times New Roman" w:cs="Times New Roman"/>
          <w:sz w:val="24"/>
          <w:szCs w:val="24"/>
        </w:rPr>
        <w:br w:type="page"/>
      </w:r>
    </w:p>
    <w:p w14:paraId="029DFE37" w14:textId="4F1E9C3C" w:rsidR="009F646D" w:rsidRDefault="004174CA" w:rsidP="000E460A">
      <w:pPr>
        <w:spacing w:after="0"/>
        <w:jc w:val="center"/>
        <w:rPr>
          <w:rFonts w:ascii="Times New Roman" w:hAnsi="Times New Roman" w:cs="Times New Roman"/>
          <w:b/>
          <w:bCs/>
          <w:sz w:val="24"/>
          <w:szCs w:val="24"/>
        </w:rPr>
      </w:pPr>
      <w:r w:rsidRPr="004174CA">
        <w:rPr>
          <w:rFonts w:ascii="Times New Roman" w:hAnsi="Times New Roman" w:cs="Times New Roman"/>
          <w:b/>
          <w:bCs/>
          <w:sz w:val="24"/>
          <w:szCs w:val="24"/>
        </w:rPr>
        <w:lastRenderedPageBreak/>
        <w:t xml:space="preserve">Table </w:t>
      </w:r>
      <w:r w:rsidR="00206C87">
        <w:rPr>
          <w:rFonts w:ascii="Times New Roman" w:hAnsi="Times New Roman" w:cs="Times New Roman"/>
          <w:b/>
          <w:bCs/>
          <w:sz w:val="24"/>
          <w:szCs w:val="24"/>
        </w:rPr>
        <w:t>2.1</w:t>
      </w:r>
      <w:r w:rsidRPr="004174CA">
        <w:rPr>
          <w:rFonts w:ascii="Times New Roman" w:hAnsi="Times New Roman" w:cs="Times New Roman"/>
          <w:b/>
          <w:bCs/>
          <w:sz w:val="24"/>
          <w:szCs w:val="24"/>
        </w:rPr>
        <w:t xml:space="preserve"> </w:t>
      </w:r>
      <w:r w:rsidR="009F646D">
        <w:rPr>
          <w:rFonts w:ascii="Times New Roman" w:hAnsi="Times New Roman" w:cs="Times New Roman"/>
          <w:b/>
          <w:bCs/>
          <w:sz w:val="24"/>
          <w:szCs w:val="24"/>
        </w:rPr>
        <w:t>Firm-level growth with all characteristic interactions</w:t>
      </w:r>
    </w:p>
    <w:tbl>
      <w:tblPr>
        <w:tblW w:w="9792" w:type="dxa"/>
        <w:jc w:val="center"/>
        <w:tblLayout w:type="fixed"/>
        <w:tblCellMar>
          <w:left w:w="75" w:type="dxa"/>
          <w:right w:w="75" w:type="dxa"/>
        </w:tblCellMar>
        <w:tblLook w:val="0000" w:firstRow="0" w:lastRow="0" w:firstColumn="0" w:lastColumn="0" w:noHBand="0" w:noVBand="0"/>
      </w:tblPr>
      <w:tblGrid>
        <w:gridCol w:w="2880"/>
        <w:gridCol w:w="1728"/>
        <w:gridCol w:w="1728"/>
        <w:gridCol w:w="1728"/>
        <w:gridCol w:w="1728"/>
      </w:tblGrid>
      <w:tr w:rsidR="009F646D" w:rsidRPr="009F646D" w14:paraId="193C491A" w14:textId="77777777" w:rsidTr="00904F24">
        <w:trPr>
          <w:trHeight w:val="20"/>
          <w:jc w:val="center"/>
        </w:trPr>
        <w:tc>
          <w:tcPr>
            <w:tcW w:w="2880" w:type="dxa"/>
            <w:tcBorders>
              <w:top w:val="single" w:sz="6" w:space="0" w:color="auto"/>
              <w:left w:val="nil"/>
              <w:bottom w:val="nil"/>
              <w:right w:val="nil"/>
            </w:tcBorders>
          </w:tcPr>
          <w:p w14:paraId="6009DC4B" w14:textId="77777777" w:rsidR="009F646D" w:rsidRPr="00D417B0" w:rsidRDefault="009F646D" w:rsidP="00904F24">
            <w:pPr>
              <w:widowControl w:val="0"/>
              <w:autoSpaceDE w:val="0"/>
              <w:autoSpaceDN w:val="0"/>
              <w:adjustRightInd w:val="0"/>
              <w:spacing w:after="0" w:line="240" w:lineRule="auto"/>
              <w:rPr>
                <w:rFonts w:ascii="Times New Roman" w:hAnsi="Times New Roman" w:cs="Times New Roman"/>
                <w:sz w:val="20"/>
                <w:szCs w:val="20"/>
              </w:rPr>
            </w:pPr>
          </w:p>
        </w:tc>
        <w:tc>
          <w:tcPr>
            <w:tcW w:w="1728" w:type="dxa"/>
            <w:tcBorders>
              <w:top w:val="single" w:sz="6" w:space="0" w:color="auto"/>
              <w:left w:val="nil"/>
              <w:bottom w:val="nil"/>
              <w:right w:val="nil"/>
            </w:tcBorders>
          </w:tcPr>
          <w:p w14:paraId="75550D92" w14:textId="77777777" w:rsidR="009F646D" w:rsidRPr="00D417B0" w:rsidRDefault="009F646D"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(1)</w:t>
            </w:r>
          </w:p>
        </w:tc>
        <w:tc>
          <w:tcPr>
            <w:tcW w:w="1728" w:type="dxa"/>
            <w:tcBorders>
              <w:top w:val="single" w:sz="6" w:space="0" w:color="auto"/>
              <w:left w:val="nil"/>
              <w:bottom w:val="nil"/>
              <w:right w:val="nil"/>
            </w:tcBorders>
          </w:tcPr>
          <w:p w14:paraId="5AF6A28F" w14:textId="77777777" w:rsidR="009F646D" w:rsidRPr="00D417B0" w:rsidRDefault="009F646D"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(2)</w:t>
            </w:r>
          </w:p>
        </w:tc>
        <w:tc>
          <w:tcPr>
            <w:tcW w:w="1728" w:type="dxa"/>
            <w:tcBorders>
              <w:top w:val="single" w:sz="6" w:space="0" w:color="auto"/>
              <w:left w:val="nil"/>
              <w:bottom w:val="nil"/>
              <w:right w:val="nil"/>
            </w:tcBorders>
          </w:tcPr>
          <w:p w14:paraId="42C71FFD" w14:textId="77777777" w:rsidR="009F646D" w:rsidRPr="00D417B0" w:rsidRDefault="009F646D"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(3)</w:t>
            </w:r>
          </w:p>
        </w:tc>
        <w:tc>
          <w:tcPr>
            <w:tcW w:w="1728" w:type="dxa"/>
            <w:tcBorders>
              <w:top w:val="single" w:sz="6" w:space="0" w:color="auto"/>
              <w:left w:val="nil"/>
              <w:bottom w:val="nil"/>
              <w:right w:val="nil"/>
            </w:tcBorders>
          </w:tcPr>
          <w:p w14:paraId="6C231728" w14:textId="77777777" w:rsidR="009F646D" w:rsidRPr="00D417B0" w:rsidRDefault="009F646D"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(4)</w:t>
            </w:r>
          </w:p>
        </w:tc>
      </w:tr>
      <w:tr w:rsidR="009F646D" w:rsidRPr="009F646D" w14:paraId="26B42C4C" w14:textId="77777777" w:rsidTr="00904F24">
        <w:trPr>
          <w:trHeight w:val="20"/>
          <w:jc w:val="center"/>
        </w:trPr>
        <w:tc>
          <w:tcPr>
            <w:tcW w:w="2880" w:type="dxa"/>
            <w:tcBorders>
              <w:top w:val="nil"/>
              <w:left w:val="nil"/>
              <w:bottom w:val="single" w:sz="4" w:space="0" w:color="auto"/>
              <w:right w:val="nil"/>
            </w:tcBorders>
          </w:tcPr>
          <w:p w14:paraId="38CD2FC1" w14:textId="77777777" w:rsidR="009F646D" w:rsidRPr="00D417B0" w:rsidRDefault="009F646D" w:rsidP="00904F24">
            <w:pPr>
              <w:widowControl w:val="0"/>
              <w:autoSpaceDE w:val="0"/>
              <w:autoSpaceDN w:val="0"/>
              <w:adjustRightInd w:val="0"/>
              <w:spacing w:after="0" w:line="240" w:lineRule="auto"/>
              <w:rPr>
                <w:rFonts w:ascii="Times New Roman" w:hAnsi="Times New Roman" w:cs="Times New Roman"/>
                <w:sz w:val="20"/>
                <w:szCs w:val="20"/>
              </w:rPr>
            </w:pPr>
            <w:r w:rsidRPr="00D417B0">
              <w:rPr>
                <w:rFonts w:ascii="Times New Roman" w:hAnsi="Times New Roman" w:cs="Times New Roman"/>
                <w:sz w:val="20"/>
                <w:szCs w:val="20"/>
              </w:rPr>
              <w:t>VARIABLES</w:t>
            </w:r>
          </w:p>
        </w:tc>
        <w:tc>
          <w:tcPr>
            <w:tcW w:w="1728" w:type="dxa"/>
            <w:tcBorders>
              <w:top w:val="nil"/>
              <w:left w:val="nil"/>
              <w:bottom w:val="single" w:sz="4" w:space="0" w:color="auto"/>
              <w:right w:val="nil"/>
            </w:tcBorders>
          </w:tcPr>
          <w:p w14:paraId="32ADD9A1" w14:textId="4D0BCD92" w:rsidR="009F646D" w:rsidRPr="00D417B0" w:rsidRDefault="009F646D" w:rsidP="00904F24">
            <w:pPr>
              <w:spacing w:after="0"/>
              <w:jc w:val="center"/>
              <w:rPr>
                <w:rFonts w:ascii="Times New Roman" w:hAnsi="Times New Roman" w:cs="Times New Roman"/>
                <w:sz w:val="20"/>
                <w:szCs w:val="20"/>
              </w:rPr>
            </w:pPr>
            <w:r w:rsidRPr="00D417B0">
              <w:rPr>
                <w:rFonts w:ascii="Times New Roman" w:hAnsi="Times New Roman" w:cs="Times New Roman"/>
                <w:sz w:val="20"/>
                <w:szCs w:val="20"/>
              </w:rPr>
              <w:t>Tanzania, VAPW</w:t>
            </w:r>
          </w:p>
        </w:tc>
        <w:tc>
          <w:tcPr>
            <w:tcW w:w="1728" w:type="dxa"/>
            <w:tcBorders>
              <w:top w:val="nil"/>
              <w:left w:val="nil"/>
              <w:bottom w:val="single" w:sz="4" w:space="0" w:color="auto"/>
              <w:right w:val="nil"/>
            </w:tcBorders>
          </w:tcPr>
          <w:p w14:paraId="5282B926" w14:textId="1BBC324B" w:rsidR="009F646D" w:rsidRPr="00D417B0" w:rsidRDefault="009F646D"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Tanzania, employment</w:t>
            </w:r>
          </w:p>
        </w:tc>
        <w:tc>
          <w:tcPr>
            <w:tcW w:w="1728" w:type="dxa"/>
            <w:tcBorders>
              <w:top w:val="nil"/>
              <w:left w:val="nil"/>
              <w:bottom w:val="single" w:sz="4" w:space="0" w:color="auto"/>
              <w:right w:val="nil"/>
            </w:tcBorders>
          </w:tcPr>
          <w:p w14:paraId="7C05C177" w14:textId="1DE22AAF" w:rsidR="009F646D" w:rsidRPr="00D417B0" w:rsidRDefault="009F646D"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Ethiopia, VAPW</w:t>
            </w:r>
          </w:p>
        </w:tc>
        <w:tc>
          <w:tcPr>
            <w:tcW w:w="1728" w:type="dxa"/>
            <w:tcBorders>
              <w:top w:val="nil"/>
              <w:left w:val="nil"/>
              <w:bottom w:val="single" w:sz="4" w:space="0" w:color="auto"/>
              <w:right w:val="nil"/>
            </w:tcBorders>
          </w:tcPr>
          <w:p w14:paraId="03DBEA32" w14:textId="088C4156" w:rsidR="009F646D" w:rsidRPr="00D417B0" w:rsidRDefault="009F646D"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Ethiopia, employment</w:t>
            </w:r>
          </w:p>
        </w:tc>
      </w:tr>
      <w:tr w:rsidR="007401C2" w:rsidRPr="009F646D" w14:paraId="43A3C420" w14:textId="77777777" w:rsidTr="00904F24">
        <w:trPr>
          <w:trHeight w:val="20"/>
          <w:jc w:val="center"/>
        </w:trPr>
        <w:tc>
          <w:tcPr>
            <w:tcW w:w="2880" w:type="dxa"/>
            <w:tcBorders>
              <w:top w:val="single" w:sz="4" w:space="0" w:color="auto"/>
              <w:left w:val="nil"/>
              <w:bottom w:val="nil"/>
              <w:right w:val="nil"/>
            </w:tcBorders>
          </w:tcPr>
          <w:p w14:paraId="691438EC" w14:textId="77777777" w:rsidR="007401C2" w:rsidRPr="00D417B0" w:rsidRDefault="007401C2" w:rsidP="007401C2">
            <w:pPr>
              <w:widowControl w:val="0"/>
              <w:autoSpaceDE w:val="0"/>
              <w:autoSpaceDN w:val="0"/>
              <w:adjustRightInd w:val="0"/>
              <w:spacing w:after="0" w:line="240" w:lineRule="auto"/>
              <w:rPr>
                <w:rFonts w:ascii="Times New Roman" w:hAnsi="Times New Roman" w:cs="Times New Roman"/>
                <w:sz w:val="20"/>
                <w:szCs w:val="20"/>
              </w:rPr>
            </w:pPr>
            <w:r w:rsidRPr="00D417B0">
              <w:rPr>
                <w:rFonts w:ascii="Times New Roman" w:hAnsi="Times New Roman" w:cs="Times New Roman"/>
                <w:sz w:val="20"/>
                <w:szCs w:val="20"/>
              </w:rPr>
              <w:t>year (trend)</w:t>
            </w:r>
          </w:p>
        </w:tc>
        <w:tc>
          <w:tcPr>
            <w:tcW w:w="1728" w:type="dxa"/>
            <w:tcBorders>
              <w:top w:val="single" w:sz="4" w:space="0" w:color="auto"/>
              <w:left w:val="nil"/>
              <w:bottom w:val="nil"/>
              <w:right w:val="nil"/>
            </w:tcBorders>
          </w:tcPr>
          <w:p w14:paraId="47D8A35B"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-0.0140</w:t>
            </w:r>
          </w:p>
        </w:tc>
        <w:tc>
          <w:tcPr>
            <w:tcW w:w="1728" w:type="dxa"/>
            <w:tcBorders>
              <w:top w:val="single" w:sz="4" w:space="0" w:color="auto"/>
              <w:left w:val="nil"/>
              <w:bottom w:val="nil"/>
              <w:right w:val="nil"/>
            </w:tcBorders>
          </w:tcPr>
          <w:p w14:paraId="5CFFA9EE"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0.00315</w:t>
            </w:r>
          </w:p>
        </w:tc>
        <w:tc>
          <w:tcPr>
            <w:tcW w:w="1728" w:type="dxa"/>
            <w:tcBorders>
              <w:top w:val="single" w:sz="4" w:space="0" w:color="auto"/>
              <w:left w:val="nil"/>
              <w:bottom w:val="nil"/>
              <w:right w:val="nil"/>
            </w:tcBorders>
          </w:tcPr>
          <w:p w14:paraId="5727016D" w14:textId="65758E19" w:rsidR="007401C2" w:rsidRPr="007401C2"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7401C2">
              <w:rPr>
                <w:rFonts w:ascii="Times New Roman" w:hAnsi="Times New Roman" w:cs="Times New Roman"/>
                <w:sz w:val="20"/>
                <w:szCs w:val="20"/>
              </w:rPr>
              <w:t>0.0458***</w:t>
            </w:r>
          </w:p>
        </w:tc>
        <w:tc>
          <w:tcPr>
            <w:tcW w:w="1728" w:type="dxa"/>
            <w:tcBorders>
              <w:top w:val="single" w:sz="4" w:space="0" w:color="auto"/>
              <w:left w:val="nil"/>
              <w:bottom w:val="nil"/>
              <w:right w:val="nil"/>
            </w:tcBorders>
          </w:tcPr>
          <w:p w14:paraId="0E6E9701"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0.0200***</w:t>
            </w:r>
          </w:p>
        </w:tc>
      </w:tr>
      <w:tr w:rsidR="007401C2" w:rsidRPr="009F646D" w14:paraId="2946D0F5" w14:textId="77777777" w:rsidTr="00904F24">
        <w:trPr>
          <w:trHeight w:val="20"/>
          <w:jc w:val="center"/>
        </w:trPr>
        <w:tc>
          <w:tcPr>
            <w:tcW w:w="2880" w:type="dxa"/>
            <w:tcBorders>
              <w:top w:val="nil"/>
              <w:left w:val="nil"/>
              <w:bottom w:val="nil"/>
              <w:right w:val="nil"/>
            </w:tcBorders>
          </w:tcPr>
          <w:p w14:paraId="7CA7D364" w14:textId="77777777" w:rsidR="007401C2" w:rsidRPr="00D417B0" w:rsidRDefault="007401C2" w:rsidP="007401C2">
            <w:pPr>
              <w:widowControl w:val="0"/>
              <w:autoSpaceDE w:val="0"/>
              <w:autoSpaceDN w:val="0"/>
              <w:adjustRightInd w:val="0"/>
              <w:spacing w:after="0" w:line="240" w:lineRule="auto"/>
              <w:rPr>
                <w:rFonts w:ascii="Times New Roman" w:hAnsi="Times New Roman" w:cs="Times New Roman"/>
                <w:sz w:val="20"/>
                <w:szCs w:val="20"/>
              </w:rPr>
            </w:pPr>
          </w:p>
        </w:tc>
        <w:tc>
          <w:tcPr>
            <w:tcW w:w="1728" w:type="dxa"/>
            <w:tcBorders>
              <w:top w:val="nil"/>
              <w:left w:val="nil"/>
              <w:bottom w:val="nil"/>
              <w:right w:val="nil"/>
            </w:tcBorders>
          </w:tcPr>
          <w:p w14:paraId="4D65A661"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(0.0130)</w:t>
            </w:r>
          </w:p>
        </w:tc>
        <w:tc>
          <w:tcPr>
            <w:tcW w:w="1728" w:type="dxa"/>
            <w:tcBorders>
              <w:top w:val="nil"/>
              <w:left w:val="nil"/>
              <w:bottom w:val="nil"/>
              <w:right w:val="nil"/>
            </w:tcBorders>
          </w:tcPr>
          <w:p w14:paraId="4FACA53D"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(0.00408)</w:t>
            </w:r>
          </w:p>
        </w:tc>
        <w:tc>
          <w:tcPr>
            <w:tcW w:w="1728" w:type="dxa"/>
            <w:tcBorders>
              <w:top w:val="nil"/>
              <w:left w:val="nil"/>
              <w:bottom w:val="nil"/>
              <w:right w:val="nil"/>
            </w:tcBorders>
          </w:tcPr>
          <w:p w14:paraId="2D4BF25F" w14:textId="5033F401" w:rsidR="007401C2" w:rsidRPr="007401C2"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7401C2">
              <w:rPr>
                <w:rFonts w:ascii="Times New Roman" w:hAnsi="Times New Roman" w:cs="Times New Roman"/>
                <w:sz w:val="20"/>
                <w:szCs w:val="20"/>
              </w:rPr>
              <w:t>(0.00329)</w:t>
            </w:r>
          </w:p>
        </w:tc>
        <w:tc>
          <w:tcPr>
            <w:tcW w:w="1728" w:type="dxa"/>
            <w:tcBorders>
              <w:top w:val="nil"/>
              <w:left w:val="nil"/>
              <w:bottom w:val="nil"/>
              <w:right w:val="nil"/>
            </w:tcBorders>
          </w:tcPr>
          <w:p w14:paraId="559DFEDA"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(0.00166)</w:t>
            </w:r>
          </w:p>
        </w:tc>
      </w:tr>
      <w:tr w:rsidR="007401C2" w:rsidRPr="009F646D" w14:paraId="5BC87853" w14:textId="77777777" w:rsidTr="00904F24">
        <w:trPr>
          <w:trHeight w:val="20"/>
          <w:jc w:val="center"/>
        </w:trPr>
        <w:tc>
          <w:tcPr>
            <w:tcW w:w="2880" w:type="dxa"/>
            <w:tcBorders>
              <w:top w:val="nil"/>
              <w:left w:val="nil"/>
              <w:bottom w:val="nil"/>
              <w:right w:val="nil"/>
            </w:tcBorders>
          </w:tcPr>
          <w:p w14:paraId="1CCAFFBA" w14:textId="77777777" w:rsidR="007401C2" w:rsidRPr="00D417B0" w:rsidRDefault="007401C2" w:rsidP="007401C2">
            <w:pPr>
              <w:widowControl w:val="0"/>
              <w:autoSpaceDE w:val="0"/>
              <w:autoSpaceDN w:val="0"/>
              <w:adjustRightInd w:val="0"/>
              <w:spacing w:after="0" w:line="240" w:lineRule="auto"/>
              <w:rPr>
                <w:rFonts w:ascii="Times New Roman" w:hAnsi="Times New Roman" w:cs="Times New Roman"/>
                <w:sz w:val="20"/>
                <w:szCs w:val="20"/>
              </w:rPr>
            </w:pPr>
            <w:r w:rsidRPr="00D417B0">
              <w:rPr>
                <w:rFonts w:ascii="Times New Roman" w:hAnsi="Times New Roman" w:cs="Times New Roman"/>
                <w:sz w:val="20"/>
                <w:szCs w:val="20"/>
              </w:rPr>
              <w:t>year * large firm dummy</w:t>
            </w:r>
          </w:p>
        </w:tc>
        <w:tc>
          <w:tcPr>
            <w:tcW w:w="1728" w:type="dxa"/>
            <w:tcBorders>
              <w:top w:val="nil"/>
              <w:left w:val="nil"/>
              <w:bottom w:val="nil"/>
              <w:right w:val="nil"/>
            </w:tcBorders>
          </w:tcPr>
          <w:p w14:paraId="32C1494E"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0.0635***</w:t>
            </w:r>
          </w:p>
        </w:tc>
        <w:tc>
          <w:tcPr>
            <w:tcW w:w="1728" w:type="dxa"/>
            <w:tcBorders>
              <w:top w:val="nil"/>
              <w:left w:val="nil"/>
              <w:bottom w:val="nil"/>
              <w:right w:val="nil"/>
            </w:tcBorders>
          </w:tcPr>
          <w:p w14:paraId="3C25FACC"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-0.00821</w:t>
            </w:r>
          </w:p>
        </w:tc>
        <w:tc>
          <w:tcPr>
            <w:tcW w:w="1728" w:type="dxa"/>
            <w:tcBorders>
              <w:top w:val="nil"/>
              <w:left w:val="nil"/>
              <w:bottom w:val="nil"/>
              <w:right w:val="nil"/>
            </w:tcBorders>
          </w:tcPr>
          <w:p w14:paraId="18132633" w14:textId="3C7733AB" w:rsidR="007401C2" w:rsidRPr="007401C2"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7401C2">
              <w:rPr>
                <w:rFonts w:ascii="Times New Roman" w:hAnsi="Times New Roman" w:cs="Times New Roman"/>
                <w:sz w:val="20"/>
                <w:szCs w:val="20"/>
              </w:rPr>
              <w:t>-0.00866*</w:t>
            </w:r>
          </w:p>
        </w:tc>
        <w:tc>
          <w:tcPr>
            <w:tcW w:w="1728" w:type="dxa"/>
            <w:tcBorders>
              <w:top w:val="nil"/>
              <w:left w:val="nil"/>
              <w:bottom w:val="nil"/>
              <w:right w:val="nil"/>
            </w:tcBorders>
          </w:tcPr>
          <w:p w14:paraId="31AD2DF2"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-0.00955***</w:t>
            </w:r>
          </w:p>
        </w:tc>
      </w:tr>
      <w:tr w:rsidR="007401C2" w:rsidRPr="009F646D" w14:paraId="19DC3457" w14:textId="77777777" w:rsidTr="00904F24">
        <w:trPr>
          <w:trHeight w:val="20"/>
          <w:jc w:val="center"/>
        </w:trPr>
        <w:tc>
          <w:tcPr>
            <w:tcW w:w="2880" w:type="dxa"/>
            <w:tcBorders>
              <w:top w:val="nil"/>
              <w:left w:val="nil"/>
              <w:bottom w:val="nil"/>
              <w:right w:val="nil"/>
            </w:tcBorders>
          </w:tcPr>
          <w:p w14:paraId="34BCF912" w14:textId="77777777" w:rsidR="007401C2" w:rsidRPr="00D417B0" w:rsidRDefault="007401C2" w:rsidP="007401C2">
            <w:pPr>
              <w:widowControl w:val="0"/>
              <w:autoSpaceDE w:val="0"/>
              <w:autoSpaceDN w:val="0"/>
              <w:adjustRightInd w:val="0"/>
              <w:spacing w:after="0" w:line="240" w:lineRule="auto"/>
              <w:rPr>
                <w:rFonts w:ascii="Times New Roman" w:hAnsi="Times New Roman" w:cs="Times New Roman"/>
                <w:sz w:val="20"/>
                <w:szCs w:val="20"/>
              </w:rPr>
            </w:pPr>
          </w:p>
        </w:tc>
        <w:tc>
          <w:tcPr>
            <w:tcW w:w="1728" w:type="dxa"/>
            <w:tcBorders>
              <w:top w:val="nil"/>
              <w:left w:val="nil"/>
              <w:bottom w:val="nil"/>
              <w:right w:val="nil"/>
            </w:tcBorders>
          </w:tcPr>
          <w:p w14:paraId="50ABF71D"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(0.0208)</w:t>
            </w:r>
          </w:p>
        </w:tc>
        <w:tc>
          <w:tcPr>
            <w:tcW w:w="1728" w:type="dxa"/>
            <w:tcBorders>
              <w:top w:val="nil"/>
              <w:left w:val="nil"/>
              <w:bottom w:val="nil"/>
              <w:right w:val="nil"/>
            </w:tcBorders>
          </w:tcPr>
          <w:p w14:paraId="7033E9A0"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(0.00923)</w:t>
            </w:r>
          </w:p>
        </w:tc>
        <w:tc>
          <w:tcPr>
            <w:tcW w:w="1728" w:type="dxa"/>
            <w:tcBorders>
              <w:top w:val="nil"/>
              <w:left w:val="nil"/>
              <w:bottom w:val="nil"/>
              <w:right w:val="nil"/>
            </w:tcBorders>
          </w:tcPr>
          <w:p w14:paraId="12969404" w14:textId="32E74B7E" w:rsidR="007401C2" w:rsidRPr="007401C2"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7401C2">
              <w:rPr>
                <w:rFonts w:ascii="Times New Roman" w:hAnsi="Times New Roman" w:cs="Times New Roman"/>
                <w:sz w:val="20"/>
                <w:szCs w:val="20"/>
              </w:rPr>
              <w:t>(0.00470)</w:t>
            </w:r>
          </w:p>
        </w:tc>
        <w:tc>
          <w:tcPr>
            <w:tcW w:w="1728" w:type="dxa"/>
            <w:tcBorders>
              <w:top w:val="nil"/>
              <w:left w:val="nil"/>
              <w:bottom w:val="nil"/>
              <w:right w:val="nil"/>
            </w:tcBorders>
          </w:tcPr>
          <w:p w14:paraId="35B91EB7"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(0.00318)</w:t>
            </w:r>
          </w:p>
        </w:tc>
      </w:tr>
      <w:tr w:rsidR="007401C2" w:rsidRPr="009F646D" w14:paraId="54E2B6D2" w14:textId="77777777" w:rsidTr="00904F24">
        <w:trPr>
          <w:trHeight w:val="20"/>
          <w:jc w:val="center"/>
        </w:trPr>
        <w:tc>
          <w:tcPr>
            <w:tcW w:w="2880" w:type="dxa"/>
            <w:tcBorders>
              <w:top w:val="nil"/>
              <w:left w:val="nil"/>
              <w:bottom w:val="nil"/>
              <w:right w:val="nil"/>
            </w:tcBorders>
          </w:tcPr>
          <w:p w14:paraId="2FD0A9A0" w14:textId="77777777" w:rsidR="007401C2" w:rsidRPr="00D417B0" w:rsidRDefault="007401C2" w:rsidP="007401C2">
            <w:pPr>
              <w:widowControl w:val="0"/>
              <w:autoSpaceDE w:val="0"/>
              <w:autoSpaceDN w:val="0"/>
              <w:adjustRightInd w:val="0"/>
              <w:spacing w:after="0" w:line="240" w:lineRule="auto"/>
              <w:rPr>
                <w:rFonts w:ascii="Times New Roman" w:hAnsi="Times New Roman" w:cs="Times New Roman"/>
                <w:sz w:val="20"/>
                <w:szCs w:val="20"/>
              </w:rPr>
            </w:pPr>
            <w:r w:rsidRPr="00D417B0">
              <w:rPr>
                <w:rFonts w:ascii="Times New Roman" w:hAnsi="Times New Roman" w:cs="Times New Roman"/>
                <w:sz w:val="20"/>
                <w:szCs w:val="20"/>
              </w:rPr>
              <w:t>year * exporter dummy</w:t>
            </w:r>
          </w:p>
        </w:tc>
        <w:tc>
          <w:tcPr>
            <w:tcW w:w="1728" w:type="dxa"/>
            <w:tcBorders>
              <w:top w:val="nil"/>
              <w:left w:val="nil"/>
              <w:bottom w:val="nil"/>
              <w:right w:val="nil"/>
            </w:tcBorders>
          </w:tcPr>
          <w:p w14:paraId="7308258E"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0.0513***</w:t>
            </w:r>
          </w:p>
        </w:tc>
        <w:tc>
          <w:tcPr>
            <w:tcW w:w="1728" w:type="dxa"/>
            <w:tcBorders>
              <w:top w:val="nil"/>
              <w:left w:val="nil"/>
              <w:bottom w:val="nil"/>
              <w:right w:val="nil"/>
            </w:tcBorders>
          </w:tcPr>
          <w:p w14:paraId="1A95AEE6"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0.00742</w:t>
            </w:r>
          </w:p>
        </w:tc>
        <w:tc>
          <w:tcPr>
            <w:tcW w:w="1728" w:type="dxa"/>
            <w:tcBorders>
              <w:top w:val="nil"/>
              <w:left w:val="nil"/>
              <w:bottom w:val="nil"/>
              <w:right w:val="nil"/>
            </w:tcBorders>
          </w:tcPr>
          <w:p w14:paraId="7B638033" w14:textId="583883CC" w:rsidR="007401C2" w:rsidRPr="007401C2"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7401C2">
              <w:rPr>
                <w:rFonts w:ascii="Times New Roman" w:hAnsi="Times New Roman" w:cs="Times New Roman"/>
                <w:sz w:val="20"/>
                <w:szCs w:val="20"/>
              </w:rPr>
              <w:t>0.00569</w:t>
            </w:r>
          </w:p>
        </w:tc>
        <w:tc>
          <w:tcPr>
            <w:tcW w:w="1728" w:type="dxa"/>
            <w:tcBorders>
              <w:top w:val="nil"/>
              <w:left w:val="nil"/>
              <w:bottom w:val="nil"/>
              <w:right w:val="nil"/>
            </w:tcBorders>
          </w:tcPr>
          <w:p w14:paraId="333A0BC8"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0.0121***</w:t>
            </w:r>
          </w:p>
        </w:tc>
      </w:tr>
      <w:tr w:rsidR="007401C2" w:rsidRPr="009F646D" w14:paraId="225076AA" w14:textId="77777777" w:rsidTr="00904F24">
        <w:trPr>
          <w:trHeight w:val="20"/>
          <w:jc w:val="center"/>
        </w:trPr>
        <w:tc>
          <w:tcPr>
            <w:tcW w:w="2880" w:type="dxa"/>
            <w:tcBorders>
              <w:top w:val="nil"/>
              <w:left w:val="nil"/>
              <w:bottom w:val="nil"/>
              <w:right w:val="nil"/>
            </w:tcBorders>
          </w:tcPr>
          <w:p w14:paraId="188C74DA" w14:textId="77777777" w:rsidR="007401C2" w:rsidRPr="00D417B0" w:rsidRDefault="007401C2" w:rsidP="007401C2">
            <w:pPr>
              <w:widowControl w:val="0"/>
              <w:autoSpaceDE w:val="0"/>
              <w:autoSpaceDN w:val="0"/>
              <w:adjustRightInd w:val="0"/>
              <w:spacing w:after="0" w:line="240" w:lineRule="auto"/>
              <w:rPr>
                <w:rFonts w:ascii="Times New Roman" w:hAnsi="Times New Roman" w:cs="Times New Roman"/>
                <w:sz w:val="20"/>
                <w:szCs w:val="20"/>
              </w:rPr>
            </w:pPr>
          </w:p>
        </w:tc>
        <w:tc>
          <w:tcPr>
            <w:tcW w:w="1728" w:type="dxa"/>
            <w:tcBorders>
              <w:top w:val="nil"/>
              <w:left w:val="nil"/>
              <w:bottom w:val="nil"/>
              <w:right w:val="nil"/>
            </w:tcBorders>
          </w:tcPr>
          <w:p w14:paraId="5F6B8B83"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(0.0171)</w:t>
            </w:r>
          </w:p>
        </w:tc>
        <w:tc>
          <w:tcPr>
            <w:tcW w:w="1728" w:type="dxa"/>
            <w:tcBorders>
              <w:top w:val="nil"/>
              <w:left w:val="nil"/>
              <w:bottom w:val="nil"/>
              <w:right w:val="nil"/>
            </w:tcBorders>
          </w:tcPr>
          <w:p w14:paraId="3BD402E5"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(0.00831)</w:t>
            </w:r>
          </w:p>
        </w:tc>
        <w:tc>
          <w:tcPr>
            <w:tcW w:w="1728" w:type="dxa"/>
            <w:tcBorders>
              <w:top w:val="nil"/>
              <w:left w:val="nil"/>
              <w:bottom w:val="nil"/>
              <w:right w:val="nil"/>
            </w:tcBorders>
          </w:tcPr>
          <w:p w14:paraId="4F7FF105" w14:textId="24F20155" w:rsidR="007401C2" w:rsidRPr="007401C2"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7401C2">
              <w:rPr>
                <w:rFonts w:ascii="Times New Roman" w:hAnsi="Times New Roman" w:cs="Times New Roman"/>
                <w:sz w:val="20"/>
                <w:szCs w:val="20"/>
              </w:rPr>
              <w:t>(0.00368)</w:t>
            </w:r>
          </w:p>
        </w:tc>
        <w:tc>
          <w:tcPr>
            <w:tcW w:w="1728" w:type="dxa"/>
            <w:tcBorders>
              <w:top w:val="nil"/>
              <w:left w:val="nil"/>
              <w:bottom w:val="nil"/>
              <w:right w:val="nil"/>
            </w:tcBorders>
          </w:tcPr>
          <w:p w14:paraId="7A4E20E2"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(0.00245)</w:t>
            </w:r>
          </w:p>
        </w:tc>
      </w:tr>
      <w:tr w:rsidR="007401C2" w:rsidRPr="009F646D" w14:paraId="70F67103" w14:textId="77777777" w:rsidTr="00904F24">
        <w:trPr>
          <w:trHeight w:val="20"/>
          <w:jc w:val="center"/>
        </w:trPr>
        <w:tc>
          <w:tcPr>
            <w:tcW w:w="2880" w:type="dxa"/>
            <w:tcBorders>
              <w:top w:val="nil"/>
              <w:left w:val="nil"/>
              <w:bottom w:val="nil"/>
              <w:right w:val="nil"/>
            </w:tcBorders>
          </w:tcPr>
          <w:p w14:paraId="03E51547" w14:textId="77777777" w:rsidR="007401C2" w:rsidRPr="00D417B0" w:rsidRDefault="007401C2" w:rsidP="007401C2">
            <w:pPr>
              <w:widowControl w:val="0"/>
              <w:autoSpaceDE w:val="0"/>
              <w:autoSpaceDN w:val="0"/>
              <w:adjustRightInd w:val="0"/>
              <w:spacing w:after="0" w:line="240" w:lineRule="auto"/>
              <w:rPr>
                <w:rFonts w:ascii="Times New Roman" w:hAnsi="Times New Roman" w:cs="Times New Roman"/>
                <w:sz w:val="20"/>
                <w:szCs w:val="20"/>
              </w:rPr>
            </w:pPr>
            <w:r w:rsidRPr="00D417B0">
              <w:rPr>
                <w:rFonts w:ascii="Times New Roman" w:hAnsi="Times New Roman" w:cs="Times New Roman"/>
                <w:sz w:val="20"/>
                <w:szCs w:val="20"/>
              </w:rPr>
              <w:t>year * foreign firm dummy</w:t>
            </w:r>
          </w:p>
        </w:tc>
        <w:tc>
          <w:tcPr>
            <w:tcW w:w="1728" w:type="dxa"/>
            <w:tcBorders>
              <w:top w:val="nil"/>
              <w:left w:val="nil"/>
              <w:bottom w:val="nil"/>
              <w:right w:val="nil"/>
            </w:tcBorders>
          </w:tcPr>
          <w:p w14:paraId="066DFD25"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0.00917</w:t>
            </w:r>
          </w:p>
        </w:tc>
        <w:tc>
          <w:tcPr>
            <w:tcW w:w="1728" w:type="dxa"/>
            <w:tcBorders>
              <w:top w:val="nil"/>
              <w:left w:val="nil"/>
              <w:bottom w:val="nil"/>
              <w:right w:val="nil"/>
            </w:tcBorders>
          </w:tcPr>
          <w:p w14:paraId="44951855"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-0.00369</w:t>
            </w:r>
          </w:p>
        </w:tc>
        <w:tc>
          <w:tcPr>
            <w:tcW w:w="1728" w:type="dxa"/>
            <w:tcBorders>
              <w:top w:val="nil"/>
              <w:left w:val="nil"/>
              <w:bottom w:val="nil"/>
              <w:right w:val="nil"/>
            </w:tcBorders>
          </w:tcPr>
          <w:p w14:paraId="26D34EF2" w14:textId="28419081" w:rsidR="007401C2" w:rsidRPr="007401C2"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7401C2">
              <w:rPr>
                <w:rFonts w:ascii="Times New Roman" w:hAnsi="Times New Roman" w:cs="Times New Roman"/>
                <w:sz w:val="20"/>
                <w:szCs w:val="20"/>
              </w:rPr>
              <w:t>0.000951</w:t>
            </w:r>
          </w:p>
        </w:tc>
        <w:tc>
          <w:tcPr>
            <w:tcW w:w="1728" w:type="dxa"/>
            <w:tcBorders>
              <w:top w:val="nil"/>
              <w:left w:val="nil"/>
              <w:bottom w:val="nil"/>
              <w:right w:val="nil"/>
            </w:tcBorders>
          </w:tcPr>
          <w:p w14:paraId="13885A21"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0.00352*</w:t>
            </w:r>
          </w:p>
        </w:tc>
      </w:tr>
      <w:tr w:rsidR="007401C2" w:rsidRPr="009F646D" w14:paraId="190A0EE9" w14:textId="77777777" w:rsidTr="00904F24">
        <w:trPr>
          <w:trHeight w:val="20"/>
          <w:jc w:val="center"/>
        </w:trPr>
        <w:tc>
          <w:tcPr>
            <w:tcW w:w="2880" w:type="dxa"/>
            <w:tcBorders>
              <w:top w:val="nil"/>
              <w:left w:val="nil"/>
              <w:bottom w:val="nil"/>
              <w:right w:val="nil"/>
            </w:tcBorders>
          </w:tcPr>
          <w:p w14:paraId="395A75CE" w14:textId="77777777" w:rsidR="007401C2" w:rsidRPr="00D417B0" w:rsidRDefault="007401C2" w:rsidP="007401C2">
            <w:pPr>
              <w:widowControl w:val="0"/>
              <w:autoSpaceDE w:val="0"/>
              <w:autoSpaceDN w:val="0"/>
              <w:adjustRightInd w:val="0"/>
              <w:spacing w:after="0" w:line="240" w:lineRule="auto"/>
              <w:rPr>
                <w:rFonts w:ascii="Times New Roman" w:hAnsi="Times New Roman" w:cs="Times New Roman"/>
                <w:sz w:val="20"/>
                <w:szCs w:val="20"/>
              </w:rPr>
            </w:pPr>
          </w:p>
        </w:tc>
        <w:tc>
          <w:tcPr>
            <w:tcW w:w="1728" w:type="dxa"/>
            <w:tcBorders>
              <w:top w:val="nil"/>
              <w:left w:val="nil"/>
              <w:bottom w:val="nil"/>
              <w:right w:val="nil"/>
            </w:tcBorders>
          </w:tcPr>
          <w:p w14:paraId="5E662119"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(0.0157)</w:t>
            </w:r>
          </w:p>
        </w:tc>
        <w:tc>
          <w:tcPr>
            <w:tcW w:w="1728" w:type="dxa"/>
            <w:tcBorders>
              <w:top w:val="nil"/>
              <w:left w:val="nil"/>
              <w:bottom w:val="nil"/>
              <w:right w:val="nil"/>
            </w:tcBorders>
          </w:tcPr>
          <w:p w14:paraId="0F109DF1"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(0.00756)</w:t>
            </w:r>
          </w:p>
        </w:tc>
        <w:tc>
          <w:tcPr>
            <w:tcW w:w="1728" w:type="dxa"/>
            <w:tcBorders>
              <w:top w:val="nil"/>
              <w:left w:val="nil"/>
              <w:bottom w:val="nil"/>
              <w:right w:val="nil"/>
            </w:tcBorders>
          </w:tcPr>
          <w:p w14:paraId="0B87E292" w14:textId="2DCD2434" w:rsidR="007401C2" w:rsidRPr="007401C2"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7401C2">
              <w:rPr>
                <w:rFonts w:ascii="Times New Roman" w:hAnsi="Times New Roman" w:cs="Times New Roman"/>
                <w:sz w:val="20"/>
                <w:szCs w:val="20"/>
              </w:rPr>
              <w:t>(0.00314)</w:t>
            </w:r>
          </w:p>
        </w:tc>
        <w:tc>
          <w:tcPr>
            <w:tcW w:w="1728" w:type="dxa"/>
            <w:tcBorders>
              <w:top w:val="nil"/>
              <w:left w:val="nil"/>
              <w:bottom w:val="nil"/>
              <w:right w:val="nil"/>
            </w:tcBorders>
          </w:tcPr>
          <w:p w14:paraId="770BC178"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(0.00187)</w:t>
            </w:r>
          </w:p>
        </w:tc>
      </w:tr>
      <w:tr w:rsidR="007401C2" w:rsidRPr="009F646D" w14:paraId="15A462B0" w14:textId="77777777" w:rsidTr="00904F24">
        <w:trPr>
          <w:trHeight w:val="225"/>
          <w:jc w:val="center"/>
        </w:trPr>
        <w:tc>
          <w:tcPr>
            <w:tcW w:w="2880" w:type="dxa"/>
            <w:tcBorders>
              <w:top w:val="nil"/>
              <w:left w:val="nil"/>
              <w:bottom w:val="nil"/>
              <w:right w:val="nil"/>
            </w:tcBorders>
          </w:tcPr>
          <w:p w14:paraId="31EAACEE" w14:textId="77777777" w:rsidR="007401C2" w:rsidRPr="00D417B0" w:rsidRDefault="007401C2" w:rsidP="007401C2">
            <w:pPr>
              <w:widowControl w:val="0"/>
              <w:autoSpaceDE w:val="0"/>
              <w:autoSpaceDN w:val="0"/>
              <w:adjustRightInd w:val="0"/>
              <w:spacing w:after="0" w:line="240" w:lineRule="auto"/>
              <w:rPr>
                <w:rFonts w:ascii="Times New Roman" w:hAnsi="Times New Roman" w:cs="Times New Roman"/>
                <w:sz w:val="20"/>
                <w:szCs w:val="20"/>
              </w:rPr>
            </w:pPr>
            <w:r w:rsidRPr="00D417B0">
              <w:rPr>
                <w:rFonts w:ascii="Times New Roman" w:hAnsi="Times New Roman" w:cs="Times New Roman"/>
                <w:sz w:val="20"/>
                <w:szCs w:val="20"/>
              </w:rPr>
              <w:t>year * public firm dummy</w:t>
            </w:r>
          </w:p>
        </w:tc>
        <w:tc>
          <w:tcPr>
            <w:tcW w:w="1728" w:type="dxa"/>
            <w:tcBorders>
              <w:top w:val="nil"/>
              <w:left w:val="nil"/>
              <w:bottom w:val="nil"/>
              <w:right w:val="nil"/>
            </w:tcBorders>
          </w:tcPr>
          <w:p w14:paraId="12F8E75A"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-0.00885</w:t>
            </w:r>
          </w:p>
        </w:tc>
        <w:tc>
          <w:tcPr>
            <w:tcW w:w="1728" w:type="dxa"/>
            <w:tcBorders>
              <w:top w:val="nil"/>
              <w:left w:val="nil"/>
              <w:bottom w:val="nil"/>
              <w:right w:val="nil"/>
            </w:tcBorders>
          </w:tcPr>
          <w:p w14:paraId="71D026B5"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0.00197</w:t>
            </w:r>
          </w:p>
        </w:tc>
        <w:tc>
          <w:tcPr>
            <w:tcW w:w="1728" w:type="dxa"/>
            <w:tcBorders>
              <w:top w:val="nil"/>
              <w:left w:val="nil"/>
              <w:bottom w:val="nil"/>
              <w:right w:val="nil"/>
            </w:tcBorders>
          </w:tcPr>
          <w:p w14:paraId="5969E4BD" w14:textId="4704B6D9" w:rsidR="007401C2" w:rsidRPr="007401C2"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7401C2">
              <w:rPr>
                <w:rFonts w:ascii="Times New Roman" w:hAnsi="Times New Roman" w:cs="Times New Roman"/>
                <w:sz w:val="20"/>
                <w:szCs w:val="20"/>
              </w:rPr>
              <w:t>-0.0162***</w:t>
            </w:r>
          </w:p>
        </w:tc>
        <w:tc>
          <w:tcPr>
            <w:tcW w:w="1728" w:type="dxa"/>
            <w:tcBorders>
              <w:top w:val="nil"/>
              <w:left w:val="nil"/>
              <w:bottom w:val="nil"/>
              <w:right w:val="nil"/>
            </w:tcBorders>
          </w:tcPr>
          <w:p w14:paraId="4E791195"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0.00780***</w:t>
            </w:r>
          </w:p>
        </w:tc>
      </w:tr>
      <w:tr w:rsidR="007401C2" w:rsidRPr="009F646D" w14:paraId="3AFABA60" w14:textId="77777777" w:rsidTr="00904F24">
        <w:trPr>
          <w:trHeight w:val="20"/>
          <w:jc w:val="center"/>
        </w:trPr>
        <w:tc>
          <w:tcPr>
            <w:tcW w:w="2880" w:type="dxa"/>
            <w:tcBorders>
              <w:top w:val="nil"/>
              <w:left w:val="nil"/>
              <w:bottom w:val="nil"/>
              <w:right w:val="nil"/>
            </w:tcBorders>
          </w:tcPr>
          <w:p w14:paraId="5E6AC072" w14:textId="77777777" w:rsidR="007401C2" w:rsidRPr="00D417B0" w:rsidRDefault="007401C2" w:rsidP="007401C2">
            <w:pPr>
              <w:widowControl w:val="0"/>
              <w:autoSpaceDE w:val="0"/>
              <w:autoSpaceDN w:val="0"/>
              <w:adjustRightInd w:val="0"/>
              <w:spacing w:after="0" w:line="240" w:lineRule="auto"/>
              <w:rPr>
                <w:rFonts w:ascii="Times New Roman" w:hAnsi="Times New Roman" w:cs="Times New Roman"/>
                <w:sz w:val="20"/>
                <w:szCs w:val="20"/>
              </w:rPr>
            </w:pPr>
          </w:p>
        </w:tc>
        <w:tc>
          <w:tcPr>
            <w:tcW w:w="1728" w:type="dxa"/>
            <w:tcBorders>
              <w:top w:val="nil"/>
              <w:left w:val="nil"/>
              <w:bottom w:val="nil"/>
              <w:right w:val="nil"/>
            </w:tcBorders>
          </w:tcPr>
          <w:p w14:paraId="4065AC55"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(0.0307)</w:t>
            </w:r>
          </w:p>
        </w:tc>
        <w:tc>
          <w:tcPr>
            <w:tcW w:w="1728" w:type="dxa"/>
            <w:tcBorders>
              <w:top w:val="nil"/>
              <w:left w:val="nil"/>
              <w:bottom w:val="nil"/>
              <w:right w:val="nil"/>
            </w:tcBorders>
          </w:tcPr>
          <w:p w14:paraId="17910755"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(0.00865)</w:t>
            </w:r>
          </w:p>
        </w:tc>
        <w:tc>
          <w:tcPr>
            <w:tcW w:w="1728" w:type="dxa"/>
            <w:tcBorders>
              <w:top w:val="nil"/>
              <w:left w:val="nil"/>
              <w:bottom w:val="nil"/>
              <w:right w:val="nil"/>
            </w:tcBorders>
          </w:tcPr>
          <w:p w14:paraId="31D3022D" w14:textId="3DAC63E6" w:rsidR="007401C2" w:rsidRPr="007401C2"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7401C2">
              <w:rPr>
                <w:rFonts w:ascii="Times New Roman" w:hAnsi="Times New Roman" w:cs="Times New Roman"/>
                <w:sz w:val="20"/>
                <w:szCs w:val="20"/>
              </w:rPr>
              <w:t>(0.00368)</w:t>
            </w:r>
          </w:p>
        </w:tc>
        <w:tc>
          <w:tcPr>
            <w:tcW w:w="1728" w:type="dxa"/>
            <w:tcBorders>
              <w:top w:val="nil"/>
              <w:left w:val="nil"/>
              <w:bottom w:val="nil"/>
              <w:right w:val="nil"/>
            </w:tcBorders>
          </w:tcPr>
          <w:p w14:paraId="070737F7"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(0.00239)</w:t>
            </w:r>
          </w:p>
        </w:tc>
      </w:tr>
      <w:tr w:rsidR="007401C2" w:rsidRPr="009F646D" w14:paraId="58785042" w14:textId="77777777" w:rsidTr="00904F24">
        <w:trPr>
          <w:trHeight w:val="20"/>
          <w:jc w:val="center"/>
        </w:trPr>
        <w:tc>
          <w:tcPr>
            <w:tcW w:w="2880" w:type="dxa"/>
            <w:tcBorders>
              <w:top w:val="nil"/>
              <w:left w:val="nil"/>
              <w:bottom w:val="nil"/>
              <w:right w:val="nil"/>
            </w:tcBorders>
          </w:tcPr>
          <w:p w14:paraId="3FCCBED4" w14:textId="77777777" w:rsidR="007401C2" w:rsidRPr="00D417B0" w:rsidRDefault="007401C2" w:rsidP="007401C2">
            <w:pPr>
              <w:widowControl w:val="0"/>
              <w:autoSpaceDE w:val="0"/>
              <w:autoSpaceDN w:val="0"/>
              <w:adjustRightInd w:val="0"/>
              <w:spacing w:after="0" w:line="240" w:lineRule="auto"/>
              <w:rPr>
                <w:rFonts w:ascii="Times New Roman" w:hAnsi="Times New Roman" w:cs="Times New Roman"/>
                <w:sz w:val="20"/>
                <w:szCs w:val="20"/>
              </w:rPr>
            </w:pPr>
          </w:p>
        </w:tc>
        <w:tc>
          <w:tcPr>
            <w:tcW w:w="1728" w:type="dxa"/>
            <w:tcBorders>
              <w:top w:val="nil"/>
              <w:left w:val="nil"/>
              <w:bottom w:val="nil"/>
              <w:right w:val="nil"/>
            </w:tcBorders>
          </w:tcPr>
          <w:p w14:paraId="2CC1AF92"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p>
        </w:tc>
        <w:tc>
          <w:tcPr>
            <w:tcW w:w="1728" w:type="dxa"/>
            <w:tcBorders>
              <w:top w:val="nil"/>
              <w:left w:val="nil"/>
              <w:bottom w:val="nil"/>
              <w:right w:val="nil"/>
            </w:tcBorders>
          </w:tcPr>
          <w:p w14:paraId="1D7944BD"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p>
        </w:tc>
        <w:tc>
          <w:tcPr>
            <w:tcW w:w="1728" w:type="dxa"/>
            <w:tcBorders>
              <w:top w:val="nil"/>
              <w:left w:val="nil"/>
              <w:bottom w:val="nil"/>
              <w:right w:val="nil"/>
            </w:tcBorders>
          </w:tcPr>
          <w:p w14:paraId="504ED230" w14:textId="77777777" w:rsidR="007401C2" w:rsidRPr="007401C2"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p>
        </w:tc>
        <w:tc>
          <w:tcPr>
            <w:tcW w:w="1728" w:type="dxa"/>
            <w:tcBorders>
              <w:top w:val="nil"/>
              <w:left w:val="nil"/>
              <w:bottom w:val="nil"/>
              <w:right w:val="nil"/>
            </w:tcBorders>
          </w:tcPr>
          <w:p w14:paraId="7AE258DF"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p>
        </w:tc>
      </w:tr>
      <w:tr w:rsidR="007401C2" w:rsidRPr="009F646D" w14:paraId="6D0F076D" w14:textId="77777777" w:rsidTr="00904F24">
        <w:trPr>
          <w:trHeight w:val="68"/>
          <w:jc w:val="center"/>
        </w:trPr>
        <w:tc>
          <w:tcPr>
            <w:tcW w:w="2880" w:type="dxa"/>
            <w:tcBorders>
              <w:top w:val="nil"/>
              <w:left w:val="nil"/>
              <w:right w:val="nil"/>
            </w:tcBorders>
          </w:tcPr>
          <w:p w14:paraId="1AABC786" w14:textId="77777777" w:rsidR="007401C2" w:rsidRPr="00D417B0" w:rsidRDefault="007401C2" w:rsidP="007401C2">
            <w:pPr>
              <w:widowControl w:val="0"/>
              <w:autoSpaceDE w:val="0"/>
              <w:autoSpaceDN w:val="0"/>
              <w:adjustRightInd w:val="0"/>
              <w:spacing w:after="0" w:line="240" w:lineRule="auto"/>
              <w:rPr>
                <w:rFonts w:ascii="Times New Roman" w:hAnsi="Times New Roman" w:cs="Times New Roman"/>
                <w:sz w:val="20"/>
                <w:szCs w:val="20"/>
              </w:rPr>
            </w:pPr>
            <w:r w:rsidRPr="00D417B0">
              <w:rPr>
                <w:rFonts w:ascii="Times New Roman" w:hAnsi="Times New Roman" w:cs="Times New Roman"/>
                <w:sz w:val="20"/>
                <w:szCs w:val="20"/>
              </w:rPr>
              <w:t>Observations</w:t>
            </w:r>
          </w:p>
        </w:tc>
        <w:tc>
          <w:tcPr>
            <w:tcW w:w="1728" w:type="dxa"/>
            <w:tcBorders>
              <w:top w:val="nil"/>
              <w:left w:val="nil"/>
              <w:right w:val="nil"/>
            </w:tcBorders>
          </w:tcPr>
          <w:p w14:paraId="4B122776"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8,423</w:t>
            </w:r>
          </w:p>
        </w:tc>
        <w:tc>
          <w:tcPr>
            <w:tcW w:w="1728" w:type="dxa"/>
            <w:tcBorders>
              <w:top w:val="nil"/>
              <w:left w:val="nil"/>
              <w:right w:val="nil"/>
            </w:tcBorders>
          </w:tcPr>
          <w:p w14:paraId="1280B429"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8,423</w:t>
            </w:r>
          </w:p>
        </w:tc>
        <w:tc>
          <w:tcPr>
            <w:tcW w:w="1728" w:type="dxa"/>
            <w:tcBorders>
              <w:top w:val="nil"/>
              <w:left w:val="nil"/>
              <w:right w:val="nil"/>
            </w:tcBorders>
          </w:tcPr>
          <w:p w14:paraId="6E8C37A6" w14:textId="0E75AB5E" w:rsidR="007401C2" w:rsidRPr="007401C2"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7401C2">
              <w:rPr>
                <w:rFonts w:ascii="Times New Roman" w:hAnsi="Times New Roman" w:cs="Times New Roman"/>
                <w:sz w:val="20"/>
                <w:szCs w:val="20"/>
              </w:rPr>
              <w:t>27,487</w:t>
            </w:r>
          </w:p>
        </w:tc>
        <w:tc>
          <w:tcPr>
            <w:tcW w:w="1728" w:type="dxa"/>
            <w:tcBorders>
              <w:top w:val="nil"/>
              <w:left w:val="nil"/>
              <w:right w:val="nil"/>
            </w:tcBorders>
          </w:tcPr>
          <w:p w14:paraId="143FC256"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27,487</w:t>
            </w:r>
          </w:p>
        </w:tc>
      </w:tr>
      <w:tr w:rsidR="007401C2" w:rsidRPr="009F646D" w14:paraId="51FA1600" w14:textId="77777777" w:rsidTr="00904F24">
        <w:tblPrEx>
          <w:tblBorders>
            <w:bottom w:val="single" w:sz="6" w:space="0" w:color="auto"/>
          </w:tblBorders>
        </w:tblPrEx>
        <w:trPr>
          <w:trHeight w:val="20"/>
          <w:jc w:val="center"/>
        </w:trPr>
        <w:tc>
          <w:tcPr>
            <w:tcW w:w="2880" w:type="dxa"/>
            <w:tcBorders>
              <w:top w:val="nil"/>
              <w:left w:val="nil"/>
              <w:bottom w:val="single" w:sz="4" w:space="0" w:color="auto"/>
              <w:right w:val="nil"/>
            </w:tcBorders>
          </w:tcPr>
          <w:p w14:paraId="749CC48D" w14:textId="77777777" w:rsidR="007401C2" w:rsidRPr="00D417B0" w:rsidRDefault="007401C2" w:rsidP="007401C2">
            <w:pPr>
              <w:widowControl w:val="0"/>
              <w:autoSpaceDE w:val="0"/>
              <w:autoSpaceDN w:val="0"/>
              <w:adjustRightInd w:val="0"/>
              <w:spacing w:after="0" w:line="240" w:lineRule="auto"/>
              <w:rPr>
                <w:rFonts w:ascii="Times New Roman" w:hAnsi="Times New Roman" w:cs="Times New Roman"/>
                <w:sz w:val="20"/>
                <w:szCs w:val="20"/>
              </w:rPr>
            </w:pPr>
            <w:r w:rsidRPr="00D417B0">
              <w:rPr>
                <w:rFonts w:ascii="Times New Roman" w:hAnsi="Times New Roman" w:cs="Times New Roman"/>
                <w:sz w:val="20"/>
                <w:szCs w:val="20"/>
              </w:rPr>
              <w:t>R-squared</w:t>
            </w:r>
          </w:p>
        </w:tc>
        <w:tc>
          <w:tcPr>
            <w:tcW w:w="1728" w:type="dxa"/>
            <w:tcBorders>
              <w:top w:val="nil"/>
              <w:left w:val="nil"/>
              <w:bottom w:val="single" w:sz="4" w:space="0" w:color="auto"/>
              <w:right w:val="nil"/>
            </w:tcBorders>
          </w:tcPr>
          <w:p w14:paraId="3D2D3B0D"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0.827</w:t>
            </w:r>
          </w:p>
        </w:tc>
        <w:tc>
          <w:tcPr>
            <w:tcW w:w="1728" w:type="dxa"/>
            <w:tcBorders>
              <w:top w:val="nil"/>
              <w:left w:val="nil"/>
              <w:bottom w:val="single" w:sz="4" w:space="0" w:color="auto"/>
              <w:right w:val="nil"/>
            </w:tcBorders>
          </w:tcPr>
          <w:p w14:paraId="0B3F35DF"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0.956</w:t>
            </w:r>
          </w:p>
        </w:tc>
        <w:tc>
          <w:tcPr>
            <w:tcW w:w="1728" w:type="dxa"/>
            <w:tcBorders>
              <w:top w:val="nil"/>
              <w:left w:val="nil"/>
              <w:bottom w:val="single" w:sz="4" w:space="0" w:color="auto"/>
              <w:right w:val="nil"/>
            </w:tcBorders>
          </w:tcPr>
          <w:p w14:paraId="13025ED1" w14:textId="3EED360D" w:rsidR="007401C2" w:rsidRPr="007401C2"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7401C2">
              <w:rPr>
                <w:rFonts w:ascii="Times New Roman" w:hAnsi="Times New Roman" w:cs="Times New Roman"/>
                <w:sz w:val="20"/>
                <w:szCs w:val="20"/>
              </w:rPr>
              <w:t>0.732</w:t>
            </w:r>
          </w:p>
        </w:tc>
        <w:tc>
          <w:tcPr>
            <w:tcW w:w="1728" w:type="dxa"/>
            <w:tcBorders>
              <w:top w:val="nil"/>
              <w:left w:val="nil"/>
              <w:bottom w:val="single" w:sz="4" w:space="0" w:color="auto"/>
              <w:right w:val="nil"/>
            </w:tcBorders>
          </w:tcPr>
          <w:p w14:paraId="5CFC313F" w14:textId="77777777" w:rsidR="007401C2" w:rsidRPr="00D417B0" w:rsidRDefault="007401C2" w:rsidP="007401C2">
            <w:pPr>
              <w:widowControl w:val="0"/>
              <w:autoSpaceDE w:val="0"/>
              <w:autoSpaceDN w:val="0"/>
              <w:adjustRightInd w:val="0"/>
              <w:spacing w:after="0" w:line="240" w:lineRule="auto"/>
              <w:jc w:val="center"/>
              <w:rPr>
                <w:rFonts w:ascii="Times New Roman" w:hAnsi="Times New Roman" w:cs="Times New Roman"/>
                <w:sz w:val="20"/>
                <w:szCs w:val="20"/>
              </w:rPr>
            </w:pPr>
            <w:r w:rsidRPr="00D417B0">
              <w:rPr>
                <w:rFonts w:ascii="Times New Roman" w:hAnsi="Times New Roman" w:cs="Times New Roman"/>
                <w:sz w:val="20"/>
                <w:szCs w:val="20"/>
              </w:rPr>
              <w:t>0.900</w:t>
            </w:r>
          </w:p>
        </w:tc>
      </w:tr>
    </w:tbl>
    <w:p w14:paraId="42C1AD4A" w14:textId="75504153" w:rsidR="009F646D" w:rsidRPr="009F646D" w:rsidRDefault="00F95321" w:rsidP="00D417B0">
      <w:pPr>
        <w:spacing w:after="0"/>
        <w:rPr>
          <w:rFonts w:ascii="Times New Roman" w:hAnsi="Times New Roman" w:cs="Times New Roman"/>
          <w:b/>
          <w:bCs/>
          <w:sz w:val="24"/>
          <w:szCs w:val="24"/>
        </w:rPr>
      </w:pPr>
      <w:r w:rsidRPr="00F95321">
        <w:rPr>
          <w:rFonts w:ascii="Times New Roman" w:hAnsi="Times New Roman" w:cs="Times New Roman"/>
          <w:i/>
          <w:iCs/>
          <w:sz w:val="20"/>
          <w:szCs w:val="20"/>
        </w:rPr>
        <w:t>Note:</w:t>
      </w:r>
      <w:r>
        <w:rPr>
          <w:rFonts w:ascii="Times New Roman" w:hAnsi="Times New Roman" w:cs="Times New Roman"/>
          <w:sz w:val="20"/>
          <w:szCs w:val="20"/>
        </w:rPr>
        <w:t xml:space="preserve"> </w:t>
      </w:r>
      <w:r w:rsidR="009F646D" w:rsidRPr="00D417B0">
        <w:rPr>
          <w:rFonts w:ascii="Times New Roman" w:hAnsi="Times New Roman" w:cs="Times New Roman"/>
          <w:sz w:val="20"/>
          <w:szCs w:val="20"/>
        </w:rPr>
        <w:t>This table presents results from our fixed effects regressions of the year trend and interaction with each firm characteristic on ln(value added per worker) and ln(employment). The period covered for Tanzania is 2008-2016 and Ethiopia is 1996-2017. Robust standard errors in parentheses *** p&lt;0.01, ** p&lt;0.05, * p&lt;0.1</w:t>
      </w:r>
    </w:p>
    <w:p w14:paraId="01720468" w14:textId="77777777" w:rsidR="009F646D" w:rsidRDefault="009F646D" w:rsidP="000E460A">
      <w:pPr>
        <w:spacing w:after="0"/>
        <w:jc w:val="center"/>
        <w:rPr>
          <w:rFonts w:ascii="Times New Roman" w:hAnsi="Times New Roman" w:cs="Times New Roman"/>
          <w:b/>
          <w:bCs/>
          <w:sz w:val="24"/>
          <w:szCs w:val="24"/>
        </w:rPr>
      </w:pPr>
    </w:p>
    <w:p w14:paraId="639D4C83" w14:textId="77777777" w:rsidR="009F646D" w:rsidRDefault="009F646D">
      <w:pPr>
        <w:rPr>
          <w:rFonts w:ascii="Times New Roman" w:hAnsi="Times New Roman" w:cs="Times New Roman"/>
          <w:b/>
          <w:bCs/>
          <w:sz w:val="24"/>
          <w:szCs w:val="24"/>
        </w:rPr>
      </w:pPr>
      <w:r>
        <w:rPr>
          <w:rFonts w:ascii="Times New Roman" w:hAnsi="Times New Roman" w:cs="Times New Roman"/>
          <w:b/>
          <w:bCs/>
          <w:sz w:val="24"/>
          <w:szCs w:val="24"/>
        </w:rPr>
        <w:br w:type="page"/>
      </w:r>
    </w:p>
    <w:p w14:paraId="03986632" w14:textId="1083092A" w:rsidR="00FB1BD2" w:rsidRPr="00D31966" w:rsidRDefault="00FB1BD2" w:rsidP="00FB1BD2">
      <w:pPr>
        <w:spacing w:after="0"/>
        <w:jc w:val="center"/>
        <w:rPr>
          <w:rFonts w:ascii="Times New Roman" w:hAnsi="Times New Roman" w:cs="Times New Roman"/>
          <w:b/>
          <w:bCs/>
        </w:rPr>
      </w:pPr>
      <w:r>
        <w:rPr>
          <w:rFonts w:ascii="Times New Roman" w:hAnsi="Times New Roman" w:cs="Times New Roman"/>
          <w:b/>
          <w:bCs/>
          <w:sz w:val="24"/>
          <w:szCs w:val="24"/>
        </w:rPr>
        <w:lastRenderedPageBreak/>
        <w:t xml:space="preserve">Table </w:t>
      </w:r>
      <w:r w:rsidR="00206C87">
        <w:rPr>
          <w:rFonts w:ascii="Times New Roman" w:hAnsi="Times New Roman" w:cs="Times New Roman"/>
          <w:b/>
          <w:bCs/>
          <w:sz w:val="24"/>
          <w:szCs w:val="24"/>
        </w:rPr>
        <w:t>2.2</w:t>
      </w:r>
      <w:r>
        <w:rPr>
          <w:rFonts w:ascii="Times New Roman" w:hAnsi="Times New Roman" w:cs="Times New Roman"/>
          <w:b/>
          <w:bCs/>
          <w:sz w:val="24"/>
          <w:szCs w:val="24"/>
        </w:rPr>
        <w:t xml:space="preserve"> </w:t>
      </w:r>
      <w:r w:rsidRPr="00D31966">
        <w:rPr>
          <w:rFonts w:ascii="Times New Roman" w:hAnsi="Times New Roman" w:cs="Times New Roman"/>
          <w:b/>
          <w:bCs/>
        </w:rPr>
        <w:t>Sector-level employment growth (ISIC 2-digit level), with and without IP employment</w:t>
      </w:r>
    </w:p>
    <w:tbl>
      <w:tblPr>
        <w:tblW w:w="0" w:type="auto"/>
        <w:jc w:val="center"/>
        <w:tblLayout w:type="fixed"/>
        <w:tblCellMar>
          <w:left w:w="75" w:type="dxa"/>
          <w:right w:w="75" w:type="dxa"/>
        </w:tblCellMar>
        <w:tblLook w:val="0000" w:firstRow="0" w:lastRow="0" w:firstColumn="0" w:lastColumn="0" w:noHBand="0" w:noVBand="0"/>
      </w:tblPr>
      <w:tblGrid>
        <w:gridCol w:w="1947"/>
        <w:gridCol w:w="1440"/>
        <w:gridCol w:w="1440"/>
        <w:gridCol w:w="1440"/>
        <w:gridCol w:w="1440"/>
        <w:gridCol w:w="1440"/>
        <w:gridCol w:w="1440"/>
      </w:tblGrid>
      <w:tr w:rsidR="00FB1BD2" w:rsidRPr="00D31966" w14:paraId="02B53C31" w14:textId="77777777" w:rsidTr="00904F24">
        <w:trPr>
          <w:jc w:val="center"/>
        </w:trPr>
        <w:tc>
          <w:tcPr>
            <w:tcW w:w="1947" w:type="dxa"/>
            <w:tcBorders>
              <w:top w:val="single" w:sz="6" w:space="0" w:color="auto"/>
              <w:left w:val="nil"/>
              <w:right w:val="nil"/>
            </w:tcBorders>
          </w:tcPr>
          <w:p w14:paraId="0895347B" w14:textId="77777777" w:rsidR="00FB1BD2" w:rsidRPr="00D31966" w:rsidRDefault="00FB1BD2" w:rsidP="00904F24">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single" w:sz="6" w:space="0" w:color="auto"/>
              <w:left w:val="nil"/>
              <w:right w:val="nil"/>
            </w:tcBorders>
          </w:tcPr>
          <w:p w14:paraId="5F0AFB85"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(1)</w:t>
            </w:r>
          </w:p>
        </w:tc>
        <w:tc>
          <w:tcPr>
            <w:tcW w:w="1440" w:type="dxa"/>
            <w:tcBorders>
              <w:top w:val="single" w:sz="6" w:space="0" w:color="auto"/>
              <w:left w:val="nil"/>
              <w:right w:val="nil"/>
            </w:tcBorders>
          </w:tcPr>
          <w:p w14:paraId="435FF6EE"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(2)</w:t>
            </w:r>
          </w:p>
        </w:tc>
        <w:tc>
          <w:tcPr>
            <w:tcW w:w="1440" w:type="dxa"/>
            <w:tcBorders>
              <w:top w:val="single" w:sz="6" w:space="0" w:color="auto"/>
              <w:left w:val="nil"/>
              <w:right w:val="nil"/>
            </w:tcBorders>
          </w:tcPr>
          <w:p w14:paraId="5390EB97"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(3)</w:t>
            </w:r>
          </w:p>
        </w:tc>
        <w:tc>
          <w:tcPr>
            <w:tcW w:w="1440" w:type="dxa"/>
            <w:tcBorders>
              <w:top w:val="single" w:sz="6" w:space="0" w:color="auto"/>
              <w:left w:val="nil"/>
              <w:right w:val="nil"/>
            </w:tcBorders>
          </w:tcPr>
          <w:p w14:paraId="79AAE59B"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(4)</w:t>
            </w:r>
          </w:p>
        </w:tc>
        <w:tc>
          <w:tcPr>
            <w:tcW w:w="1440" w:type="dxa"/>
            <w:tcBorders>
              <w:top w:val="single" w:sz="6" w:space="0" w:color="auto"/>
              <w:left w:val="nil"/>
              <w:right w:val="nil"/>
            </w:tcBorders>
          </w:tcPr>
          <w:p w14:paraId="2C375EC6"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(5)</w:t>
            </w:r>
          </w:p>
        </w:tc>
        <w:tc>
          <w:tcPr>
            <w:tcW w:w="1440" w:type="dxa"/>
            <w:tcBorders>
              <w:top w:val="single" w:sz="6" w:space="0" w:color="auto"/>
              <w:left w:val="nil"/>
              <w:right w:val="nil"/>
            </w:tcBorders>
          </w:tcPr>
          <w:p w14:paraId="633BA852"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(6)</w:t>
            </w:r>
          </w:p>
        </w:tc>
      </w:tr>
      <w:tr w:rsidR="00FB1BD2" w:rsidRPr="00D31966" w14:paraId="53B9F8DB" w14:textId="77777777" w:rsidTr="00904F24">
        <w:trPr>
          <w:jc w:val="center"/>
        </w:trPr>
        <w:tc>
          <w:tcPr>
            <w:tcW w:w="1947" w:type="dxa"/>
            <w:tcBorders>
              <w:top w:val="nil"/>
              <w:left w:val="nil"/>
              <w:right w:val="nil"/>
            </w:tcBorders>
          </w:tcPr>
          <w:p w14:paraId="7DD2D493" w14:textId="77777777" w:rsidR="00FB1BD2" w:rsidRPr="00D31966" w:rsidRDefault="00FB1BD2" w:rsidP="00904F24">
            <w:pPr>
              <w:widowControl w:val="0"/>
              <w:autoSpaceDE w:val="0"/>
              <w:autoSpaceDN w:val="0"/>
              <w:adjustRightInd w:val="0"/>
              <w:spacing w:after="0" w:line="240" w:lineRule="auto"/>
              <w:rPr>
                <w:rFonts w:ascii="Times New Roman" w:hAnsi="Times New Roman" w:cs="Times New Roman"/>
                <w:sz w:val="20"/>
                <w:szCs w:val="20"/>
              </w:rPr>
            </w:pPr>
          </w:p>
        </w:tc>
        <w:tc>
          <w:tcPr>
            <w:tcW w:w="4320" w:type="dxa"/>
            <w:gridSpan w:val="3"/>
            <w:tcBorders>
              <w:top w:val="nil"/>
              <w:left w:val="nil"/>
              <w:right w:val="nil"/>
            </w:tcBorders>
          </w:tcPr>
          <w:p w14:paraId="1C321520"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Original results</w:t>
            </w:r>
          </w:p>
        </w:tc>
        <w:tc>
          <w:tcPr>
            <w:tcW w:w="4320" w:type="dxa"/>
            <w:gridSpan w:val="3"/>
            <w:tcBorders>
              <w:top w:val="nil"/>
              <w:left w:val="nil"/>
              <w:right w:val="nil"/>
            </w:tcBorders>
          </w:tcPr>
          <w:p w14:paraId="486131A2"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With IP employment added</w:t>
            </w:r>
          </w:p>
        </w:tc>
      </w:tr>
      <w:tr w:rsidR="00FB1BD2" w:rsidRPr="00D31966" w14:paraId="3621589E" w14:textId="77777777" w:rsidTr="00904F24">
        <w:trPr>
          <w:jc w:val="center"/>
        </w:trPr>
        <w:tc>
          <w:tcPr>
            <w:tcW w:w="1947" w:type="dxa"/>
            <w:tcBorders>
              <w:left w:val="nil"/>
              <w:bottom w:val="single" w:sz="6" w:space="0" w:color="auto"/>
              <w:right w:val="nil"/>
            </w:tcBorders>
          </w:tcPr>
          <w:p w14:paraId="208CBDB5" w14:textId="77777777" w:rsidR="00FB1BD2" w:rsidRPr="00D31966" w:rsidRDefault="00FB1BD2" w:rsidP="00904F24">
            <w:pPr>
              <w:widowControl w:val="0"/>
              <w:autoSpaceDE w:val="0"/>
              <w:autoSpaceDN w:val="0"/>
              <w:adjustRightInd w:val="0"/>
              <w:spacing w:after="0" w:line="240" w:lineRule="auto"/>
              <w:rPr>
                <w:rFonts w:ascii="Times New Roman" w:hAnsi="Times New Roman" w:cs="Times New Roman"/>
                <w:sz w:val="20"/>
                <w:szCs w:val="20"/>
              </w:rPr>
            </w:pPr>
            <w:r w:rsidRPr="00D31966">
              <w:rPr>
                <w:rFonts w:ascii="Times New Roman" w:hAnsi="Times New Roman" w:cs="Times New Roman"/>
                <w:sz w:val="20"/>
                <w:szCs w:val="20"/>
              </w:rPr>
              <w:t>VARIABLES</w:t>
            </w:r>
          </w:p>
        </w:tc>
        <w:tc>
          <w:tcPr>
            <w:tcW w:w="1440" w:type="dxa"/>
            <w:tcBorders>
              <w:left w:val="nil"/>
              <w:bottom w:val="single" w:sz="6" w:space="0" w:color="auto"/>
              <w:right w:val="nil"/>
            </w:tcBorders>
          </w:tcPr>
          <w:p w14:paraId="52567B8E"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All firms</w:t>
            </w:r>
          </w:p>
        </w:tc>
        <w:tc>
          <w:tcPr>
            <w:tcW w:w="1440" w:type="dxa"/>
            <w:tcBorders>
              <w:left w:val="nil"/>
              <w:bottom w:val="single" w:sz="6" w:space="0" w:color="auto"/>
              <w:right w:val="nil"/>
            </w:tcBorders>
          </w:tcPr>
          <w:p w14:paraId="5ACED645"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10-49 firms</w:t>
            </w:r>
          </w:p>
        </w:tc>
        <w:tc>
          <w:tcPr>
            <w:tcW w:w="1440" w:type="dxa"/>
            <w:tcBorders>
              <w:left w:val="nil"/>
              <w:bottom w:val="single" w:sz="6" w:space="0" w:color="auto"/>
              <w:right w:val="nil"/>
            </w:tcBorders>
          </w:tcPr>
          <w:p w14:paraId="4BFEED2F"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50+ firms</w:t>
            </w:r>
          </w:p>
        </w:tc>
        <w:tc>
          <w:tcPr>
            <w:tcW w:w="1440" w:type="dxa"/>
            <w:tcBorders>
              <w:left w:val="nil"/>
              <w:bottom w:val="single" w:sz="6" w:space="0" w:color="auto"/>
              <w:right w:val="nil"/>
            </w:tcBorders>
          </w:tcPr>
          <w:p w14:paraId="0DDDEEEE"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All firms</w:t>
            </w:r>
          </w:p>
        </w:tc>
        <w:tc>
          <w:tcPr>
            <w:tcW w:w="1440" w:type="dxa"/>
            <w:tcBorders>
              <w:left w:val="nil"/>
              <w:bottom w:val="single" w:sz="6" w:space="0" w:color="auto"/>
              <w:right w:val="nil"/>
            </w:tcBorders>
          </w:tcPr>
          <w:p w14:paraId="1623E58C"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10-49 firms</w:t>
            </w:r>
          </w:p>
        </w:tc>
        <w:tc>
          <w:tcPr>
            <w:tcW w:w="1440" w:type="dxa"/>
            <w:tcBorders>
              <w:left w:val="nil"/>
              <w:bottom w:val="single" w:sz="6" w:space="0" w:color="auto"/>
              <w:right w:val="nil"/>
            </w:tcBorders>
          </w:tcPr>
          <w:p w14:paraId="7A29F177"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50+ firms</w:t>
            </w:r>
          </w:p>
        </w:tc>
      </w:tr>
      <w:tr w:rsidR="00FB1BD2" w:rsidRPr="00D31966" w14:paraId="5624BCB7" w14:textId="77777777" w:rsidTr="00904F24">
        <w:trPr>
          <w:jc w:val="center"/>
        </w:trPr>
        <w:tc>
          <w:tcPr>
            <w:tcW w:w="1947" w:type="dxa"/>
            <w:tcBorders>
              <w:top w:val="nil"/>
              <w:left w:val="nil"/>
              <w:bottom w:val="nil"/>
              <w:right w:val="nil"/>
            </w:tcBorders>
          </w:tcPr>
          <w:p w14:paraId="38517EF0" w14:textId="77777777" w:rsidR="00FB1BD2" w:rsidRPr="00D31966" w:rsidRDefault="00FB1BD2" w:rsidP="00904F24">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14:paraId="297F995A"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p>
        </w:tc>
        <w:tc>
          <w:tcPr>
            <w:tcW w:w="1440" w:type="dxa"/>
            <w:tcBorders>
              <w:top w:val="nil"/>
              <w:left w:val="nil"/>
              <w:bottom w:val="nil"/>
              <w:right w:val="nil"/>
            </w:tcBorders>
          </w:tcPr>
          <w:p w14:paraId="1F2AD535"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p>
        </w:tc>
        <w:tc>
          <w:tcPr>
            <w:tcW w:w="1440" w:type="dxa"/>
            <w:tcBorders>
              <w:top w:val="nil"/>
              <w:left w:val="nil"/>
              <w:bottom w:val="nil"/>
              <w:right w:val="nil"/>
            </w:tcBorders>
          </w:tcPr>
          <w:p w14:paraId="49421EFB"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p>
        </w:tc>
        <w:tc>
          <w:tcPr>
            <w:tcW w:w="1440" w:type="dxa"/>
            <w:tcBorders>
              <w:top w:val="nil"/>
              <w:left w:val="nil"/>
              <w:bottom w:val="nil"/>
              <w:right w:val="nil"/>
            </w:tcBorders>
          </w:tcPr>
          <w:p w14:paraId="08AB5D07"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p>
        </w:tc>
        <w:tc>
          <w:tcPr>
            <w:tcW w:w="1440" w:type="dxa"/>
            <w:tcBorders>
              <w:top w:val="nil"/>
              <w:left w:val="nil"/>
              <w:bottom w:val="nil"/>
              <w:right w:val="nil"/>
            </w:tcBorders>
          </w:tcPr>
          <w:p w14:paraId="311C80DA"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p>
        </w:tc>
        <w:tc>
          <w:tcPr>
            <w:tcW w:w="1440" w:type="dxa"/>
            <w:tcBorders>
              <w:top w:val="nil"/>
              <w:left w:val="nil"/>
              <w:bottom w:val="nil"/>
              <w:right w:val="nil"/>
            </w:tcBorders>
          </w:tcPr>
          <w:p w14:paraId="2D880496"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p>
        </w:tc>
      </w:tr>
      <w:tr w:rsidR="00FB1BD2" w:rsidRPr="00D31966" w14:paraId="5B232E96" w14:textId="77777777" w:rsidTr="00904F24">
        <w:trPr>
          <w:jc w:val="center"/>
        </w:trPr>
        <w:tc>
          <w:tcPr>
            <w:tcW w:w="1947" w:type="dxa"/>
            <w:tcBorders>
              <w:top w:val="nil"/>
              <w:left w:val="nil"/>
              <w:bottom w:val="nil"/>
              <w:right w:val="nil"/>
            </w:tcBorders>
          </w:tcPr>
          <w:p w14:paraId="5A68AA98" w14:textId="4DA75F6B" w:rsidR="00FB1BD2" w:rsidRPr="00D31966" w:rsidRDefault="00405C04" w:rsidP="00904F24">
            <w:pPr>
              <w:widowControl w:val="0"/>
              <w:autoSpaceDE w:val="0"/>
              <w:autoSpaceDN w:val="0"/>
              <w:adjustRightInd w:val="0"/>
              <w:spacing w:after="0" w:line="240" w:lineRule="auto"/>
              <w:rPr>
                <w:rFonts w:ascii="Times New Roman" w:hAnsi="Times New Roman" w:cs="Times New Roman"/>
                <w:sz w:val="20"/>
                <w:szCs w:val="20"/>
              </w:rPr>
            </w:pPr>
            <w:r w:rsidRPr="00D31966">
              <w:rPr>
                <w:rFonts w:ascii="Times New Roman" w:hAnsi="Times New Roman" w:cs="Times New Roman"/>
                <w:sz w:val="20"/>
                <w:szCs w:val="20"/>
              </w:rPr>
              <w:t>Y</w:t>
            </w:r>
            <w:r w:rsidR="00FB1BD2" w:rsidRPr="00D31966">
              <w:rPr>
                <w:rFonts w:ascii="Times New Roman" w:hAnsi="Times New Roman" w:cs="Times New Roman"/>
                <w:sz w:val="20"/>
                <w:szCs w:val="20"/>
              </w:rPr>
              <w:t>ear</w:t>
            </w:r>
          </w:p>
        </w:tc>
        <w:tc>
          <w:tcPr>
            <w:tcW w:w="1440" w:type="dxa"/>
            <w:tcBorders>
              <w:top w:val="nil"/>
              <w:left w:val="nil"/>
              <w:bottom w:val="nil"/>
              <w:right w:val="nil"/>
            </w:tcBorders>
          </w:tcPr>
          <w:p w14:paraId="7C657B8E"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0.0661***</w:t>
            </w:r>
          </w:p>
        </w:tc>
        <w:tc>
          <w:tcPr>
            <w:tcW w:w="1440" w:type="dxa"/>
            <w:tcBorders>
              <w:top w:val="nil"/>
              <w:left w:val="nil"/>
              <w:bottom w:val="nil"/>
              <w:right w:val="nil"/>
            </w:tcBorders>
          </w:tcPr>
          <w:p w14:paraId="5C41FDD5"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0.0757***</w:t>
            </w:r>
          </w:p>
        </w:tc>
        <w:tc>
          <w:tcPr>
            <w:tcW w:w="1440" w:type="dxa"/>
            <w:tcBorders>
              <w:top w:val="nil"/>
              <w:left w:val="nil"/>
              <w:bottom w:val="nil"/>
              <w:right w:val="nil"/>
            </w:tcBorders>
          </w:tcPr>
          <w:p w14:paraId="6AB3A8F8"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0.0630***</w:t>
            </w:r>
          </w:p>
        </w:tc>
        <w:tc>
          <w:tcPr>
            <w:tcW w:w="1440" w:type="dxa"/>
            <w:tcBorders>
              <w:top w:val="nil"/>
              <w:left w:val="nil"/>
              <w:bottom w:val="nil"/>
              <w:right w:val="nil"/>
            </w:tcBorders>
          </w:tcPr>
          <w:p w14:paraId="09663512"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0.0696***</w:t>
            </w:r>
          </w:p>
        </w:tc>
        <w:tc>
          <w:tcPr>
            <w:tcW w:w="1440" w:type="dxa"/>
            <w:tcBorders>
              <w:top w:val="nil"/>
              <w:left w:val="nil"/>
              <w:bottom w:val="nil"/>
              <w:right w:val="nil"/>
            </w:tcBorders>
          </w:tcPr>
          <w:p w14:paraId="310EBA7F"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0.0791***</w:t>
            </w:r>
          </w:p>
        </w:tc>
        <w:tc>
          <w:tcPr>
            <w:tcW w:w="1440" w:type="dxa"/>
            <w:tcBorders>
              <w:top w:val="nil"/>
              <w:left w:val="nil"/>
              <w:bottom w:val="nil"/>
              <w:right w:val="nil"/>
            </w:tcBorders>
          </w:tcPr>
          <w:p w14:paraId="1D157481"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0.0668***</w:t>
            </w:r>
          </w:p>
        </w:tc>
      </w:tr>
      <w:tr w:rsidR="00FB1BD2" w:rsidRPr="00D31966" w14:paraId="031B400F" w14:textId="77777777" w:rsidTr="00904F24">
        <w:trPr>
          <w:jc w:val="center"/>
        </w:trPr>
        <w:tc>
          <w:tcPr>
            <w:tcW w:w="1947" w:type="dxa"/>
            <w:tcBorders>
              <w:top w:val="nil"/>
              <w:left w:val="nil"/>
              <w:bottom w:val="nil"/>
              <w:right w:val="nil"/>
            </w:tcBorders>
          </w:tcPr>
          <w:p w14:paraId="6FBF1365" w14:textId="77777777" w:rsidR="00FB1BD2" w:rsidRPr="00D31966" w:rsidRDefault="00FB1BD2" w:rsidP="00904F24">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14:paraId="105800E8"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(0.00437)</w:t>
            </w:r>
          </w:p>
        </w:tc>
        <w:tc>
          <w:tcPr>
            <w:tcW w:w="1440" w:type="dxa"/>
            <w:tcBorders>
              <w:top w:val="nil"/>
              <w:left w:val="nil"/>
              <w:bottom w:val="nil"/>
              <w:right w:val="nil"/>
            </w:tcBorders>
          </w:tcPr>
          <w:p w14:paraId="1B277776"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(0.00505)</w:t>
            </w:r>
          </w:p>
        </w:tc>
        <w:tc>
          <w:tcPr>
            <w:tcW w:w="1440" w:type="dxa"/>
            <w:tcBorders>
              <w:top w:val="nil"/>
              <w:left w:val="nil"/>
              <w:bottom w:val="nil"/>
              <w:right w:val="nil"/>
            </w:tcBorders>
          </w:tcPr>
          <w:p w14:paraId="541E9FAA"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(0.00416)</w:t>
            </w:r>
          </w:p>
        </w:tc>
        <w:tc>
          <w:tcPr>
            <w:tcW w:w="1440" w:type="dxa"/>
            <w:tcBorders>
              <w:top w:val="nil"/>
              <w:left w:val="nil"/>
              <w:bottom w:val="nil"/>
              <w:right w:val="nil"/>
            </w:tcBorders>
          </w:tcPr>
          <w:p w14:paraId="35E026A2"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(0.00444)</w:t>
            </w:r>
          </w:p>
        </w:tc>
        <w:tc>
          <w:tcPr>
            <w:tcW w:w="1440" w:type="dxa"/>
            <w:tcBorders>
              <w:top w:val="nil"/>
              <w:left w:val="nil"/>
              <w:bottom w:val="nil"/>
              <w:right w:val="nil"/>
            </w:tcBorders>
          </w:tcPr>
          <w:p w14:paraId="7336E193"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(0.00494)</w:t>
            </w:r>
          </w:p>
        </w:tc>
        <w:tc>
          <w:tcPr>
            <w:tcW w:w="1440" w:type="dxa"/>
            <w:tcBorders>
              <w:top w:val="nil"/>
              <w:left w:val="nil"/>
              <w:bottom w:val="nil"/>
              <w:right w:val="nil"/>
            </w:tcBorders>
          </w:tcPr>
          <w:p w14:paraId="1B78C49B"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(0.00422)</w:t>
            </w:r>
          </w:p>
        </w:tc>
      </w:tr>
      <w:tr w:rsidR="00FB1BD2" w:rsidRPr="00D31966" w14:paraId="2BCDCE1A" w14:textId="77777777" w:rsidTr="00904F24">
        <w:trPr>
          <w:jc w:val="center"/>
        </w:trPr>
        <w:tc>
          <w:tcPr>
            <w:tcW w:w="1947" w:type="dxa"/>
            <w:tcBorders>
              <w:top w:val="nil"/>
              <w:left w:val="nil"/>
              <w:bottom w:val="nil"/>
              <w:right w:val="nil"/>
            </w:tcBorders>
          </w:tcPr>
          <w:p w14:paraId="47753972" w14:textId="77777777" w:rsidR="00FB1BD2" w:rsidRPr="00D31966" w:rsidRDefault="00FB1BD2" w:rsidP="00904F24">
            <w:pPr>
              <w:widowControl w:val="0"/>
              <w:autoSpaceDE w:val="0"/>
              <w:autoSpaceDN w:val="0"/>
              <w:adjustRightInd w:val="0"/>
              <w:spacing w:after="0" w:line="240" w:lineRule="auto"/>
              <w:rPr>
                <w:rFonts w:ascii="Times New Roman" w:hAnsi="Times New Roman" w:cs="Times New Roman"/>
                <w:sz w:val="20"/>
                <w:szCs w:val="20"/>
              </w:rPr>
            </w:pPr>
            <w:r w:rsidRPr="00D31966">
              <w:rPr>
                <w:rFonts w:ascii="Times New Roman" w:hAnsi="Times New Roman" w:cs="Times New Roman"/>
                <w:sz w:val="20"/>
                <w:szCs w:val="20"/>
              </w:rPr>
              <w:t>Constant</w:t>
            </w:r>
          </w:p>
        </w:tc>
        <w:tc>
          <w:tcPr>
            <w:tcW w:w="1440" w:type="dxa"/>
            <w:tcBorders>
              <w:top w:val="nil"/>
              <w:left w:val="nil"/>
              <w:bottom w:val="nil"/>
              <w:right w:val="nil"/>
            </w:tcBorders>
          </w:tcPr>
          <w:p w14:paraId="77299484"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-124.7***</w:t>
            </w:r>
          </w:p>
        </w:tc>
        <w:tc>
          <w:tcPr>
            <w:tcW w:w="1440" w:type="dxa"/>
            <w:tcBorders>
              <w:top w:val="nil"/>
              <w:left w:val="nil"/>
              <w:bottom w:val="nil"/>
              <w:right w:val="nil"/>
            </w:tcBorders>
          </w:tcPr>
          <w:p w14:paraId="11339573"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-145.9***</w:t>
            </w:r>
          </w:p>
        </w:tc>
        <w:tc>
          <w:tcPr>
            <w:tcW w:w="1440" w:type="dxa"/>
            <w:tcBorders>
              <w:top w:val="nil"/>
              <w:left w:val="nil"/>
              <w:bottom w:val="nil"/>
              <w:right w:val="nil"/>
            </w:tcBorders>
          </w:tcPr>
          <w:p w14:paraId="02F91C3F"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-118.4***</w:t>
            </w:r>
          </w:p>
        </w:tc>
        <w:tc>
          <w:tcPr>
            <w:tcW w:w="1440" w:type="dxa"/>
            <w:tcBorders>
              <w:top w:val="nil"/>
              <w:left w:val="nil"/>
              <w:bottom w:val="nil"/>
              <w:right w:val="nil"/>
            </w:tcBorders>
          </w:tcPr>
          <w:p w14:paraId="29BD4A98"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-131.9***</w:t>
            </w:r>
          </w:p>
        </w:tc>
        <w:tc>
          <w:tcPr>
            <w:tcW w:w="1440" w:type="dxa"/>
            <w:tcBorders>
              <w:top w:val="nil"/>
              <w:left w:val="nil"/>
              <w:bottom w:val="nil"/>
              <w:right w:val="nil"/>
            </w:tcBorders>
          </w:tcPr>
          <w:p w14:paraId="5DE37B6A"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-152.6***</w:t>
            </w:r>
          </w:p>
        </w:tc>
        <w:tc>
          <w:tcPr>
            <w:tcW w:w="1440" w:type="dxa"/>
            <w:tcBorders>
              <w:top w:val="nil"/>
              <w:left w:val="nil"/>
              <w:bottom w:val="nil"/>
              <w:right w:val="nil"/>
            </w:tcBorders>
          </w:tcPr>
          <w:p w14:paraId="7B028C50"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-126.1***</w:t>
            </w:r>
          </w:p>
        </w:tc>
      </w:tr>
      <w:tr w:rsidR="00FB1BD2" w:rsidRPr="00D31966" w14:paraId="5D271966" w14:textId="77777777" w:rsidTr="00904F24">
        <w:trPr>
          <w:jc w:val="center"/>
        </w:trPr>
        <w:tc>
          <w:tcPr>
            <w:tcW w:w="1947" w:type="dxa"/>
            <w:tcBorders>
              <w:top w:val="nil"/>
              <w:left w:val="nil"/>
              <w:bottom w:val="nil"/>
              <w:right w:val="nil"/>
            </w:tcBorders>
          </w:tcPr>
          <w:p w14:paraId="11688ACC" w14:textId="77777777" w:rsidR="00FB1BD2" w:rsidRPr="00D31966" w:rsidRDefault="00FB1BD2" w:rsidP="00904F24">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14:paraId="72A1754B"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(8.765)</w:t>
            </w:r>
          </w:p>
        </w:tc>
        <w:tc>
          <w:tcPr>
            <w:tcW w:w="1440" w:type="dxa"/>
            <w:tcBorders>
              <w:top w:val="nil"/>
              <w:left w:val="nil"/>
              <w:bottom w:val="nil"/>
              <w:right w:val="nil"/>
            </w:tcBorders>
          </w:tcPr>
          <w:p w14:paraId="371DBF80"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(10.13)</w:t>
            </w:r>
          </w:p>
        </w:tc>
        <w:tc>
          <w:tcPr>
            <w:tcW w:w="1440" w:type="dxa"/>
            <w:tcBorders>
              <w:top w:val="nil"/>
              <w:left w:val="nil"/>
              <w:bottom w:val="nil"/>
              <w:right w:val="nil"/>
            </w:tcBorders>
          </w:tcPr>
          <w:p w14:paraId="0B4851B8"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(8.342)</w:t>
            </w:r>
          </w:p>
        </w:tc>
        <w:tc>
          <w:tcPr>
            <w:tcW w:w="1440" w:type="dxa"/>
            <w:tcBorders>
              <w:top w:val="nil"/>
              <w:left w:val="nil"/>
              <w:bottom w:val="nil"/>
              <w:right w:val="nil"/>
            </w:tcBorders>
          </w:tcPr>
          <w:p w14:paraId="7073A681"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(8.913)</w:t>
            </w:r>
          </w:p>
        </w:tc>
        <w:tc>
          <w:tcPr>
            <w:tcW w:w="1440" w:type="dxa"/>
            <w:tcBorders>
              <w:top w:val="nil"/>
              <w:left w:val="nil"/>
              <w:bottom w:val="nil"/>
              <w:right w:val="nil"/>
            </w:tcBorders>
          </w:tcPr>
          <w:p w14:paraId="1FC79894"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(9.917)</w:t>
            </w:r>
          </w:p>
        </w:tc>
        <w:tc>
          <w:tcPr>
            <w:tcW w:w="1440" w:type="dxa"/>
            <w:tcBorders>
              <w:top w:val="nil"/>
              <w:left w:val="nil"/>
              <w:bottom w:val="nil"/>
              <w:right w:val="nil"/>
            </w:tcBorders>
          </w:tcPr>
          <w:p w14:paraId="47352707"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(8.469)</w:t>
            </w:r>
          </w:p>
        </w:tc>
      </w:tr>
      <w:tr w:rsidR="00FB1BD2" w:rsidRPr="00D31966" w14:paraId="18C60FD5" w14:textId="77777777" w:rsidTr="00904F24">
        <w:trPr>
          <w:jc w:val="center"/>
        </w:trPr>
        <w:tc>
          <w:tcPr>
            <w:tcW w:w="1947" w:type="dxa"/>
            <w:tcBorders>
              <w:top w:val="nil"/>
              <w:left w:val="nil"/>
              <w:bottom w:val="nil"/>
              <w:right w:val="nil"/>
            </w:tcBorders>
          </w:tcPr>
          <w:p w14:paraId="40064070" w14:textId="77777777" w:rsidR="00FB1BD2" w:rsidRPr="00D31966" w:rsidRDefault="00FB1BD2" w:rsidP="00904F24">
            <w:pPr>
              <w:widowControl w:val="0"/>
              <w:autoSpaceDE w:val="0"/>
              <w:autoSpaceDN w:val="0"/>
              <w:adjustRightInd w:val="0"/>
              <w:spacing w:after="0" w:line="240" w:lineRule="auto"/>
              <w:rPr>
                <w:rFonts w:ascii="Times New Roman" w:hAnsi="Times New Roman" w:cs="Times New Roman"/>
                <w:sz w:val="20"/>
                <w:szCs w:val="20"/>
              </w:rPr>
            </w:pPr>
          </w:p>
        </w:tc>
        <w:tc>
          <w:tcPr>
            <w:tcW w:w="1440" w:type="dxa"/>
            <w:tcBorders>
              <w:top w:val="nil"/>
              <w:left w:val="nil"/>
              <w:bottom w:val="nil"/>
              <w:right w:val="nil"/>
            </w:tcBorders>
          </w:tcPr>
          <w:p w14:paraId="4AE2CF1F"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p>
        </w:tc>
        <w:tc>
          <w:tcPr>
            <w:tcW w:w="1440" w:type="dxa"/>
            <w:tcBorders>
              <w:top w:val="nil"/>
              <w:left w:val="nil"/>
              <w:bottom w:val="nil"/>
              <w:right w:val="nil"/>
            </w:tcBorders>
          </w:tcPr>
          <w:p w14:paraId="7A30A835"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p>
        </w:tc>
        <w:tc>
          <w:tcPr>
            <w:tcW w:w="1440" w:type="dxa"/>
            <w:tcBorders>
              <w:top w:val="nil"/>
              <w:left w:val="nil"/>
              <w:bottom w:val="nil"/>
              <w:right w:val="nil"/>
            </w:tcBorders>
          </w:tcPr>
          <w:p w14:paraId="37B1F230"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p>
        </w:tc>
        <w:tc>
          <w:tcPr>
            <w:tcW w:w="1440" w:type="dxa"/>
            <w:tcBorders>
              <w:top w:val="nil"/>
              <w:left w:val="nil"/>
              <w:bottom w:val="nil"/>
              <w:right w:val="nil"/>
            </w:tcBorders>
          </w:tcPr>
          <w:p w14:paraId="40A4FBDF"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p>
        </w:tc>
        <w:tc>
          <w:tcPr>
            <w:tcW w:w="1440" w:type="dxa"/>
            <w:tcBorders>
              <w:top w:val="nil"/>
              <w:left w:val="nil"/>
              <w:bottom w:val="nil"/>
              <w:right w:val="nil"/>
            </w:tcBorders>
          </w:tcPr>
          <w:p w14:paraId="145F6B16"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p>
        </w:tc>
        <w:tc>
          <w:tcPr>
            <w:tcW w:w="1440" w:type="dxa"/>
            <w:tcBorders>
              <w:top w:val="nil"/>
              <w:left w:val="nil"/>
              <w:bottom w:val="nil"/>
              <w:right w:val="nil"/>
            </w:tcBorders>
          </w:tcPr>
          <w:p w14:paraId="2B9BF300"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p>
        </w:tc>
      </w:tr>
      <w:tr w:rsidR="00FB1BD2" w:rsidRPr="00D31966" w14:paraId="0B1C75BB" w14:textId="77777777" w:rsidTr="00904F24">
        <w:trPr>
          <w:jc w:val="center"/>
        </w:trPr>
        <w:tc>
          <w:tcPr>
            <w:tcW w:w="1947" w:type="dxa"/>
            <w:tcBorders>
              <w:top w:val="nil"/>
              <w:left w:val="nil"/>
              <w:bottom w:val="nil"/>
              <w:right w:val="nil"/>
            </w:tcBorders>
          </w:tcPr>
          <w:p w14:paraId="015A2723" w14:textId="77777777" w:rsidR="00FB1BD2" w:rsidRPr="00D31966" w:rsidRDefault="00FB1BD2" w:rsidP="00904F24">
            <w:pPr>
              <w:widowControl w:val="0"/>
              <w:autoSpaceDE w:val="0"/>
              <w:autoSpaceDN w:val="0"/>
              <w:adjustRightInd w:val="0"/>
              <w:spacing w:after="0" w:line="240" w:lineRule="auto"/>
              <w:rPr>
                <w:rFonts w:ascii="Times New Roman" w:hAnsi="Times New Roman" w:cs="Times New Roman"/>
                <w:sz w:val="20"/>
                <w:szCs w:val="20"/>
              </w:rPr>
            </w:pPr>
            <w:r w:rsidRPr="00D31966">
              <w:rPr>
                <w:rFonts w:ascii="Times New Roman" w:hAnsi="Times New Roman" w:cs="Times New Roman"/>
                <w:sz w:val="20"/>
                <w:szCs w:val="20"/>
              </w:rPr>
              <w:t>Observations</w:t>
            </w:r>
          </w:p>
        </w:tc>
        <w:tc>
          <w:tcPr>
            <w:tcW w:w="1440" w:type="dxa"/>
            <w:tcBorders>
              <w:top w:val="nil"/>
              <w:left w:val="nil"/>
              <w:bottom w:val="nil"/>
              <w:right w:val="nil"/>
            </w:tcBorders>
          </w:tcPr>
          <w:p w14:paraId="7A9C2B80"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370</w:t>
            </w:r>
          </w:p>
        </w:tc>
        <w:tc>
          <w:tcPr>
            <w:tcW w:w="1440" w:type="dxa"/>
            <w:tcBorders>
              <w:top w:val="nil"/>
              <w:left w:val="nil"/>
              <w:bottom w:val="nil"/>
              <w:right w:val="nil"/>
            </w:tcBorders>
          </w:tcPr>
          <w:p w14:paraId="543DB9C6"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326</w:t>
            </w:r>
          </w:p>
        </w:tc>
        <w:tc>
          <w:tcPr>
            <w:tcW w:w="1440" w:type="dxa"/>
            <w:tcBorders>
              <w:top w:val="nil"/>
              <w:left w:val="nil"/>
              <w:bottom w:val="nil"/>
              <w:right w:val="nil"/>
            </w:tcBorders>
          </w:tcPr>
          <w:p w14:paraId="5F0CB213"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349</w:t>
            </w:r>
          </w:p>
        </w:tc>
        <w:tc>
          <w:tcPr>
            <w:tcW w:w="1440" w:type="dxa"/>
            <w:tcBorders>
              <w:top w:val="nil"/>
              <w:left w:val="nil"/>
              <w:bottom w:val="nil"/>
              <w:right w:val="nil"/>
            </w:tcBorders>
          </w:tcPr>
          <w:p w14:paraId="0518783E"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370</w:t>
            </w:r>
          </w:p>
        </w:tc>
        <w:tc>
          <w:tcPr>
            <w:tcW w:w="1440" w:type="dxa"/>
            <w:tcBorders>
              <w:top w:val="nil"/>
              <w:left w:val="nil"/>
              <w:bottom w:val="nil"/>
              <w:right w:val="nil"/>
            </w:tcBorders>
          </w:tcPr>
          <w:p w14:paraId="16C9A73C"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326</w:t>
            </w:r>
          </w:p>
        </w:tc>
        <w:tc>
          <w:tcPr>
            <w:tcW w:w="1440" w:type="dxa"/>
            <w:tcBorders>
              <w:top w:val="nil"/>
              <w:left w:val="nil"/>
              <w:bottom w:val="nil"/>
              <w:right w:val="nil"/>
            </w:tcBorders>
          </w:tcPr>
          <w:p w14:paraId="512171ED"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349</w:t>
            </w:r>
          </w:p>
        </w:tc>
      </w:tr>
      <w:tr w:rsidR="00FB1BD2" w:rsidRPr="00D31966" w14:paraId="5093A924" w14:textId="77777777" w:rsidTr="00904F24">
        <w:trPr>
          <w:jc w:val="center"/>
        </w:trPr>
        <w:tc>
          <w:tcPr>
            <w:tcW w:w="1947" w:type="dxa"/>
            <w:tcBorders>
              <w:top w:val="nil"/>
              <w:left w:val="nil"/>
              <w:bottom w:val="nil"/>
              <w:right w:val="nil"/>
            </w:tcBorders>
          </w:tcPr>
          <w:p w14:paraId="5DDD383C" w14:textId="77777777" w:rsidR="00FB1BD2" w:rsidRPr="00D31966" w:rsidRDefault="00FB1BD2" w:rsidP="00904F24">
            <w:pPr>
              <w:widowControl w:val="0"/>
              <w:autoSpaceDE w:val="0"/>
              <w:autoSpaceDN w:val="0"/>
              <w:adjustRightInd w:val="0"/>
              <w:spacing w:after="0" w:line="240" w:lineRule="auto"/>
              <w:rPr>
                <w:rFonts w:ascii="Times New Roman" w:hAnsi="Times New Roman" w:cs="Times New Roman"/>
                <w:sz w:val="20"/>
                <w:szCs w:val="20"/>
              </w:rPr>
            </w:pPr>
            <w:r w:rsidRPr="00D31966">
              <w:rPr>
                <w:rFonts w:ascii="Times New Roman" w:hAnsi="Times New Roman" w:cs="Times New Roman"/>
                <w:sz w:val="20"/>
                <w:szCs w:val="20"/>
              </w:rPr>
              <w:t>R-squared</w:t>
            </w:r>
          </w:p>
        </w:tc>
        <w:tc>
          <w:tcPr>
            <w:tcW w:w="1440" w:type="dxa"/>
            <w:tcBorders>
              <w:top w:val="nil"/>
              <w:left w:val="nil"/>
              <w:bottom w:val="nil"/>
              <w:right w:val="nil"/>
            </w:tcBorders>
          </w:tcPr>
          <w:p w14:paraId="0AC34392"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0.399</w:t>
            </w:r>
          </w:p>
        </w:tc>
        <w:tc>
          <w:tcPr>
            <w:tcW w:w="1440" w:type="dxa"/>
            <w:tcBorders>
              <w:top w:val="nil"/>
              <w:left w:val="nil"/>
              <w:bottom w:val="nil"/>
              <w:right w:val="nil"/>
            </w:tcBorders>
          </w:tcPr>
          <w:p w14:paraId="0003EF7D"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0.427</w:t>
            </w:r>
          </w:p>
        </w:tc>
        <w:tc>
          <w:tcPr>
            <w:tcW w:w="1440" w:type="dxa"/>
            <w:tcBorders>
              <w:top w:val="nil"/>
              <w:left w:val="nil"/>
              <w:bottom w:val="nil"/>
              <w:right w:val="nil"/>
            </w:tcBorders>
          </w:tcPr>
          <w:p w14:paraId="320751C6"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0.413</w:t>
            </w:r>
          </w:p>
        </w:tc>
        <w:tc>
          <w:tcPr>
            <w:tcW w:w="1440" w:type="dxa"/>
            <w:tcBorders>
              <w:top w:val="nil"/>
              <w:left w:val="nil"/>
              <w:bottom w:val="nil"/>
              <w:right w:val="nil"/>
            </w:tcBorders>
          </w:tcPr>
          <w:p w14:paraId="5DD8D7B8"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0.416</w:t>
            </w:r>
          </w:p>
        </w:tc>
        <w:tc>
          <w:tcPr>
            <w:tcW w:w="1440" w:type="dxa"/>
            <w:tcBorders>
              <w:top w:val="nil"/>
              <w:left w:val="nil"/>
              <w:bottom w:val="nil"/>
              <w:right w:val="nil"/>
            </w:tcBorders>
          </w:tcPr>
          <w:p w14:paraId="62D89DBF"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0.458</w:t>
            </w:r>
          </w:p>
        </w:tc>
        <w:tc>
          <w:tcPr>
            <w:tcW w:w="1440" w:type="dxa"/>
            <w:tcBorders>
              <w:top w:val="nil"/>
              <w:left w:val="nil"/>
              <w:bottom w:val="nil"/>
              <w:right w:val="nil"/>
            </w:tcBorders>
          </w:tcPr>
          <w:p w14:paraId="2B28A020"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0.434</w:t>
            </w:r>
          </w:p>
        </w:tc>
      </w:tr>
      <w:tr w:rsidR="00FB1BD2" w:rsidRPr="00D31966" w14:paraId="5FCA23B0" w14:textId="77777777" w:rsidTr="00904F24">
        <w:tblPrEx>
          <w:tblBorders>
            <w:bottom w:val="single" w:sz="6" w:space="0" w:color="auto"/>
          </w:tblBorders>
        </w:tblPrEx>
        <w:trPr>
          <w:jc w:val="center"/>
        </w:trPr>
        <w:tc>
          <w:tcPr>
            <w:tcW w:w="1947" w:type="dxa"/>
            <w:tcBorders>
              <w:top w:val="nil"/>
              <w:left w:val="nil"/>
              <w:bottom w:val="single" w:sz="6" w:space="0" w:color="auto"/>
              <w:right w:val="nil"/>
            </w:tcBorders>
          </w:tcPr>
          <w:p w14:paraId="4BCCA8C9" w14:textId="77777777" w:rsidR="00FB1BD2" w:rsidRPr="00D31966" w:rsidRDefault="00FB1BD2" w:rsidP="00904F24">
            <w:pPr>
              <w:widowControl w:val="0"/>
              <w:autoSpaceDE w:val="0"/>
              <w:autoSpaceDN w:val="0"/>
              <w:adjustRightInd w:val="0"/>
              <w:spacing w:after="0" w:line="240" w:lineRule="auto"/>
              <w:rPr>
                <w:rFonts w:ascii="Times New Roman" w:hAnsi="Times New Roman" w:cs="Times New Roman"/>
                <w:sz w:val="20"/>
                <w:szCs w:val="20"/>
              </w:rPr>
            </w:pPr>
            <w:r w:rsidRPr="00D31966">
              <w:rPr>
                <w:rFonts w:ascii="Times New Roman" w:hAnsi="Times New Roman" w:cs="Times New Roman"/>
                <w:sz w:val="20"/>
                <w:szCs w:val="20"/>
              </w:rPr>
              <w:t xml:space="preserve">Number of </w:t>
            </w:r>
            <w:proofErr w:type="gramStart"/>
            <w:r w:rsidRPr="00D31966">
              <w:rPr>
                <w:rFonts w:ascii="Times New Roman" w:hAnsi="Times New Roman" w:cs="Times New Roman"/>
                <w:sz w:val="20"/>
                <w:szCs w:val="20"/>
              </w:rPr>
              <w:t>id</w:t>
            </w:r>
            <w:proofErr w:type="gramEnd"/>
          </w:p>
        </w:tc>
        <w:tc>
          <w:tcPr>
            <w:tcW w:w="1440" w:type="dxa"/>
            <w:tcBorders>
              <w:top w:val="nil"/>
              <w:left w:val="nil"/>
              <w:bottom w:val="single" w:sz="6" w:space="0" w:color="auto"/>
              <w:right w:val="nil"/>
            </w:tcBorders>
          </w:tcPr>
          <w:p w14:paraId="057417A4"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24</w:t>
            </w:r>
          </w:p>
        </w:tc>
        <w:tc>
          <w:tcPr>
            <w:tcW w:w="1440" w:type="dxa"/>
            <w:tcBorders>
              <w:top w:val="nil"/>
              <w:left w:val="nil"/>
              <w:bottom w:val="single" w:sz="6" w:space="0" w:color="auto"/>
              <w:right w:val="nil"/>
            </w:tcBorders>
          </w:tcPr>
          <w:p w14:paraId="51BBA247"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22</w:t>
            </w:r>
          </w:p>
        </w:tc>
        <w:tc>
          <w:tcPr>
            <w:tcW w:w="1440" w:type="dxa"/>
            <w:tcBorders>
              <w:top w:val="nil"/>
              <w:left w:val="nil"/>
              <w:bottom w:val="single" w:sz="6" w:space="0" w:color="auto"/>
              <w:right w:val="nil"/>
            </w:tcBorders>
          </w:tcPr>
          <w:p w14:paraId="264D645F"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22</w:t>
            </w:r>
          </w:p>
        </w:tc>
        <w:tc>
          <w:tcPr>
            <w:tcW w:w="1440" w:type="dxa"/>
            <w:tcBorders>
              <w:top w:val="nil"/>
              <w:left w:val="nil"/>
              <w:bottom w:val="single" w:sz="6" w:space="0" w:color="auto"/>
              <w:right w:val="nil"/>
            </w:tcBorders>
          </w:tcPr>
          <w:p w14:paraId="02105D8B"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24</w:t>
            </w:r>
          </w:p>
        </w:tc>
        <w:tc>
          <w:tcPr>
            <w:tcW w:w="1440" w:type="dxa"/>
            <w:tcBorders>
              <w:top w:val="nil"/>
              <w:left w:val="nil"/>
              <w:bottom w:val="single" w:sz="6" w:space="0" w:color="auto"/>
              <w:right w:val="nil"/>
            </w:tcBorders>
          </w:tcPr>
          <w:p w14:paraId="48E1467B"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22</w:t>
            </w:r>
          </w:p>
        </w:tc>
        <w:tc>
          <w:tcPr>
            <w:tcW w:w="1440" w:type="dxa"/>
            <w:tcBorders>
              <w:top w:val="nil"/>
              <w:left w:val="nil"/>
              <w:bottom w:val="single" w:sz="6" w:space="0" w:color="auto"/>
              <w:right w:val="nil"/>
            </w:tcBorders>
          </w:tcPr>
          <w:p w14:paraId="0559C43E" w14:textId="77777777" w:rsidR="00FB1BD2" w:rsidRPr="00D31966" w:rsidRDefault="00FB1BD2" w:rsidP="00904F24">
            <w:pPr>
              <w:widowControl w:val="0"/>
              <w:autoSpaceDE w:val="0"/>
              <w:autoSpaceDN w:val="0"/>
              <w:adjustRightInd w:val="0"/>
              <w:spacing w:after="0" w:line="240" w:lineRule="auto"/>
              <w:jc w:val="center"/>
              <w:rPr>
                <w:rFonts w:ascii="Times New Roman" w:hAnsi="Times New Roman" w:cs="Times New Roman"/>
                <w:sz w:val="20"/>
                <w:szCs w:val="20"/>
              </w:rPr>
            </w:pPr>
            <w:r w:rsidRPr="00D31966">
              <w:rPr>
                <w:rFonts w:ascii="Times New Roman" w:hAnsi="Times New Roman" w:cs="Times New Roman"/>
                <w:sz w:val="20"/>
                <w:szCs w:val="20"/>
              </w:rPr>
              <w:t>22</w:t>
            </w:r>
          </w:p>
        </w:tc>
      </w:tr>
    </w:tbl>
    <w:p w14:paraId="68C7F45F" w14:textId="135D203A" w:rsidR="00FB1BD2" w:rsidRPr="00D31966" w:rsidRDefault="00FB1BD2" w:rsidP="00FB1BD2">
      <w:pPr>
        <w:widowControl w:val="0"/>
        <w:autoSpaceDE w:val="0"/>
        <w:autoSpaceDN w:val="0"/>
        <w:adjustRightInd w:val="0"/>
        <w:spacing w:after="0" w:line="240" w:lineRule="auto"/>
        <w:rPr>
          <w:rFonts w:ascii="Times New Roman" w:hAnsi="Times New Roman" w:cs="Times New Roman"/>
          <w:sz w:val="20"/>
          <w:szCs w:val="20"/>
        </w:rPr>
      </w:pPr>
      <w:r w:rsidRPr="00F95321">
        <w:rPr>
          <w:rFonts w:ascii="Times New Roman" w:hAnsi="Times New Roman" w:cs="Times New Roman"/>
          <w:i/>
          <w:iCs/>
          <w:sz w:val="20"/>
          <w:szCs w:val="20"/>
        </w:rPr>
        <w:t>Note</w:t>
      </w:r>
      <w:r w:rsidRPr="00D31966">
        <w:rPr>
          <w:rFonts w:ascii="Times New Roman" w:hAnsi="Times New Roman" w:cs="Times New Roman"/>
          <w:sz w:val="20"/>
          <w:szCs w:val="20"/>
        </w:rPr>
        <w:t xml:space="preserve">: This table presents results from regressing ln(emp) on a year trend, at the sector-level (ISIC 2-digit). Small firms are defined as those having less than 50 workers, while large firms are defined as those having 50 or more workers. In these regressions, we assign a firm to its firm size category based on its average employment over all periods observed in the panel. The first three columns have the results from our main estimation. In columns 4-6, we replicate those results but add in the employment contribution of industrial parks. Specifically, we add the total sector-level employment from Eastern IP (2013 onward), Bole </w:t>
      </w:r>
      <w:proofErr w:type="spellStart"/>
      <w:r w:rsidRPr="00D31966">
        <w:rPr>
          <w:rFonts w:ascii="Times New Roman" w:hAnsi="Times New Roman" w:cs="Times New Roman"/>
          <w:sz w:val="20"/>
          <w:szCs w:val="20"/>
        </w:rPr>
        <w:t>Lemi</w:t>
      </w:r>
      <w:proofErr w:type="spellEnd"/>
      <w:r w:rsidRPr="00D31966">
        <w:rPr>
          <w:rFonts w:ascii="Times New Roman" w:hAnsi="Times New Roman" w:cs="Times New Roman"/>
          <w:sz w:val="20"/>
          <w:szCs w:val="20"/>
        </w:rPr>
        <w:t xml:space="preserve"> (in 2016 and 2017) and Hawassa (in 2017 only) to our sector-level totals from the firm-level data. </w:t>
      </w:r>
      <w:r>
        <w:rPr>
          <w:rFonts w:ascii="Times New Roman" w:hAnsi="Times New Roman" w:cs="Times New Roman"/>
          <w:sz w:val="20"/>
          <w:szCs w:val="20"/>
        </w:rPr>
        <w:t xml:space="preserve">For the firm size results, we define firm size for the industrial park firms based on their reported employment in 2019. We also assume that employment is constant for all firms in the industrial parks and that all firms present in 2019 existed in all years the park was active. </w:t>
      </w:r>
      <w:r w:rsidRPr="00D31966">
        <w:rPr>
          <w:rFonts w:ascii="Times New Roman" w:hAnsi="Times New Roman" w:cs="Times New Roman"/>
          <w:sz w:val="20"/>
          <w:szCs w:val="20"/>
        </w:rPr>
        <w:t>Standard errors in parentheses. *** p&lt;0.01, ** p&lt;0.05, * p&lt;0.1</w:t>
      </w:r>
    </w:p>
    <w:p w14:paraId="04BB2195" w14:textId="59F6CDC2" w:rsidR="00FB1BD2" w:rsidRDefault="00FB1BD2" w:rsidP="000E460A">
      <w:pPr>
        <w:spacing w:after="0"/>
        <w:jc w:val="center"/>
        <w:rPr>
          <w:rFonts w:ascii="Times New Roman" w:hAnsi="Times New Roman" w:cs="Times New Roman"/>
          <w:b/>
          <w:bCs/>
          <w:sz w:val="24"/>
          <w:szCs w:val="24"/>
        </w:rPr>
      </w:pPr>
    </w:p>
    <w:p w14:paraId="00E18D2D" w14:textId="77777777" w:rsidR="00FB1BD2" w:rsidRDefault="00FB1BD2">
      <w:pPr>
        <w:rPr>
          <w:rFonts w:ascii="Times New Roman" w:hAnsi="Times New Roman" w:cs="Times New Roman"/>
          <w:b/>
          <w:bCs/>
          <w:sz w:val="24"/>
          <w:szCs w:val="24"/>
        </w:rPr>
      </w:pPr>
      <w:r>
        <w:rPr>
          <w:rFonts w:ascii="Times New Roman" w:hAnsi="Times New Roman" w:cs="Times New Roman"/>
          <w:b/>
          <w:bCs/>
          <w:sz w:val="24"/>
          <w:szCs w:val="24"/>
        </w:rPr>
        <w:br w:type="page"/>
      </w:r>
    </w:p>
    <w:p w14:paraId="15CAC90E" w14:textId="078C823F" w:rsidR="003F40EE" w:rsidRDefault="003F40EE" w:rsidP="000E460A">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206C87">
        <w:rPr>
          <w:rFonts w:ascii="Times New Roman" w:hAnsi="Times New Roman" w:cs="Times New Roman"/>
          <w:b/>
          <w:bCs/>
          <w:sz w:val="24"/>
          <w:szCs w:val="24"/>
        </w:rPr>
        <w:t>2.3</w:t>
      </w:r>
      <w:r>
        <w:rPr>
          <w:rFonts w:ascii="Times New Roman" w:hAnsi="Times New Roman" w:cs="Times New Roman"/>
          <w:b/>
          <w:bCs/>
          <w:sz w:val="24"/>
          <w:szCs w:val="24"/>
        </w:rPr>
        <w:t xml:space="preserve"> Seasonal/temporary workers, LMSM vs. WBES (2014)</w:t>
      </w:r>
    </w:p>
    <w:tbl>
      <w:tblPr>
        <w:tblStyle w:val="TableGrid"/>
        <w:tblW w:w="0" w:type="auto"/>
        <w:tblLook w:val="04A0" w:firstRow="1" w:lastRow="0" w:firstColumn="1" w:lastColumn="0" w:noHBand="0" w:noVBand="1"/>
      </w:tblPr>
      <w:tblGrid>
        <w:gridCol w:w="5760"/>
        <w:gridCol w:w="2160"/>
        <w:gridCol w:w="2160"/>
      </w:tblGrid>
      <w:tr w:rsidR="003F40EE" w:rsidRPr="003F40EE" w14:paraId="33135CEC" w14:textId="77777777" w:rsidTr="003F40EE">
        <w:tc>
          <w:tcPr>
            <w:tcW w:w="5760" w:type="dxa"/>
          </w:tcPr>
          <w:p w14:paraId="49550642" w14:textId="5CAD7E6E" w:rsidR="003F40EE" w:rsidRPr="003F40EE" w:rsidRDefault="003F40EE" w:rsidP="0047387F">
            <w:pPr>
              <w:rPr>
                <w:rFonts w:ascii="Times New Roman" w:hAnsi="Times New Roman" w:cs="Times New Roman"/>
                <w:sz w:val="20"/>
                <w:szCs w:val="20"/>
              </w:rPr>
            </w:pPr>
            <w:r w:rsidRPr="003F40EE">
              <w:rPr>
                <w:rFonts w:ascii="Times New Roman" w:hAnsi="Times New Roman" w:cs="Times New Roman"/>
                <w:sz w:val="20"/>
                <w:szCs w:val="20"/>
              </w:rPr>
              <w:t>Firm</w:t>
            </w:r>
            <w:r>
              <w:rPr>
                <w:rFonts w:ascii="Times New Roman" w:hAnsi="Times New Roman" w:cs="Times New Roman"/>
                <w:sz w:val="20"/>
                <w:szCs w:val="20"/>
              </w:rPr>
              <w:t>-level</w:t>
            </w:r>
            <w:r w:rsidRPr="003F40EE">
              <w:rPr>
                <w:rFonts w:ascii="Times New Roman" w:hAnsi="Times New Roman" w:cs="Times New Roman"/>
                <w:sz w:val="20"/>
                <w:szCs w:val="20"/>
              </w:rPr>
              <w:t xml:space="preserve"> </w:t>
            </w:r>
            <w:r>
              <w:rPr>
                <w:rFonts w:ascii="Times New Roman" w:hAnsi="Times New Roman" w:cs="Times New Roman"/>
                <w:sz w:val="20"/>
                <w:szCs w:val="20"/>
              </w:rPr>
              <w:t>m</w:t>
            </w:r>
            <w:r w:rsidRPr="003F40EE">
              <w:rPr>
                <w:rFonts w:ascii="Times New Roman" w:hAnsi="Times New Roman" w:cs="Times New Roman"/>
                <w:sz w:val="20"/>
                <w:szCs w:val="20"/>
              </w:rPr>
              <w:t xml:space="preserve">eans </w:t>
            </w:r>
            <w:r>
              <w:rPr>
                <w:rFonts w:ascii="Times New Roman" w:hAnsi="Times New Roman" w:cs="Times New Roman"/>
                <w:sz w:val="20"/>
                <w:szCs w:val="20"/>
              </w:rPr>
              <w:t>(</w:t>
            </w:r>
            <w:r w:rsidRPr="003F40EE">
              <w:rPr>
                <w:rFonts w:ascii="Times New Roman" w:hAnsi="Times New Roman" w:cs="Times New Roman"/>
                <w:sz w:val="20"/>
                <w:szCs w:val="20"/>
              </w:rPr>
              <w:t>2014</w:t>
            </w:r>
            <w:r>
              <w:rPr>
                <w:rFonts w:ascii="Times New Roman" w:hAnsi="Times New Roman" w:cs="Times New Roman"/>
                <w:sz w:val="20"/>
                <w:szCs w:val="20"/>
              </w:rPr>
              <w:t>)</w:t>
            </w:r>
          </w:p>
        </w:tc>
        <w:tc>
          <w:tcPr>
            <w:tcW w:w="2160" w:type="dxa"/>
          </w:tcPr>
          <w:p w14:paraId="5DDDE4FF" w14:textId="77777777" w:rsidR="003F40EE" w:rsidRPr="003F40EE" w:rsidRDefault="003F40EE" w:rsidP="0047387F">
            <w:pPr>
              <w:rPr>
                <w:rFonts w:ascii="Times New Roman" w:hAnsi="Times New Roman" w:cs="Times New Roman"/>
                <w:sz w:val="20"/>
                <w:szCs w:val="20"/>
              </w:rPr>
            </w:pPr>
            <w:r w:rsidRPr="003F40EE">
              <w:rPr>
                <w:rFonts w:ascii="Times New Roman" w:hAnsi="Times New Roman" w:cs="Times New Roman"/>
                <w:sz w:val="20"/>
                <w:szCs w:val="20"/>
              </w:rPr>
              <w:t xml:space="preserve">LMSM Data </w:t>
            </w:r>
          </w:p>
        </w:tc>
        <w:tc>
          <w:tcPr>
            <w:tcW w:w="2160" w:type="dxa"/>
          </w:tcPr>
          <w:p w14:paraId="24A6EE5E" w14:textId="77777777" w:rsidR="003F40EE" w:rsidRPr="003F40EE" w:rsidRDefault="003F40EE" w:rsidP="0047387F">
            <w:pPr>
              <w:rPr>
                <w:rFonts w:ascii="Times New Roman" w:hAnsi="Times New Roman" w:cs="Times New Roman"/>
                <w:sz w:val="20"/>
                <w:szCs w:val="20"/>
              </w:rPr>
            </w:pPr>
            <w:r w:rsidRPr="003F40EE">
              <w:rPr>
                <w:rFonts w:ascii="Times New Roman" w:hAnsi="Times New Roman" w:cs="Times New Roman"/>
                <w:sz w:val="20"/>
                <w:szCs w:val="20"/>
              </w:rPr>
              <w:t>WBES Data Manufacturing Only</w:t>
            </w:r>
          </w:p>
        </w:tc>
      </w:tr>
      <w:tr w:rsidR="003F40EE" w:rsidRPr="003F40EE" w14:paraId="754D9199" w14:textId="77777777" w:rsidTr="003F40EE">
        <w:tc>
          <w:tcPr>
            <w:tcW w:w="5760" w:type="dxa"/>
          </w:tcPr>
          <w:p w14:paraId="08E09C3C" w14:textId="75F29F8E" w:rsidR="003F40EE" w:rsidRPr="003F40EE" w:rsidRDefault="003F40EE" w:rsidP="0047387F">
            <w:pPr>
              <w:rPr>
                <w:rFonts w:ascii="Times New Roman" w:hAnsi="Times New Roman" w:cs="Times New Roman"/>
                <w:sz w:val="20"/>
                <w:szCs w:val="20"/>
              </w:rPr>
            </w:pPr>
            <w:r w:rsidRPr="003F40EE">
              <w:rPr>
                <w:rFonts w:ascii="Times New Roman" w:hAnsi="Times New Roman" w:cs="Times New Roman"/>
                <w:sz w:val="20"/>
                <w:szCs w:val="20"/>
              </w:rPr>
              <w:t xml:space="preserve">Number of </w:t>
            </w:r>
            <w:r>
              <w:rPr>
                <w:rFonts w:ascii="Times New Roman" w:hAnsi="Times New Roman" w:cs="Times New Roman"/>
                <w:sz w:val="20"/>
                <w:szCs w:val="20"/>
              </w:rPr>
              <w:t>t</w:t>
            </w:r>
            <w:r w:rsidRPr="003F40EE">
              <w:rPr>
                <w:rFonts w:ascii="Times New Roman" w:hAnsi="Times New Roman" w:cs="Times New Roman"/>
                <w:sz w:val="20"/>
                <w:szCs w:val="20"/>
              </w:rPr>
              <w:t xml:space="preserve">emporary </w:t>
            </w:r>
            <w:r>
              <w:rPr>
                <w:rFonts w:ascii="Times New Roman" w:hAnsi="Times New Roman" w:cs="Times New Roman"/>
                <w:sz w:val="20"/>
                <w:szCs w:val="20"/>
              </w:rPr>
              <w:t>wo</w:t>
            </w:r>
            <w:r w:rsidRPr="003F40EE">
              <w:rPr>
                <w:rFonts w:ascii="Times New Roman" w:hAnsi="Times New Roman" w:cs="Times New Roman"/>
                <w:sz w:val="20"/>
                <w:szCs w:val="20"/>
              </w:rPr>
              <w:t>rkers</w:t>
            </w:r>
          </w:p>
        </w:tc>
        <w:tc>
          <w:tcPr>
            <w:tcW w:w="2160" w:type="dxa"/>
          </w:tcPr>
          <w:p w14:paraId="2BD65CC0" w14:textId="1591842C" w:rsidR="003F40EE" w:rsidRPr="003F40EE" w:rsidRDefault="003F40EE" w:rsidP="003F40EE">
            <w:pPr>
              <w:jc w:val="center"/>
              <w:rPr>
                <w:rFonts w:ascii="Times New Roman" w:hAnsi="Times New Roman" w:cs="Times New Roman"/>
                <w:sz w:val="20"/>
                <w:szCs w:val="20"/>
              </w:rPr>
            </w:pPr>
            <w:r>
              <w:rPr>
                <w:rFonts w:ascii="Times New Roman" w:hAnsi="Times New Roman" w:cs="Times New Roman"/>
                <w:sz w:val="20"/>
                <w:szCs w:val="20"/>
              </w:rPr>
              <w:t>n/a</w:t>
            </w:r>
          </w:p>
        </w:tc>
        <w:tc>
          <w:tcPr>
            <w:tcW w:w="2160" w:type="dxa"/>
          </w:tcPr>
          <w:p w14:paraId="59B0F901" w14:textId="2148F795" w:rsidR="003F40EE" w:rsidRPr="003F40EE" w:rsidRDefault="003F40EE" w:rsidP="003F40EE">
            <w:pPr>
              <w:jc w:val="center"/>
              <w:rPr>
                <w:rFonts w:ascii="Times New Roman" w:hAnsi="Times New Roman" w:cs="Times New Roman"/>
                <w:sz w:val="20"/>
                <w:szCs w:val="20"/>
              </w:rPr>
            </w:pPr>
            <w:r w:rsidRPr="003F40EE">
              <w:rPr>
                <w:rFonts w:ascii="Times New Roman" w:hAnsi="Times New Roman" w:cs="Times New Roman"/>
                <w:sz w:val="20"/>
                <w:szCs w:val="20"/>
              </w:rPr>
              <w:t>7</w:t>
            </w:r>
            <w:r w:rsidR="00E403EC">
              <w:rPr>
                <w:rFonts w:ascii="Times New Roman" w:hAnsi="Times New Roman" w:cs="Times New Roman"/>
                <w:sz w:val="20"/>
                <w:szCs w:val="20"/>
              </w:rPr>
              <w:t>0</w:t>
            </w:r>
          </w:p>
        </w:tc>
      </w:tr>
      <w:tr w:rsidR="003F40EE" w:rsidRPr="003F40EE" w14:paraId="6D9E2CE3" w14:textId="77777777" w:rsidTr="003F40EE">
        <w:tc>
          <w:tcPr>
            <w:tcW w:w="5760" w:type="dxa"/>
          </w:tcPr>
          <w:p w14:paraId="3BD78C8C" w14:textId="0DB13CB9" w:rsidR="003F40EE" w:rsidRPr="003F40EE" w:rsidRDefault="003F40EE" w:rsidP="0047387F">
            <w:pPr>
              <w:rPr>
                <w:rFonts w:ascii="Times New Roman" w:hAnsi="Times New Roman" w:cs="Times New Roman"/>
                <w:sz w:val="20"/>
                <w:szCs w:val="20"/>
              </w:rPr>
            </w:pPr>
            <w:r w:rsidRPr="003F40EE">
              <w:rPr>
                <w:rFonts w:ascii="Times New Roman" w:hAnsi="Times New Roman" w:cs="Times New Roman"/>
                <w:sz w:val="20"/>
                <w:szCs w:val="20"/>
              </w:rPr>
              <w:t xml:space="preserve">Months </w:t>
            </w:r>
            <w:r>
              <w:rPr>
                <w:rFonts w:ascii="Times New Roman" w:hAnsi="Times New Roman" w:cs="Times New Roman"/>
                <w:sz w:val="20"/>
                <w:szCs w:val="20"/>
              </w:rPr>
              <w:t>w</w:t>
            </w:r>
            <w:r w:rsidRPr="003F40EE">
              <w:rPr>
                <w:rFonts w:ascii="Times New Roman" w:hAnsi="Times New Roman" w:cs="Times New Roman"/>
                <w:sz w:val="20"/>
                <w:szCs w:val="20"/>
              </w:rPr>
              <w:t xml:space="preserve">orked by </w:t>
            </w:r>
            <w:r>
              <w:rPr>
                <w:rFonts w:ascii="Times New Roman" w:hAnsi="Times New Roman" w:cs="Times New Roman"/>
                <w:sz w:val="20"/>
                <w:szCs w:val="20"/>
              </w:rPr>
              <w:t>t</w:t>
            </w:r>
            <w:r w:rsidRPr="003F40EE">
              <w:rPr>
                <w:rFonts w:ascii="Times New Roman" w:hAnsi="Times New Roman" w:cs="Times New Roman"/>
                <w:sz w:val="20"/>
                <w:szCs w:val="20"/>
              </w:rPr>
              <w:t xml:space="preserve">emporary </w:t>
            </w:r>
            <w:r>
              <w:rPr>
                <w:rFonts w:ascii="Times New Roman" w:hAnsi="Times New Roman" w:cs="Times New Roman"/>
                <w:sz w:val="20"/>
                <w:szCs w:val="20"/>
              </w:rPr>
              <w:t>w</w:t>
            </w:r>
            <w:r w:rsidRPr="003F40EE">
              <w:rPr>
                <w:rFonts w:ascii="Times New Roman" w:hAnsi="Times New Roman" w:cs="Times New Roman"/>
                <w:sz w:val="20"/>
                <w:szCs w:val="20"/>
              </w:rPr>
              <w:t>orkers</w:t>
            </w:r>
          </w:p>
        </w:tc>
        <w:tc>
          <w:tcPr>
            <w:tcW w:w="2160" w:type="dxa"/>
          </w:tcPr>
          <w:p w14:paraId="5737BB56" w14:textId="7D8DE4E8" w:rsidR="003F40EE" w:rsidRPr="003F40EE" w:rsidRDefault="003F40EE" w:rsidP="003F40EE">
            <w:pPr>
              <w:jc w:val="center"/>
              <w:rPr>
                <w:rFonts w:ascii="Times New Roman" w:hAnsi="Times New Roman" w:cs="Times New Roman"/>
                <w:sz w:val="20"/>
                <w:szCs w:val="20"/>
              </w:rPr>
            </w:pPr>
            <w:r>
              <w:rPr>
                <w:rFonts w:ascii="Times New Roman" w:hAnsi="Times New Roman" w:cs="Times New Roman"/>
                <w:sz w:val="20"/>
                <w:szCs w:val="20"/>
              </w:rPr>
              <w:t>n/a</w:t>
            </w:r>
          </w:p>
        </w:tc>
        <w:tc>
          <w:tcPr>
            <w:tcW w:w="2160" w:type="dxa"/>
          </w:tcPr>
          <w:p w14:paraId="101AC257" w14:textId="76F0ACCF" w:rsidR="003F40EE" w:rsidRPr="003F40EE" w:rsidRDefault="003F40EE" w:rsidP="003F40EE">
            <w:pPr>
              <w:jc w:val="center"/>
              <w:rPr>
                <w:rFonts w:ascii="Times New Roman" w:hAnsi="Times New Roman" w:cs="Times New Roman"/>
                <w:sz w:val="20"/>
                <w:szCs w:val="20"/>
              </w:rPr>
            </w:pPr>
            <w:r w:rsidRPr="003F40EE">
              <w:rPr>
                <w:rFonts w:ascii="Times New Roman" w:hAnsi="Times New Roman" w:cs="Times New Roman"/>
                <w:sz w:val="20"/>
                <w:szCs w:val="20"/>
              </w:rPr>
              <w:t>3</w:t>
            </w:r>
          </w:p>
        </w:tc>
      </w:tr>
      <w:tr w:rsidR="003F40EE" w:rsidRPr="003F40EE" w14:paraId="02E32372" w14:textId="77777777" w:rsidTr="003F40EE">
        <w:tc>
          <w:tcPr>
            <w:tcW w:w="5760" w:type="dxa"/>
          </w:tcPr>
          <w:p w14:paraId="682D03E3" w14:textId="77DAA0B8" w:rsidR="003F40EE" w:rsidRPr="003F40EE" w:rsidRDefault="003F40EE" w:rsidP="0047387F">
            <w:pPr>
              <w:rPr>
                <w:rFonts w:ascii="Times New Roman" w:hAnsi="Times New Roman" w:cs="Times New Roman"/>
                <w:sz w:val="20"/>
                <w:szCs w:val="20"/>
              </w:rPr>
            </w:pPr>
            <w:r w:rsidRPr="003F40EE">
              <w:rPr>
                <w:rFonts w:ascii="Times New Roman" w:hAnsi="Times New Roman" w:cs="Times New Roman"/>
                <w:sz w:val="20"/>
                <w:szCs w:val="20"/>
              </w:rPr>
              <w:t xml:space="preserve">Full </w:t>
            </w:r>
            <w:r>
              <w:rPr>
                <w:rFonts w:ascii="Times New Roman" w:hAnsi="Times New Roman" w:cs="Times New Roman"/>
                <w:sz w:val="20"/>
                <w:szCs w:val="20"/>
              </w:rPr>
              <w:t>t</w:t>
            </w:r>
            <w:r w:rsidRPr="003F40EE">
              <w:rPr>
                <w:rFonts w:ascii="Times New Roman" w:hAnsi="Times New Roman" w:cs="Times New Roman"/>
                <w:sz w:val="20"/>
                <w:szCs w:val="20"/>
              </w:rPr>
              <w:t xml:space="preserve">ime </w:t>
            </w:r>
            <w:r>
              <w:rPr>
                <w:rFonts w:ascii="Times New Roman" w:hAnsi="Times New Roman" w:cs="Times New Roman"/>
                <w:sz w:val="20"/>
                <w:szCs w:val="20"/>
              </w:rPr>
              <w:t>e</w:t>
            </w:r>
            <w:r w:rsidRPr="003F40EE">
              <w:rPr>
                <w:rFonts w:ascii="Times New Roman" w:hAnsi="Times New Roman" w:cs="Times New Roman"/>
                <w:sz w:val="20"/>
                <w:szCs w:val="20"/>
              </w:rPr>
              <w:t xml:space="preserve">quivalent </w:t>
            </w:r>
            <w:r>
              <w:rPr>
                <w:rFonts w:ascii="Times New Roman" w:hAnsi="Times New Roman" w:cs="Times New Roman"/>
                <w:sz w:val="20"/>
                <w:szCs w:val="20"/>
              </w:rPr>
              <w:t>n</w:t>
            </w:r>
            <w:r w:rsidRPr="003F40EE">
              <w:rPr>
                <w:rFonts w:ascii="Times New Roman" w:hAnsi="Times New Roman" w:cs="Times New Roman"/>
                <w:sz w:val="20"/>
                <w:szCs w:val="20"/>
              </w:rPr>
              <w:t xml:space="preserve">o. of </w:t>
            </w:r>
            <w:r>
              <w:rPr>
                <w:rFonts w:ascii="Times New Roman" w:hAnsi="Times New Roman" w:cs="Times New Roman"/>
                <w:sz w:val="20"/>
                <w:szCs w:val="20"/>
              </w:rPr>
              <w:t>t</w:t>
            </w:r>
            <w:r w:rsidRPr="003F40EE">
              <w:rPr>
                <w:rFonts w:ascii="Times New Roman" w:hAnsi="Times New Roman" w:cs="Times New Roman"/>
                <w:sz w:val="20"/>
                <w:szCs w:val="20"/>
              </w:rPr>
              <w:t xml:space="preserve">emporary </w:t>
            </w:r>
            <w:r>
              <w:rPr>
                <w:rFonts w:ascii="Times New Roman" w:hAnsi="Times New Roman" w:cs="Times New Roman"/>
                <w:sz w:val="20"/>
                <w:szCs w:val="20"/>
              </w:rPr>
              <w:t>w</w:t>
            </w:r>
            <w:r w:rsidRPr="003F40EE">
              <w:rPr>
                <w:rFonts w:ascii="Times New Roman" w:hAnsi="Times New Roman" w:cs="Times New Roman"/>
                <w:sz w:val="20"/>
                <w:szCs w:val="20"/>
              </w:rPr>
              <w:t>orkers</w:t>
            </w:r>
          </w:p>
        </w:tc>
        <w:tc>
          <w:tcPr>
            <w:tcW w:w="2160" w:type="dxa"/>
          </w:tcPr>
          <w:p w14:paraId="21FB0C62" w14:textId="77777777" w:rsidR="003F40EE" w:rsidRPr="003F40EE" w:rsidRDefault="003F40EE" w:rsidP="003F40EE">
            <w:pPr>
              <w:jc w:val="center"/>
              <w:rPr>
                <w:rFonts w:ascii="Times New Roman" w:hAnsi="Times New Roman" w:cs="Times New Roman"/>
                <w:sz w:val="20"/>
                <w:szCs w:val="20"/>
              </w:rPr>
            </w:pPr>
            <w:r w:rsidRPr="003F40EE">
              <w:rPr>
                <w:rFonts w:ascii="Times New Roman" w:hAnsi="Times New Roman" w:cs="Times New Roman"/>
                <w:sz w:val="20"/>
                <w:szCs w:val="20"/>
              </w:rPr>
              <w:t>74</w:t>
            </w:r>
          </w:p>
        </w:tc>
        <w:tc>
          <w:tcPr>
            <w:tcW w:w="2160" w:type="dxa"/>
          </w:tcPr>
          <w:p w14:paraId="3716DB2D" w14:textId="0003B138" w:rsidR="003F40EE" w:rsidRPr="003F40EE" w:rsidRDefault="00E403EC" w:rsidP="003F40EE">
            <w:pPr>
              <w:jc w:val="center"/>
              <w:rPr>
                <w:rFonts w:ascii="Times New Roman" w:hAnsi="Times New Roman" w:cs="Times New Roman"/>
                <w:sz w:val="20"/>
                <w:szCs w:val="20"/>
              </w:rPr>
            </w:pPr>
            <w:r>
              <w:rPr>
                <w:rFonts w:ascii="Times New Roman" w:hAnsi="Times New Roman" w:cs="Times New Roman"/>
                <w:sz w:val="20"/>
                <w:szCs w:val="20"/>
              </w:rPr>
              <w:t>37</w:t>
            </w:r>
          </w:p>
        </w:tc>
      </w:tr>
      <w:tr w:rsidR="003F40EE" w:rsidRPr="003F40EE" w14:paraId="169404CF" w14:textId="77777777" w:rsidTr="003F40EE">
        <w:tc>
          <w:tcPr>
            <w:tcW w:w="5760" w:type="dxa"/>
          </w:tcPr>
          <w:p w14:paraId="5ED37493" w14:textId="42ED0F13" w:rsidR="003F40EE" w:rsidRPr="003F40EE" w:rsidRDefault="003F40EE" w:rsidP="0047387F">
            <w:pPr>
              <w:rPr>
                <w:rFonts w:ascii="Times New Roman" w:hAnsi="Times New Roman" w:cs="Times New Roman"/>
                <w:sz w:val="20"/>
                <w:szCs w:val="20"/>
              </w:rPr>
            </w:pPr>
            <w:r w:rsidRPr="003F40EE">
              <w:rPr>
                <w:rFonts w:ascii="Times New Roman" w:hAnsi="Times New Roman" w:cs="Times New Roman"/>
                <w:sz w:val="20"/>
                <w:szCs w:val="20"/>
              </w:rPr>
              <w:t xml:space="preserve">Temporary </w:t>
            </w:r>
            <w:r>
              <w:rPr>
                <w:rFonts w:ascii="Times New Roman" w:hAnsi="Times New Roman" w:cs="Times New Roman"/>
                <w:sz w:val="20"/>
                <w:szCs w:val="20"/>
              </w:rPr>
              <w:t>w</w:t>
            </w:r>
            <w:r w:rsidRPr="003F40EE">
              <w:rPr>
                <w:rFonts w:ascii="Times New Roman" w:hAnsi="Times New Roman" w:cs="Times New Roman"/>
                <w:sz w:val="20"/>
                <w:szCs w:val="20"/>
              </w:rPr>
              <w:t xml:space="preserve">orkers as a </w:t>
            </w:r>
            <w:r>
              <w:rPr>
                <w:rFonts w:ascii="Times New Roman" w:hAnsi="Times New Roman" w:cs="Times New Roman"/>
                <w:sz w:val="20"/>
                <w:szCs w:val="20"/>
              </w:rPr>
              <w:t>s</w:t>
            </w:r>
            <w:r w:rsidRPr="003F40EE">
              <w:rPr>
                <w:rFonts w:ascii="Times New Roman" w:hAnsi="Times New Roman" w:cs="Times New Roman"/>
                <w:sz w:val="20"/>
                <w:szCs w:val="20"/>
              </w:rPr>
              <w:t xml:space="preserve">hare of </w:t>
            </w:r>
            <w:r>
              <w:rPr>
                <w:rFonts w:ascii="Times New Roman" w:hAnsi="Times New Roman" w:cs="Times New Roman"/>
                <w:sz w:val="20"/>
                <w:szCs w:val="20"/>
              </w:rPr>
              <w:t>t</w:t>
            </w:r>
            <w:r w:rsidRPr="003F40EE">
              <w:rPr>
                <w:rFonts w:ascii="Times New Roman" w:hAnsi="Times New Roman" w:cs="Times New Roman"/>
                <w:sz w:val="20"/>
                <w:szCs w:val="20"/>
              </w:rPr>
              <w:t xml:space="preserve">otal </w:t>
            </w:r>
            <w:r>
              <w:rPr>
                <w:rFonts w:ascii="Times New Roman" w:hAnsi="Times New Roman" w:cs="Times New Roman"/>
                <w:sz w:val="20"/>
                <w:szCs w:val="20"/>
              </w:rPr>
              <w:t>e</w:t>
            </w:r>
            <w:r w:rsidRPr="003F40EE">
              <w:rPr>
                <w:rFonts w:ascii="Times New Roman" w:hAnsi="Times New Roman" w:cs="Times New Roman"/>
                <w:sz w:val="20"/>
                <w:szCs w:val="20"/>
              </w:rPr>
              <w:t>mployment for firms that hire temporary workers</w:t>
            </w:r>
          </w:p>
        </w:tc>
        <w:tc>
          <w:tcPr>
            <w:tcW w:w="2160" w:type="dxa"/>
          </w:tcPr>
          <w:p w14:paraId="712C1307" w14:textId="77777777" w:rsidR="003F40EE" w:rsidRPr="003F40EE" w:rsidRDefault="003F40EE" w:rsidP="003F40EE">
            <w:pPr>
              <w:jc w:val="center"/>
              <w:rPr>
                <w:rFonts w:ascii="Times New Roman" w:hAnsi="Times New Roman" w:cs="Times New Roman"/>
                <w:sz w:val="20"/>
                <w:szCs w:val="20"/>
              </w:rPr>
            </w:pPr>
            <w:r w:rsidRPr="003F40EE">
              <w:rPr>
                <w:rFonts w:ascii="Times New Roman" w:hAnsi="Times New Roman" w:cs="Times New Roman"/>
                <w:sz w:val="20"/>
                <w:szCs w:val="20"/>
              </w:rPr>
              <w:t>65%</w:t>
            </w:r>
          </w:p>
        </w:tc>
        <w:tc>
          <w:tcPr>
            <w:tcW w:w="2160" w:type="dxa"/>
          </w:tcPr>
          <w:p w14:paraId="42E2EC67" w14:textId="17078F19" w:rsidR="003F40EE" w:rsidRPr="003F40EE" w:rsidRDefault="00E403EC" w:rsidP="003F40EE">
            <w:pPr>
              <w:jc w:val="center"/>
              <w:rPr>
                <w:rFonts w:ascii="Times New Roman" w:hAnsi="Times New Roman" w:cs="Times New Roman"/>
                <w:sz w:val="20"/>
                <w:szCs w:val="20"/>
              </w:rPr>
            </w:pPr>
            <w:r>
              <w:rPr>
                <w:rFonts w:ascii="Times New Roman" w:hAnsi="Times New Roman" w:cs="Times New Roman"/>
                <w:sz w:val="20"/>
                <w:szCs w:val="20"/>
              </w:rPr>
              <w:t>47</w:t>
            </w:r>
            <w:r w:rsidR="003F40EE" w:rsidRPr="003F40EE">
              <w:rPr>
                <w:rFonts w:ascii="Times New Roman" w:hAnsi="Times New Roman" w:cs="Times New Roman"/>
                <w:sz w:val="20"/>
                <w:szCs w:val="20"/>
              </w:rPr>
              <w:t>%</w:t>
            </w:r>
          </w:p>
        </w:tc>
      </w:tr>
      <w:tr w:rsidR="003F40EE" w:rsidRPr="003F40EE" w14:paraId="6EC51B84" w14:textId="77777777" w:rsidTr="003F40EE">
        <w:tc>
          <w:tcPr>
            <w:tcW w:w="5760" w:type="dxa"/>
          </w:tcPr>
          <w:p w14:paraId="4789476D" w14:textId="47759150" w:rsidR="003F40EE" w:rsidRPr="003F40EE" w:rsidRDefault="003F40EE" w:rsidP="0047387F">
            <w:pPr>
              <w:rPr>
                <w:rFonts w:ascii="Times New Roman" w:hAnsi="Times New Roman" w:cs="Times New Roman"/>
                <w:sz w:val="20"/>
                <w:szCs w:val="20"/>
              </w:rPr>
            </w:pPr>
            <w:r w:rsidRPr="003F40EE">
              <w:rPr>
                <w:rFonts w:ascii="Times New Roman" w:hAnsi="Times New Roman" w:cs="Times New Roman"/>
                <w:sz w:val="20"/>
                <w:szCs w:val="20"/>
              </w:rPr>
              <w:t xml:space="preserve">Share of </w:t>
            </w:r>
            <w:r>
              <w:rPr>
                <w:rFonts w:ascii="Times New Roman" w:hAnsi="Times New Roman" w:cs="Times New Roman"/>
                <w:sz w:val="20"/>
                <w:szCs w:val="20"/>
              </w:rPr>
              <w:t>f</w:t>
            </w:r>
            <w:r w:rsidRPr="003F40EE">
              <w:rPr>
                <w:rFonts w:ascii="Times New Roman" w:hAnsi="Times New Roman" w:cs="Times New Roman"/>
                <w:sz w:val="20"/>
                <w:szCs w:val="20"/>
              </w:rPr>
              <w:t xml:space="preserve">irms </w:t>
            </w:r>
            <w:r>
              <w:rPr>
                <w:rFonts w:ascii="Times New Roman" w:hAnsi="Times New Roman" w:cs="Times New Roman"/>
                <w:sz w:val="20"/>
                <w:szCs w:val="20"/>
              </w:rPr>
              <w:t>h</w:t>
            </w:r>
            <w:r w:rsidRPr="003F40EE">
              <w:rPr>
                <w:rFonts w:ascii="Times New Roman" w:hAnsi="Times New Roman" w:cs="Times New Roman"/>
                <w:sz w:val="20"/>
                <w:szCs w:val="20"/>
              </w:rPr>
              <w:t xml:space="preserve">iring </w:t>
            </w:r>
            <w:r>
              <w:rPr>
                <w:rFonts w:ascii="Times New Roman" w:hAnsi="Times New Roman" w:cs="Times New Roman"/>
                <w:sz w:val="20"/>
                <w:szCs w:val="20"/>
              </w:rPr>
              <w:t>t</w:t>
            </w:r>
            <w:r w:rsidRPr="003F40EE">
              <w:rPr>
                <w:rFonts w:ascii="Times New Roman" w:hAnsi="Times New Roman" w:cs="Times New Roman"/>
                <w:sz w:val="20"/>
                <w:szCs w:val="20"/>
              </w:rPr>
              <w:t xml:space="preserve">emporary </w:t>
            </w:r>
            <w:r>
              <w:rPr>
                <w:rFonts w:ascii="Times New Roman" w:hAnsi="Times New Roman" w:cs="Times New Roman"/>
                <w:sz w:val="20"/>
                <w:szCs w:val="20"/>
              </w:rPr>
              <w:t>w</w:t>
            </w:r>
            <w:r w:rsidRPr="003F40EE">
              <w:rPr>
                <w:rFonts w:ascii="Times New Roman" w:hAnsi="Times New Roman" w:cs="Times New Roman"/>
                <w:sz w:val="20"/>
                <w:szCs w:val="20"/>
              </w:rPr>
              <w:t>orkers</w:t>
            </w:r>
          </w:p>
        </w:tc>
        <w:tc>
          <w:tcPr>
            <w:tcW w:w="2160" w:type="dxa"/>
          </w:tcPr>
          <w:p w14:paraId="7885EC59" w14:textId="77777777" w:rsidR="003F40EE" w:rsidRPr="003F40EE" w:rsidRDefault="003F40EE" w:rsidP="003F40EE">
            <w:pPr>
              <w:jc w:val="center"/>
              <w:rPr>
                <w:rFonts w:ascii="Times New Roman" w:hAnsi="Times New Roman" w:cs="Times New Roman"/>
                <w:sz w:val="20"/>
                <w:szCs w:val="20"/>
              </w:rPr>
            </w:pPr>
            <w:r w:rsidRPr="003F40EE">
              <w:rPr>
                <w:rFonts w:ascii="Times New Roman" w:hAnsi="Times New Roman" w:cs="Times New Roman"/>
                <w:sz w:val="20"/>
                <w:szCs w:val="20"/>
              </w:rPr>
              <w:t>42%</w:t>
            </w:r>
          </w:p>
        </w:tc>
        <w:tc>
          <w:tcPr>
            <w:tcW w:w="2160" w:type="dxa"/>
          </w:tcPr>
          <w:p w14:paraId="44C904AC" w14:textId="5CA2172E" w:rsidR="003F40EE" w:rsidRPr="003F40EE" w:rsidRDefault="003F40EE" w:rsidP="003F40EE">
            <w:pPr>
              <w:jc w:val="center"/>
              <w:rPr>
                <w:rFonts w:ascii="Times New Roman" w:hAnsi="Times New Roman" w:cs="Times New Roman"/>
                <w:sz w:val="20"/>
                <w:szCs w:val="20"/>
              </w:rPr>
            </w:pPr>
            <w:r w:rsidRPr="003F40EE">
              <w:rPr>
                <w:rFonts w:ascii="Times New Roman" w:hAnsi="Times New Roman" w:cs="Times New Roman"/>
                <w:sz w:val="20"/>
                <w:szCs w:val="20"/>
              </w:rPr>
              <w:t>6</w:t>
            </w:r>
            <w:r w:rsidR="00E403EC">
              <w:rPr>
                <w:rFonts w:ascii="Times New Roman" w:hAnsi="Times New Roman" w:cs="Times New Roman"/>
                <w:sz w:val="20"/>
                <w:szCs w:val="20"/>
              </w:rPr>
              <w:t>9</w:t>
            </w:r>
            <w:r w:rsidRPr="003F40EE">
              <w:rPr>
                <w:rFonts w:ascii="Times New Roman" w:hAnsi="Times New Roman" w:cs="Times New Roman"/>
                <w:sz w:val="20"/>
                <w:szCs w:val="20"/>
              </w:rPr>
              <w:t>%</w:t>
            </w:r>
          </w:p>
        </w:tc>
      </w:tr>
    </w:tbl>
    <w:p w14:paraId="154121FE" w14:textId="329346C1" w:rsidR="000B5FAA" w:rsidRPr="000B5FAA" w:rsidRDefault="000B5FAA" w:rsidP="003F40EE">
      <w:pPr>
        <w:spacing w:after="0"/>
        <w:rPr>
          <w:rFonts w:ascii="Times New Roman" w:hAnsi="Times New Roman" w:cs="Times New Roman"/>
          <w:sz w:val="20"/>
          <w:szCs w:val="20"/>
        </w:rPr>
      </w:pPr>
      <w:r>
        <w:rPr>
          <w:rFonts w:ascii="Times New Roman" w:hAnsi="Times New Roman" w:cs="Times New Roman"/>
          <w:i/>
          <w:iCs/>
          <w:sz w:val="20"/>
          <w:szCs w:val="20"/>
        </w:rPr>
        <w:t xml:space="preserve">Source: </w:t>
      </w:r>
      <w:r>
        <w:rPr>
          <w:rFonts w:ascii="Times New Roman" w:hAnsi="Times New Roman" w:cs="Times New Roman"/>
          <w:sz w:val="20"/>
          <w:szCs w:val="20"/>
        </w:rPr>
        <w:t>LMSM (2014) and World Bank Enterprise Survey (WBES) for Ethiopia (2014/15)</w:t>
      </w:r>
    </w:p>
    <w:p w14:paraId="4D68D234" w14:textId="7AACF2FE" w:rsidR="003F40EE" w:rsidRPr="003F40EE" w:rsidRDefault="003F40EE" w:rsidP="003F40EE">
      <w:pPr>
        <w:spacing w:after="0"/>
        <w:rPr>
          <w:rFonts w:ascii="Times New Roman" w:hAnsi="Times New Roman" w:cs="Times New Roman"/>
          <w:sz w:val="20"/>
          <w:szCs w:val="20"/>
        </w:rPr>
      </w:pPr>
      <w:r w:rsidRPr="003F40EE">
        <w:rPr>
          <w:rFonts w:ascii="Times New Roman" w:hAnsi="Times New Roman" w:cs="Times New Roman"/>
          <w:i/>
          <w:iCs/>
          <w:sz w:val="20"/>
          <w:szCs w:val="20"/>
        </w:rPr>
        <w:t>Note</w:t>
      </w:r>
      <w:r w:rsidRPr="003F40EE">
        <w:rPr>
          <w:rFonts w:ascii="Times New Roman" w:hAnsi="Times New Roman" w:cs="Times New Roman"/>
          <w:sz w:val="20"/>
          <w:szCs w:val="20"/>
        </w:rPr>
        <w:t xml:space="preserve">: This table compares statistics on seasonal/temporary workers in 2014 from the LMSM and World Bank Enterprise Survey (WBES) data. </w:t>
      </w:r>
      <w:r w:rsidR="00E403EC">
        <w:rPr>
          <w:rFonts w:ascii="Times New Roman" w:hAnsi="Times New Roman" w:cs="Times New Roman"/>
          <w:sz w:val="20"/>
          <w:szCs w:val="20"/>
        </w:rPr>
        <w:t xml:space="preserve">The results from the WBES are weighted using the median weights provided in the data. </w:t>
      </w:r>
    </w:p>
    <w:p w14:paraId="60C98FC5" w14:textId="77777777" w:rsidR="003F40EE" w:rsidRDefault="003F40EE">
      <w:pPr>
        <w:rPr>
          <w:rFonts w:ascii="Times New Roman" w:hAnsi="Times New Roman" w:cs="Times New Roman"/>
          <w:b/>
          <w:bCs/>
          <w:sz w:val="24"/>
          <w:szCs w:val="24"/>
        </w:rPr>
      </w:pPr>
      <w:r>
        <w:rPr>
          <w:rFonts w:ascii="Times New Roman" w:hAnsi="Times New Roman" w:cs="Times New Roman"/>
          <w:b/>
          <w:bCs/>
          <w:sz w:val="24"/>
          <w:szCs w:val="24"/>
        </w:rPr>
        <w:br w:type="page"/>
      </w:r>
    </w:p>
    <w:p w14:paraId="7D0DAE99" w14:textId="6B782393" w:rsidR="00742C6D" w:rsidRPr="004174CA" w:rsidRDefault="009F646D" w:rsidP="000E460A">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206C87">
        <w:rPr>
          <w:rFonts w:ascii="Times New Roman" w:hAnsi="Times New Roman" w:cs="Times New Roman"/>
          <w:b/>
          <w:bCs/>
          <w:sz w:val="24"/>
          <w:szCs w:val="24"/>
        </w:rPr>
        <w:t>2.4</w:t>
      </w:r>
      <w:r>
        <w:rPr>
          <w:rFonts w:ascii="Times New Roman" w:hAnsi="Times New Roman" w:cs="Times New Roman"/>
          <w:b/>
          <w:bCs/>
          <w:sz w:val="24"/>
          <w:szCs w:val="24"/>
        </w:rPr>
        <w:t xml:space="preserve"> </w:t>
      </w:r>
      <w:r w:rsidR="004174CA" w:rsidRPr="004174CA">
        <w:rPr>
          <w:rFonts w:ascii="Times New Roman" w:hAnsi="Times New Roman" w:cs="Times New Roman"/>
          <w:b/>
          <w:bCs/>
          <w:sz w:val="24"/>
          <w:szCs w:val="24"/>
        </w:rPr>
        <w:t>Payroll share in value added, formal manufacturing, 2018</w:t>
      </w:r>
    </w:p>
    <w:tbl>
      <w:tblPr>
        <w:tblW w:w="9216" w:type="dxa"/>
        <w:jc w:val="center"/>
        <w:tblBorders>
          <w:top w:val="single" w:sz="4" w:space="0" w:color="auto"/>
          <w:bottom w:val="single" w:sz="4" w:space="0" w:color="auto"/>
        </w:tblBorders>
        <w:tblLook w:val="04A0" w:firstRow="1" w:lastRow="0" w:firstColumn="1" w:lastColumn="0" w:noHBand="0" w:noVBand="1"/>
      </w:tblPr>
      <w:tblGrid>
        <w:gridCol w:w="6336"/>
        <w:gridCol w:w="2880"/>
      </w:tblGrid>
      <w:tr w:rsidR="004174CA" w:rsidRPr="009F646D" w14:paraId="5BA1BD30" w14:textId="77777777" w:rsidTr="00D417B0">
        <w:trPr>
          <w:trHeight w:val="290"/>
          <w:jc w:val="center"/>
        </w:trPr>
        <w:tc>
          <w:tcPr>
            <w:tcW w:w="6336" w:type="dxa"/>
            <w:tcBorders>
              <w:top w:val="single" w:sz="4" w:space="0" w:color="auto"/>
              <w:bottom w:val="single" w:sz="4" w:space="0" w:color="auto"/>
            </w:tcBorders>
            <w:shd w:val="clear" w:color="auto" w:fill="auto"/>
            <w:noWrap/>
            <w:vAlign w:val="bottom"/>
            <w:hideMark/>
          </w:tcPr>
          <w:p w14:paraId="4BA42447" w14:textId="25799E21" w:rsidR="004174CA" w:rsidRPr="00D417B0" w:rsidRDefault="000E460A" w:rsidP="000E460A">
            <w:pPr>
              <w:spacing w:after="0" w:line="240" w:lineRule="auto"/>
              <w:jc w:val="center"/>
              <w:rPr>
                <w:rFonts w:ascii="Times New Roman" w:eastAsia="Times New Roman" w:hAnsi="Times New Roman" w:cs="Times New Roman"/>
                <w:sz w:val="20"/>
                <w:szCs w:val="20"/>
              </w:rPr>
            </w:pPr>
            <w:r w:rsidRPr="00D417B0">
              <w:rPr>
                <w:rFonts w:ascii="Times New Roman" w:eastAsia="Times New Roman" w:hAnsi="Times New Roman" w:cs="Times New Roman"/>
                <w:sz w:val="20"/>
                <w:szCs w:val="20"/>
              </w:rPr>
              <w:t>Region</w:t>
            </w:r>
          </w:p>
        </w:tc>
        <w:tc>
          <w:tcPr>
            <w:tcW w:w="2880" w:type="dxa"/>
            <w:tcBorders>
              <w:top w:val="single" w:sz="4" w:space="0" w:color="auto"/>
              <w:bottom w:val="single" w:sz="4" w:space="0" w:color="auto"/>
            </w:tcBorders>
            <w:shd w:val="clear" w:color="auto" w:fill="auto"/>
            <w:noWrap/>
            <w:vAlign w:val="bottom"/>
            <w:hideMark/>
          </w:tcPr>
          <w:p w14:paraId="731083EB" w14:textId="77777777" w:rsidR="004174CA" w:rsidRPr="00D417B0" w:rsidRDefault="004174CA" w:rsidP="000E460A">
            <w:pPr>
              <w:spacing w:after="0" w:line="240" w:lineRule="auto"/>
              <w:jc w:val="center"/>
              <w:rPr>
                <w:rFonts w:ascii="Times New Roman" w:eastAsia="Times New Roman" w:hAnsi="Times New Roman" w:cs="Times New Roman"/>
                <w:color w:val="000000"/>
                <w:sz w:val="20"/>
                <w:szCs w:val="20"/>
              </w:rPr>
            </w:pPr>
            <w:r w:rsidRPr="00D417B0">
              <w:rPr>
                <w:rFonts w:ascii="Times New Roman" w:eastAsia="Times New Roman" w:hAnsi="Times New Roman" w:cs="Times New Roman"/>
                <w:color w:val="000000"/>
                <w:sz w:val="20"/>
                <w:szCs w:val="20"/>
              </w:rPr>
              <w:t>Payroll / VA</w:t>
            </w:r>
          </w:p>
        </w:tc>
      </w:tr>
      <w:tr w:rsidR="000E460A" w:rsidRPr="009F646D" w14:paraId="21FFD752" w14:textId="77777777" w:rsidTr="00D417B0">
        <w:trPr>
          <w:trHeight w:val="290"/>
          <w:jc w:val="center"/>
        </w:trPr>
        <w:tc>
          <w:tcPr>
            <w:tcW w:w="6336" w:type="dxa"/>
            <w:tcBorders>
              <w:top w:val="single" w:sz="4" w:space="0" w:color="auto"/>
            </w:tcBorders>
            <w:shd w:val="clear" w:color="auto" w:fill="auto"/>
            <w:noWrap/>
            <w:vAlign w:val="bottom"/>
            <w:hideMark/>
          </w:tcPr>
          <w:p w14:paraId="66E3CD27" w14:textId="77777777" w:rsidR="000E460A" w:rsidRPr="00D417B0" w:rsidRDefault="000E460A" w:rsidP="000E460A">
            <w:pPr>
              <w:spacing w:after="0" w:line="240" w:lineRule="auto"/>
              <w:rPr>
                <w:rFonts w:ascii="Times New Roman" w:eastAsia="Times New Roman" w:hAnsi="Times New Roman" w:cs="Times New Roman"/>
                <w:color w:val="000000"/>
                <w:sz w:val="20"/>
                <w:szCs w:val="20"/>
              </w:rPr>
            </w:pPr>
            <w:r w:rsidRPr="00D417B0">
              <w:rPr>
                <w:rFonts w:ascii="Times New Roman" w:eastAsia="Times New Roman" w:hAnsi="Times New Roman" w:cs="Times New Roman"/>
                <w:color w:val="000000"/>
                <w:sz w:val="20"/>
                <w:szCs w:val="20"/>
              </w:rPr>
              <w:t>Australia and New Zealand</w:t>
            </w:r>
          </w:p>
        </w:tc>
        <w:tc>
          <w:tcPr>
            <w:tcW w:w="2880" w:type="dxa"/>
            <w:tcBorders>
              <w:top w:val="single" w:sz="4" w:space="0" w:color="auto"/>
            </w:tcBorders>
            <w:shd w:val="clear" w:color="auto" w:fill="auto"/>
            <w:noWrap/>
            <w:vAlign w:val="bottom"/>
            <w:hideMark/>
          </w:tcPr>
          <w:p w14:paraId="4C422E87" w14:textId="095E1A09" w:rsidR="000E460A" w:rsidRPr="00D417B0" w:rsidRDefault="000E460A" w:rsidP="000E460A">
            <w:pPr>
              <w:spacing w:after="0" w:line="240" w:lineRule="auto"/>
              <w:jc w:val="center"/>
              <w:rPr>
                <w:rFonts w:ascii="Times New Roman" w:eastAsia="Times New Roman" w:hAnsi="Times New Roman" w:cs="Times New Roman"/>
                <w:color w:val="000000"/>
                <w:sz w:val="20"/>
                <w:szCs w:val="20"/>
              </w:rPr>
            </w:pPr>
            <w:r w:rsidRPr="00D417B0">
              <w:rPr>
                <w:rFonts w:ascii="Times New Roman" w:hAnsi="Times New Roman" w:cs="Times New Roman"/>
                <w:color w:val="000000"/>
                <w:sz w:val="20"/>
                <w:szCs w:val="20"/>
              </w:rPr>
              <w:t>0.52</w:t>
            </w:r>
          </w:p>
        </w:tc>
      </w:tr>
      <w:tr w:rsidR="000E460A" w:rsidRPr="009F646D" w14:paraId="4A6EC3BF" w14:textId="77777777" w:rsidTr="00D417B0">
        <w:trPr>
          <w:trHeight w:val="290"/>
          <w:jc w:val="center"/>
        </w:trPr>
        <w:tc>
          <w:tcPr>
            <w:tcW w:w="6336" w:type="dxa"/>
            <w:shd w:val="clear" w:color="auto" w:fill="auto"/>
            <w:noWrap/>
            <w:vAlign w:val="bottom"/>
            <w:hideMark/>
          </w:tcPr>
          <w:p w14:paraId="6EF43C4E" w14:textId="77777777" w:rsidR="000E460A" w:rsidRPr="00D417B0" w:rsidRDefault="000E460A" w:rsidP="000E460A">
            <w:pPr>
              <w:spacing w:after="0" w:line="240" w:lineRule="auto"/>
              <w:rPr>
                <w:rFonts w:ascii="Times New Roman" w:eastAsia="Times New Roman" w:hAnsi="Times New Roman" w:cs="Times New Roman"/>
                <w:color w:val="000000"/>
                <w:sz w:val="20"/>
                <w:szCs w:val="20"/>
              </w:rPr>
            </w:pPr>
            <w:r w:rsidRPr="00D417B0">
              <w:rPr>
                <w:rFonts w:ascii="Times New Roman" w:eastAsia="Times New Roman" w:hAnsi="Times New Roman" w:cs="Times New Roman"/>
                <w:color w:val="000000"/>
                <w:sz w:val="20"/>
                <w:szCs w:val="20"/>
              </w:rPr>
              <w:t>Central Asia and Southern Asia</w:t>
            </w:r>
          </w:p>
        </w:tc>
        <w:tc>
          <w:tcPr>
            <w:tcW w:w="2880" w:type="dxa"/>
            <w:shd w:val="clear" w:color="auto" w:fill="auto"/>
            <w:noWrap/>
            <w:vAlign w:val="bottom"/>
            <w:hideMark/>
          </w:tcPr>
          <w:p w14:paraId="2ABA5C2C" w14:textId="401D2BAE" w:rsidR="000E460A" w:rsidRPr="00D417B0" w:rsidRDefault="000E460A" w:rsidP="000E460A">
            <w:pPr>
              <w:spacing w:after="0" w:line="240" w:lineRule="auto"/>
              <w:jc w:val="center"/>
              <w:rPr>
                <w:rFonts w:ascii="Times New Roman" w:eastAsia="Times New Roman" w:hAnsi="Times New Roman" w:cs="Times New Roman"/>
                <w:color w:val="000000"/>
                <w:sz w:val="20"/>
                <w:szCs w:val="20"/>
              </w:rPr>
            </w:pPr>
            <w:r w:rsidRPr="00D417B0">
              <w:rPr>
                <w:rFonts w:ascii="Times New Roman" w:hAnsi="Times New Roman" w:cs="Times New Roman"/>
                <w:color w:val="000000"/>
                <w:sz w:val="20"/>
                <w:szCs w:val="20"/>
              </w:rPr>
              <w:t>0.21</w:t>
            </w:r>
          </w:p>
        </w:tc>
      </w:tr>
      <w:tr w:rsidR="000E460A" w:rsidRPr="009F646D" w14:paraId="24D06229" w14:textId="77777777" w:rsidTr="00D417B0">
        <w:trPr>
          <w:trHeight w:val="290"/>
          <w:jc w:val="center"/>
        </w:trPr>
        <w:tc>
          <w:tcPr>
            <w:tcW w:w="6336" w:type="dxa"/>
            <w:shd w:val="clear" w:color="auto" w:fill="auto"/>
            <w:noWrap/>
            <w:vAlign w:val="bottom"/>
            <w:hideMark/>
          </w:tcPr>
          <w:p w14:paraId="16586655" w14:textId="77777777" w:rsidR="000E460A" w:rsidRPr="00D417B0" w:rsidRDefault="000E460A" w:rsidP="000E460A">
            <w:pPr>
              <w:spacing w:after="0" w:line="240" w:lineRule="auto"/>
              <w:rPr>
                <w:rFonts w:ascii="Times New Roman" w:eastAsia="Times New Roman" w:hAnsi="Times New Roman" w:cs="Times New Roman"/>
                <w:color w:val="000000"/>
                <w:sz w:val="20"/>
                <w:szCs w:val="20"/>
              </w:rPr>
            </w:pPr>
            <w:r w:rsidRPr="00D417B0">
              <w:rPr>
                <w:rFonts w:ascii="Times New Roman" w:eastAsia="Times New Roman" w:hAnsi="Times New Roman" w:cs="Times New Roman"/>
                <w:color w:val="000000"/>
                <w:sz w:val="20"/>
                <w:szCs w:val="20"/>
              </w:rPr>
              <w:t>Eastern Asia and South-eastern Asia</w:t>
            </w:r>
          </w:p>
        </w:tc>
        <w:tc>
          <w:tcPr>
            <w:tcW w:w="2880" w:type="dxa"/>
            <w:shd w:val="clear" w:color="auto" w:fill="auto"/>
            <w:noWrap/>
            <w:vAlign w:val="bottom"/>
            <w:hideMark/>
          </w:tcPr>
          <w:p w14:paraId="585A8C97" w14:textId="31603EEB" w:rsidR="000E460A" w:rsidRPr="00D417B0" w:rsidRDefault="000E460A" w:rsidP="000E460A">
            <w:pPr>
              <w:spacing w:after="0" w:line="240" w:lineRule="auto"/>
              <w:jc w:val="center"/>
              <w:rPr>
                <w:rFonts w:ascii="Times New Roman" w:eastAsia="Times New Roman" w:hAnsi="Times New Roman" w:cs="Times New Roman"/>
                <w:color w:val="000000"/>
                <w:sz w:val="20"/>
                <w:szCs w:val="20"/>
              </w:rPr>
            </w:pPr>
            <w:r w:rsidRPr="00D417B0">
              <w:rPr>
                <w:rFonts w:ascii="Times New Roman" w:hAnsi="Times New Roman" w:cs="Times New Roman"/>
                <w:color w:val="000000"/>
                <w:sz w:val="20"/>
                <w:szCs w:val="20"/>
              </w:rPr>
              <w:t>0.27</w:t>
            </w:r>
          </w:p>
        </w:tc>
      </w:tr>
      <w:tr w:rsidR="000E460A" w:rsidRPr="009F646D" w14:paraId="174BEC1A" w14:textId="77777777" w:rsidTr="00D417B0">
        <w:trPr>
          <w:trHeight w:val="290"/>
          <w:jc w:val="center"/>
        </w:trPr>
        <w:tc>
          <w:tcPr>
            <w:tcW w:w="6336" w:type="dxa"/>
            <w:shd w:val="clear" w:color="auto" w:fill="auto"/>
            <w:noWrap/>
            <w:vAlign w:val="bottom"/>
            <w:hideMark/>
          </w:tcPr>
          <w:p w14:paraId="6952888C" w14:textId="77777777" w:rsidR="000E460A" w:rsidRPr="00D417B0" w:rsidRDefault="000E460A" w:rsidP="000E460A">
            <w:pPr>
              <w:spacing w:after="0" w:line="240" w:lineRule="auto"/>
              <w:rPr>
                <w:rFonts w:ascii="Times New Roman" w:eastAsia="Times New Roman" w:hAnsi="Times New Roman" w:cs="Times New Roman"/>
                <w:color w:val="000000"/>
                <w:sz w:val="20"/>
                <w:szCs w:val="20"/>
              </w:rPr>
            </w:pPr>
            <w:r w:rsidRPr="00D417B0">
              <w:rPr>
                <w:rFonts w:ascii="Times New Roman" w:eastAsia="Times New Roman" w:hAnsi="Times New Roman" w:cs="Times New Roman"/>
                <w:color w:val="000000"/>
                <w:sz w:val="20"/>
                <w:szCs w:val="20"/>
              </w:rPr>
              <w:t>Latin America and the Caribbean</w:t>
            </w:r>
          </w:p>
        </w:tc>
        <w:tc>
          <w:tcPr>
            <w:tcW w:w="2880" w:type="dxa"/>
            <w:shd w:val="clear" w:color="auto" w:fill="auto"/>
            <w:noWrap/>
            <w:vAlign w:val="bottom"/>
            <w:hideMark/>
          </w:tcPr>
          <w:p w14:paraId="1E4D51E8" w14:textId="2E9C3001" w:rsidR="000E460A" w:rsidRPr="00D417B0" w:rsidRDefault="000E460A" w:rsidP="000E460A">
            <w:pPr>
              <w:spacing w:after="0" w:line="240" w:lineRule="auto"/>
              <w:jc w:val="center"/>
              <w:rPr>
                <w:rFonts w:ascii="Times New Roman" w:eastAsia="Times New Roman" w:hAnsi="Times New Roman" w:cs="Times New Roman"/>
                <w:color w:val="000000"/>
                <w:sz w:val="20"/>
                <w:szCs w:val="20"/>
              </w:rPr>
            </w:pPr>
            <w:r w:rsidRPr="00D417B0">
              <w:rPr>
                <w:rFonts w:ascii="Times New Roman" w:hAnsi="Times New Roman" w:cs="Times New Roman"/>
                <w:color w:val="000000"/>
                <w:sz w:val="20"/>
                <w:szCs w:val="20"/>
              </w:rPr>
              <w:t>0.26</w:t>
            </w:r>
          </w:p>
        </w:tc>
      </w:tr>
      <w:tr w:rsidR="000E460A" w:rsidRPr="009F646D" w14:paraId="7C7CF742" w14:textId="77777777" w:rsidTr="00D417B0">
        <w:trPr>
          <w:trHeight w:val="290"/>
          <w:jc w:val="center"/>
        </w:trPr>
        <w:tc>
          <w:tcPr>
            <w:tcW w:w="6336" w:type="dxa"/>
            <w:shd w:val="clear" w:color="auto" w:fill="auto"/>
            <w:noWrap/>
            <w:vAlign w:val="bottom"/>
            <w:hideMark/>
          </w:tcPr>
          <w:p w14:paraId="56AD6B79" w14:textId="77777777" w:rsidR="000E460A" w:rsidRPr="00D417B0" w:rsidRDefault="000E460A" w:rsidP="000E460A">
            <w:pPr>
              <w:spacing w:after="0" w:line="240" w:lineRule="auto"/>
              <w:rPr>
                <w:rFonts w:ascii="Times New Roman" w:eastAsia="Times New Roman" w:hAnsi="Times New Roman" w:cs="Times New Roman"/>
                <w:color w:val="000000"/>
                <w:sz w:val="20"/>
                <w:szCs w:val="20"/>
              </w:rPr>
            </w:pPr>
            <w:r w:rsidRPr="00D417B0">
              <w:rPr>
                <w:rFonts w:ascii="Times New Roman" w:eastAsia="Times New Roman" w:hAnsi="Times New Roman" w:cs="Times New Roman"/>
                <w:color w:val="000000"/>
                <w:sz w:val="20"/>
                <w:szCs w:val="20"/>
              </w:rPr>
              <w:t>Northern America and Europe</w:t>
            </w:r>
          </w:p>
        </w:tc>
        <w:tc>
          <w:tcPr>
            <w:tcW w:w="2880" w:type="dxa"/>
            <w:shd w:val="clear" w:color="auto" w:fill="auto"/>
            <w:noWrap/>
            <w:vAlign w:val="bottom"/>
            <w:hideMark/>
          </w:tcPr>
          <w:p w14:paraId="5600EC7A" w14:textId="10D47B1F" w:rsidR="000E460A" w:rsidRPr="00D417B0" w:rsidRDefault="000E460A" w:rsidP="000E460A">
            <w:pPr>
              <w:spacing w:after="0" w:line="240" w:lineRule="auto"/>
              <w:jc w:val="center"/>
              <w:rPr>
                <w:rFonts w:ascii="Times New Roman" w:eastAsia="Times New Roman" w:hAnsi="Times New Roman" w:cs="Times New Roman"/>
                <w:color w:val="000000"/>
                <w:sz w:val="20"/>
                <w:szCs w:val="20"/>
              </w:rPr>
            </w:pPr>
            <w:r w:rsidRPr="00D417B0">
              <w:rPr>
                <w:rFonts w:ascii="Times New Roman" w:hAnsi="Times New Roman" w:cs="Times New Roman"/>
                <w:color w:val="000000"/>
                <w:sz w:val="20"/>
                <w:szCs w:val="20"/>
              </w:rPr>
              <w:t>0.46</w:t>
            </w:r>
          </w:p>
        </w:tc>
      </w:tr>
      <w:tr w:rsidR="009F646D" w:rsidRPr="009F646D" w14:paraId="485E9620" w14:textId="77777777" w:rsidTr="00D417B0">
        <w:trPr>
          <w:trHeight w:val="290"/>
          <w:jc w:val="center"/>
        </w:trPr>
        <w:tc>
          <w:tcPr>
            <w:tcW w:w="6336" w:type="dxa"/>
            <w:shd w:val="clear" w:color="auto" w:fill="auto"/>
            <w:noWrap/>
            <w:vAlign w:val="bottom"/>
          </w:tcPr>
          <w:p w14:paraId="4AAF93F5" w14:textId="481BC9A5" w:rsidR="009F646D" w:rsidRPr="00D417B0" w:rsidRDefault="009F646D" w:rsidP="000E460A">
            <w:pPr>
              <w:spacing w:after="0" w:line="240" w:lineRule="auto"/>
              <w:rPr>
                <w:rFonts w:ascii="Times New Roman" w:eastAsia="Times New Roman" w:hAnsi="Times New Roman" w:cs="Times New Roman"/>
                <w:color w:val="000000"/>
                <w:sz w:val="20"/>
                <w:szCs w:val="20"/>
              </w:rPr>
            </w:pPr>
            <w:r w:rsidRPr="00D417B0">
              <w:rPr>
                <w:rFonts w:ascii="Times New Roman" w:eastAsia="Times New Roman" w:hAnsi="Times New Roman" w:cs="Times New Roman"/>
                <w:color w:val="000000"/>
                <w:sz w:val="20"/>
                <w:szCs w:val="20"/>
              </w:rPr>
              <w:t>Sub-Saharan Africa</w:t>
            </w:r>
          </w:p>
        </w:tc>
        <w:tc>
          <w:tcPr>
            <w:tcW w:w="2880" w:type="dxa"/>
            <w:shd w:val="clear" w:color="auto" w:fill="auto"/>
            <w:noWrap/>
            <w:vAlign w:val="bottom"/>
          </w:tcPr>
          <w:p w14:paraId="4CCBFABA" w14:textId="4F4ADBDD" w:rsidR="009F646D" w:rsidRPr="00D417B0" w:rsidRDefault="009F646D" w:rsidP="000E460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0.2</w:t>
            </w:r>
            <w:r w:rsidR="002D364B">
              <w:rPr>
                <w:rFonts w:ascii="Times New Roman" w:hAnsi="Times New Roman" w:cs="Times New Roman"/>
                <w:color w:val="000000"/>
                <w:sz w:val="20"/>
                <w:szCs w:val="20"/>
              </w:rPr>
              <w:t>3</w:t>
            </w:r>
          </w:p>
        </w:tc>
      </w:tr>
      <w:tr w:rsidR="000E460A" w:rsidRPr="009F646D" w14:paraId="769B555C" w14:textId="77777777" w:rsidTr="00D417B0">
        <w:trPr>
          <w:trHeight w:val="290"/>
          <w:jc w:val="center"/>
        </w:trPr>
        <w:tc>
          <w:tcPr>
            <w:tcW w:w="6336" w:type="dxa"/>
            <w:shd w:val="clear" w:color="auto" w:fill="auto"/>
            <w:noWrap/>
            <w:vAlign w:val="bottom"/>
            <w:hideMark/>
          </w:tcPr>
          <w:p w14:paraId="4C086BAD" w14:textId="5B06DADE" w:rsidR="000E460A" w:rsidRPr="00D417B0" w:rsidRDefault="000E460A" w:rsidP="000E460A">
            <w:pPr>
              <w:spacing w:after="0" w:line="240" w:lineRule="auto"/>
              <w:rPr>
                <w:rFonts w:ascii="Times New Roman" w:eastAsia="Times New Roman" w:hAnsi="Times New Roman" w:cs="Times New Roman"/>
                <w:color w:val="000000"/>
                <w:sz w:val="20"/>
                <w:szCs w:val="20"/>
              </w:rPr>
            </w:pPr>
            <w:r w:rsidRPr="00D417B0">
              <w:rPr>
                <w:rFonts w:ascii="Times New Roman" w:eastAsia="Times New Roman" w:hAnsi="Times New Roman" w:cs="Times New Roman"/>
                <w:color w:val="000000"/>
                <w:sz w:val="20"/>
                <w:szCs w:val="20"/>
              </w:rPr>
              <w:t>Sub-Saharan Africa</w:t>
            </w:r>
            <w:r w:rsidR="009F646D" w:rsidRPr="00D417B0">
              <w:rPr>
                <w:rFonts w:ascii="Times New Roman" w:eastAsia="Times New Roman" w:hAnsi="Times New Roman" w:cs="Times New Roman"/>
                <w:color w:val="000000"/>
                <w:sz w:val="20"/>
                <w:szCs w:val="20"/>
              </w:rPr>
              <w:t xml:space="preserve"> </w:t>
            </w:r>
            <w:r w:rsidR="009F646D" w:rsidRPr="009F646D">
              <w:rPr>
                <w:rFonts w:ascii="Times New Roman" w:hAnsi="Times New Roman" w:cs="Times New Roman"/>
                <w:sz w:val="20"/>
                <w:szCs w:val="20"/>
              </w:rPr>
              <w:t>excluding Mauritius, Botswana, and South Africa</w:t>
            </w:r>
          </w:p>
        </w:tc>
        <w:tc>
          <w:tcPr>
            <w:tcW w:w="2880" w:type="dxa"/>
            <w:shd w:val="clear" w:color="auto" w:fill="auto"/>
            <w:noWrap/>
            <w:vAlign w:val="bottom"/>
            <w:hideMark/>
          </w:tcPr>
          <w:p w14:paraId="7A179AD2" w14:textId="6938D0A3" w:rsidR="000E460A" w:rsidRPr="00D417B0" w:rsidRDefault="000E460A" w:rsidP="000E460A">
            <w:pPr>
              <w:spacing w:after="0" w:line="240" w:lineRule="auto"/>
              <w:jc w:val="center"/>
              <w:rPr>
                <w:rFonts w:ascii="Times New Roman" w:eastAsia="Times New Roman" w:hAnsi="Times New Roman" w:cs="Times New Roman"/>
                <w:color w:val="000000"/>
                <w:sz w:val="20"/>
                <w:szCs w:val="20"/>
              </w:rPr>
            </w:pPr>
            <w:r w:rsidRPr="00D417B0">
              <w:rPr>
                <w:rFonts w:ascii="Times New Roman" w:hAnsi="Times New Roman" w:cs="Times New Roman"/>
                <w:color w:val="000000"/>
                <w:sz w:val="20"/>
                <w:szCs w:val="20"/>
              </w:rPr>
              <w:t>0.</w:t>
            </w:r>
            <w:r w:rsidR="002D364B">
              <w:rPr>
                <w:rFonts w:ascii="Times New Roman" w:hAnsi="Times New Roman" w:cs="Times New Roman"/>
                <w:color w:val="000000"/>
                <w:sz w:val="20"/>
                <w:szCs w:val="20"/>
              </w:rPr>
              <w:t>20</w:t>
            </w:r>
          </w:p>
        </w:tc>
      </w:tr>
      <w:tr w:rsidR="000E460A" w:rsidRPr="009F646D" w14:paraId="0C7BB0A5" w14:textId="77777777" w:rsidTr="00D417B0">
        <w:trPr>
          <w:trHeight w:val="290"/>
          <w:jc w:val="center"/>
        </w:trPr>
        <w:tc>
          <w:tcPr>
            <w:tcW w:w="6336" w:type="dxa"/>
            <w:shd w:val="clear" w:color="auto" w:fill="auto"/>
            <w:noWrap/>
            <w:vAlign w:val="bottom"/>
            <w:hideMark/>
          </w:tcPr>
          <w:p w14:paraId="402699FE" w14:textId="77777777" w:rsidR="000E460A" w:rsidRPr="00D417B0" w:rsidRDefault="000E460A" w:rsidP="000E460A">
            <w:pPr>
              <w:spacing w:after="0" w:line="240" w:lineRule="auto"/>
              <w:rPr>
                <w:rFonts w:ascii="Times New Roman" w:eastAsia="Times New Roman" w:hAnsi="Times New Roman" w:cs="Times New Roman"/>
                <w:color w:val="000000"/>
                <w:sz w:val="20"/>
                <w:szCs w:val="20"/>
              </w:rPr>
            </w:pPr>
            <w:r w:rsidRPr="00D417B0">
              <w:rPr>
                <w:rFonts w:ascii="Times New Roman" w:eastAsia="Times New Roman" w:hAnsi="Times New Roman" w:cs="Times New Roman"/>
                <w:color w:val="000000"/>
                <w:sz w:val="20"/>
                <w:szCs w:val="20"/>
              </w:rPr>
              <w:t>Western Asia and Northern Africa</w:t>
            </w:r>
          </w:p>
        </w:tc>
        <w:tc>
          <w:tcPr>
            <w:tcW w:w="2880" w:type="dxa"/>
            <w:shd w:val="clear" w:color="auto" w:fill="auto"/>
            <w:noWrap/>
            <w:vAlign w:val="bottom"/>
            <w:hideMark/>
          </w:tcPr>
          <w:p w14:paraId="23EE6A96" w14:textId="3DC0415B" w:rsidR="000E460A" w:rsidRPr="00D417B0" w:rsidRDefault="000E460A" w:rsidP="000E460A">
            <w:pPr>
              <w:spacing w:after="0" w:line="240" w:lineRule="auto"/>
              <w:jc w:val="center"/>
              <w:rPr>
                <w:rFonts w:ascii="Times New Roman" w:eastAsia="Times New Roman" w:hAnsi="Times New Roman" w:cs="Times New Roman"/>
                <w:color w:val="000000"/>
                <w:sz w:val="20"/>
                <w:szCs w:val="20"/>
              </w:rPr>
            </w:pPr>
            <w:r w:rsidRPr="00D417B0">
              <w:rPr>
                <w:rFonts w:ascii="Times New Roman" w:hAnsi="Times New Roman" w:cs="Times New Roman"/>
                <w:color w:val="000000"/>
                <w:sz w:val="20"/>
                <w:szCs w:val="20"/>
              </w:rPr>
              <w:t>0.31</w:t>
            </w:r>
          </w:p>
        </w:tc>
      </w:tr>
      <w:tr w:rsidR="000E460A" w:rsidRPr="009F646D" w14:paraId="7D283D44" w14:textId="77777777" w:rsidTr="00D417B0">
        <w:trPr>
          <w:trHeight w:val="290"/>
          <w:jc w:val="center"/>
        </w:trPr>
        <w:tc>
          <w:tcPr>
            <w:tcW w:w="6336" w:type="dxa"/>
            <w:shd w:val="clear" w:color="auto" w:fill="auto"/>
            <w:noWrap/>
            <w:vAlign w:val="bottom"/>
            <w:hideMark/>
          </w:tcPr>
          <w:p w14:paraId="00346D9B" w14:textId="77777777" w:rsidR="000E460A" w:rsidRPr="00D417B0" w:rsidRDefault="000E460A" w:rsidP="000E460A">
            <w:pPr>
              <w:spacing w:after="0" w:line="240" w:lineRule="auto"/>
              <w:rPr>
                <w:rFonts w:ascii="Times New Roman" w:eastAsia="Times New Roman" w:hAnsi="Times New Roman" w:cs="Times New Roman"/>
                <w:color w:val="000000"/>
                <w:sz w:val="20"/>
                <w:szCs w:val="20"/>
              </w:rPr>
            </w:pPr>
            <w:r w:rsidRPr="00D417B0">
              <w:rPr>
                <w:rFonts w:ascii="Times New Roman" w:eastAsia="Times New Roman" w:hAnsi="Times New Roman" w:cs="Times New Roman"/>
                <w:color w:val="000000"/>
                <w:sz w:val="20"/>
                <w:szCs w:val="20"/>
              </w:rPr>
              <w:t>Total</w:t>
            </w:r>
          </w:p>
        </w:tc>
        <w:tc>
          <w:tcPr>
            <w:tcW w:w="2880" w:type="dxa"/>
            <w:shd w:val="clear" w:color="auto" w:fill="auto"/>
            <w:noWrap/>
            <w:vAlign w:val="bottom"/>
            <w:hideMark/>
          </w:tcPr>
          <w:p w14:paraId="765D879B" w14:textId="4B5A72EB" w:rsidR="000E460A" w:rsidRPr="00D417B0" w:rsidRDefault="000E460A" w:rsidP="000E460A">
            <w:pPr>
              <w:spacing w:after="0" w:line="240" w:lineRule="auto"/>
              <w:jc w:val="center"/>
              <w:rPr>
                <w:rFonts w:ascii="Times New Roman" w:eastAsia="Times New Roman" w:hAnsi="Times New Roman" w:cs="Times New Roman"/>
                <w:color w:val="000000"/>
                <w:sz w:val="20"/>
                <w:szCs w:val="20"/>
              </w:rPr>
            </w:pPr>
            <w:r w:rsidRPr="00D417B0">
              <w:rPr>
                <w:rFonts w:ascii="Times New Roman" w:hAnsi="Times New Roman" w:cs="Times New Roman"/>
                <w:color w:val="000000"/>
                <w:sz w:val="20"/>
                <w:szCs w:val="20"/>
              </w:rPr>
              <w:t>0.36</w:t>
            </w:r>
          </w:p>
        </w:tc>
      </w:tr>
    </w:tbl>
    <w:p w14:paraId="382A7F67" w14:textId="55A65345" w:rsidR="004174CA" w:rsidRPr="000E460A" w:rsidRDefault="000E460A">
      <w:pPr>
        <w:rPr>
          <w:rFonts w:ascii="Times New Roman" w:hAnsi="Times New Roman" w:cs="Times New Roman"/>
          <w:sz w:val="20"/>
          <w:szCs w:val="20"/>
        </w:rPr>
      </w:pPr>
      <w:r w:rsidRPr="00F95321">
        <w:rPr>
          <w:rFonts w:ascii="Times New Roman" w:hAnsi="Times New Roman" w:cs="Times New Roman"/>
          <w:i/>
          <w:iCs/>
          <w:sz w:val="20"/>
          <w:szCs w:val="20"/>
        </w:rPr>
        <w:t>Note</w:t>
      </w:r>
      <w:r w:rsidRPr="000E460A">
        <w:rPr>
          <w:rFonts w:ascii="Times New Roman" w:hAnsi="Times New Roman" w:cs="Times New Roman"/>
          <w:sz w:val="20"/>
          <w:szCs w:val="20"/>
        </w:rPr>
        <w:t>: This table reports the average ratio of payroll to value added in manufacturing in 2018 for the sample of countries that report both payroll and value added. These data come from UNIDO</w:t>
      </w:r>
      <w:r w:rsidR="00A92D39">
        <w:rPr>
          <w:rFonts w:ascii="Times New Roman" w:hAnsi="Times New Roman" w:cs="Times New Roman"/>
          <w:sz w:val="20"/>
          <w:szCs w:val="20"/>
        </w:rPr>
        <w:t>’s</w:t>
      </w:r>
      <w:r w:rsidRPr="000E460A">
        <w:rPr>
          <w:rFonts w:ascii="Times New Roman" w:hAnsi="Times New Roman" w:cs="Times New Roman"/>
          <w:sz w:val="20"/>
          <w:szCs w:val="20"/>
        </w:rPr>
        <w:t xml:space="preserve"> Indstat2 database. </w:t>
      </w:r>
      <w:r w:rsidR="00077ABD">
        <w:rPr>
          <w:rFonts w:ascii="Times New Roman" w:hAnsi="Times New Roman" w:cs="Times New Roman"/>
          <w:sz w:val="20"/>
          <w:szCs w:val="20"/>
        </w:rPr>
        <w:t xml:space="preserve">The countries included in each </w:t>
      </w:r>
      <w:r w:rsidR="00B02C89">
        <w:rPr>
          <w:rFonts w:ascii="Times New Roman" w:hAnsi="Times New Roman" w:cs="Times New Roman"/>
          <w:sz w:val="20"/>
          <w:szCs w:val="20"/>
        </w:rPr>
        <w:t>region</w:t>
      </w:r>
      <w:r w:rsidR="00077ABD">
        <w:rPr>
          <w:rFonts w:ascii="Times New Roman" w:hAnsi="Times New Roman" w:cs="Times New Roman"/>
          <w:sz w:val="20"/>
          <w:szCs w:val="20"/>
        </w:rPr>
        <w:t xml:space="preserve"> are: i) </w:t>
      </w:r>
      <w:r w:rsidR="00077ABD" w:rsidRPr="00077ABD">
        <w:rPr>
          <w:rFonts w:ascii="Times New Roman" w:hAnsi="Times New Roman" w:cs="Times New Roman"/>
          <w:sz w:val="20"/>
          <w:szCs w:val="20"/>
        </w:rPr>
        <w:t>Australia and New Zealand</w:t>
      </w:r>
      <w:r w:rsidR="00077ABD">
        <w:rPr>
          <w:rFonts w:ascii="Times New Roman" w:hAnsi="Times New Roman" w:cs="Times New Roman"/>
          <w:sz w:val="20"/>
          <w:szCs w:val="20"/>
        </w:rPr>
        <w:t xml:space="preserve"> – </w:t>
      </w:r>
      <w:r w:rsidR="00077ABD" w:rsidRPr="00077ABD">
        <w:rPr>
          <w:rFonts w:ascii="Times New Roman" w:hAnsi="Times New Roman" w:cs="Times New Roman"/>
          <w:sz w:val="20"/>
          <w:szCs w:val="20"/>
        </w:rPr>
        <w:t>Australia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New Zealand</w:t>
      </w:r>
      <w:r w:rsidR="00077ABD">
        <w:rPr>
          <w:rFonts w:ascii="Times New Roman" w:hAnsi="Times New Roman" w:cs="Times New Roman"/>
          <w:sz w:val="20"/>
          <w:szCs w:val="20"/>
        </w:rPr>
        <w:t xml:space="preserve">; ii) </w:t>
      </w:r>
      <w:r w:rsidR="00077ABD" w:rsidRPr="00077ABD">
        <w:rPr>
          <w:rFonts w:ascii="Times New Roman" w:hAnsi="Times New Roman" w:cs="Times New Roman"/>
          <w:sz w:val="20"/>
          <w:szCs w:val="20"/>
        </w:rPr>
        <w:t>Central Asia and Southern Asia</w:t>
      </w:r>
      <w:r w:rsidR="00077ABD">
        <w:rPr>
          <w:rFonts w:ascii="Times New Roman" w:hAnsi="Times New Roman" w:cs="Times New Roman"/>
          <w:sz w:val="20"/>
          <w:szCs w:val="20"/>
        </w:rPr>
        <w:t xml:space="preserve"> – </w:t>
      </w:r>
      <w:r w:rsidR="00077ABD" w:rsidRPr="00077ABD">
        <w:rPr>
          <w:rFonts w:ascii="Times New Roman" w:hAnsi="Times New Roman" w:cs="Times New Roman"/>
          <w:sz w:val="20"/>
          <w:szCs w:val="20"/>
        </w:rPr>
        <w:t>Bangladesh</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India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Iran</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Kazakhstan</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Kyrgyzstan</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Nepal</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Sri Lanka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Uzbekistan</w:t>
      </w:r>
      <w:r w:rsidR="00077ABD">
        <w:rPr>
          <w:rFonts w:ascii="Times New Roman" w:hAnsi="Times New Roman" w:cs="Times New Roman"/>
          <w:sz w:val="20"/>
          <w:szCs w:val="20"/>
        </w:rPr>
        <w:t xml:space="preserve">; iii) </w:t>
      </w:r>
      <w:r w:rsidR="00077ABD" w:rsidRPr="00077ABD">
        <w:rPr>
          <w:rFonts w:ascii="Times New Roman" w:hAnsi="Times New Roman" w:cs="Times New Roman"/>
          <w:sz w:val="20"/>
          <w:szCs w:val="20"/>
        </w:rPr>
        <w:t>Eastern Asia and South-eastern Asia</w:t>
      </w:r>
      <w:r w:rsidR="00077ABD">
        <w:rPr>
          <w:rFonts w:ascii="Times New Roman" w:hAnsi="Times New Roman" w:cs="Times New Roman"/>
          <w:sz w:val="20"/>
          <w:szCs w:val="20"/>
        </w:rPr>
        <w:t xml:space="preserve"> – </w:t>
      </w:r>
      <w:r w:rsidR="00077ABD" w:rsidRPr="00077ABD">
        <w:rPr>
          <w:rFonts w:ascii="Times New Roman" w:hAnsi="Times New Roman" w:cs="Times New Roman"/>
          <w:sz w:val="20"/>
          <w:szCs w:val="20"/>
        </w:rPr>
        <w:t>China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Hong Kong SAR</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Indonesia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Malaysia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Mongolia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Philippines</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Republic of Korea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Singapore</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Thailand</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Viet Nam</w:t>
      </w:r>
      <w:r w:rsidR="00077ABD">
        <w:rPr>
          <w:rFonts w:ascii="Times New Roman" w:hAnsi="Times New Roman" w:cs="Times New Roman"/>
          <w:sz w:val="20"/>
          <w:szCs w:val="20"/>
        </w:rPr>
        <w:t xml:space="preserve">; iv) </w:t>
      </w:r>
      <w:r w:rsidR="00077ABD" w:rsidRPr="00077ABD">
        <w:rPr>
          <w:rFonts w:ascii="Times New Roman" w:hAnsi="Times New Roman" w:cs="Times New Roman"/>
          <w:sz w:val="20"/>
          <w:szCs w:val="20"/>
        </w:rPr>
        <w:t>Latin America and the Caribbean</w:t>
      </w:r>
      <w:r w:rsidR="00077ABD">
        <w:rPr>
          <w:rFonts w:ascii="Times New Roman" w:hAnsi="Times New Roman" w:cs="Times New Roman"/>
          <w:sz w:val="20"/>
          <w:szCs w:val="20"/>
        </w:rPr>
        <w:t xml:space="preserve"> – </w:t>
      </w:r>
      <w:r w:rsidR="00077ABD" w:rsidRPr="00077ABD">
        <w:rPr>
          <w:rFonts w:ascii="Times New Roman" w:hAnsi="Times New Roman" w:cs="Times New Roman"/>
          <w:sz w:val="20"/>
          <w:szCs w:val="20"/>
        </w:rPr>
        <w:t>Brazil</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Chile</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Colombia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Costa Rica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Ecuador</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Mexico</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Peru</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Suriname</w:t>
      </w:r>
      <w:r w:rsidR="00077ABD">
        <w:rPr>
          <w:rFonts w:ascii="Times New Roman" w:hAnsi="Times New Roman" w:cs="Times New Roman"/>
          <w:sz w:val="20"/>
          <w:szCs w:val="20"/>
        </w:rPr>
        <w:t xml:space="preserve">; v) </w:t>
      </w:r>
      <w:r w:rsidR="00077ABD" w:rsidRPr="00077ABD">
        <w:rPr>
          <w:rFonts w:ascii="Times New Roman" w:hAnsi="Times New Roman" w:cs="Times New Roman"/>
          <w:sz w:val="20"/>
          <w:szCs w:val="20"/>
        </w:rPr>
        <w:t>Northern America and Europe</w:t>
      </w:r>
      <w:r w:rsidR="00077ABD">
        <w:rPr>
          <w:rFonts w:ascii="Times New Roman" w:hAnsi="Times New Roman" w:cs="Times New Roman"/>
          <w:sz w:val="20"/>
          <w:szCs w:val="20"/>
        </w:rPr>
        <w:t xml:space="preserve"> – </w:t>
      </w:r>
      <w:r w:rsidR="00077ABD" w:rsidRPr="00077ABD">
        <w:rPr>
          <w:rFonts w:ascii="Times New Roman" w:hAnsi="Times New Roman" w:cs="Times New Roman"/>
          <w:sz w:val="20"/>
          <w:szCs w:val="20"/>
        </w:rPr>
        <w:t>Albania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Austria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Belarus</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Belgium</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Bermuda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Bosnia and Herzegovina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Bulgaria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Canada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Croatia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Czechia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Denmark</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Estonia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Finland</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France</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Germany</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Greece</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Hungary</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Iceland</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Ireland</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Italy</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Latvia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Lithuania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Luxembourg</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Malta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Montenegro</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Netherlands</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North Macedonia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Norway</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Poland</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Portugal</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Republic of Moldova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Romania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Russian Federation</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Serbia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Slovakia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Slovenia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Spain</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Sweden</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Switzerland</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Ukraine</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United Kingdom</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United States of America</w:t>
      </w:r>
      <w:r w:rsidR="00077ABD">
        <w:rPr>
          <w:rFonts w:ascii="Times New Roman" w:hAnsi="Times New Roman" w:cs="Times New Roman"/>
          <w:sz w:val="20"/>
          <w:szCs w:val="20"/>
        </w:rPr>
        <w:t xml:space="preserve">; vi) </w:t>
      </w:r>
      <w:r w:rsidR="00077ABD" w:rsidRPr="00077ABD">
        <w:rPr>
          <w:rFonts w:ascii="Times New Roman" w:hAnsi="Times New Roman" w:cs="Times New Roman"/>
          <w:sz w:val="20"/>
          <w:szCs w:val="20"/>
        </w:rPr>
        <w:t>Sub-Saharan</w:t>
      </w:r>
      <w:r w:rsidR="00077ABD">
        <w:rPr>
          <w:rFonts w:ascii="Times New Roman" w:hAnsi="Times New Roman" w:cs="Times New Roman"/>
          <w:sz w:val="20"/>
          <w:szCs w:val="20"/>
        </w:rPr>
        <w:t xml:space="preserve"> Africa – </w:t>
      </w:r>
      <w:r w:rsidR="00077ABD" w:rsidRPr="00077ABD">
        <w:rPr>
          <w:rFonts w:ascii="Times New Roman" w:hAnsi="Times New Roman" w:cs="Times New Roman"/>
          <w:sz w:val="20"/>
          <w:szCs w:val="20"/>
        </w:rPr>
        <w:t>Botswana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Burundi</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Eritrea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Eswatini</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Ethiopia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Ghana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Kenya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Malawi</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Mauritius</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Namibia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Niger</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Senegal</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South</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Africa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Tanzania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Zimbabwe</w:t>
      </w:r>
      <w:r w:rsidR="00077ABD">
        <w:rPr>
          <w:rFonts w:ascii="Times New Roman" w:hAnsi="Times New Roman" w:cs="Times New Roman"/>
          <w:sz w:val="20"/>
          <w:szCs w:val="20"/>
        </w:rPr>
        <w:t xml:space="preserve">; and, v) </w:t>
      </w:r>
      <w:r w:rsidR="00077ABD" w:rsidRPr="00077ABD">
        <w:rPr>
          <w:rFonts w:ascii="Times New Roman" w:hAnsi="Times New Roman" w:cs="Times New Roman"/>
          <w:sz w:val="20"/>
          <w:szCs w:val="20"/>
        </w:rPr>
        <w:t>Western Asia and Northern Africa</w:t>
      </w:r>
      <w:r w:rsidR="00077ABD">
        <w:rPr>
          <w:rFonts w:ascii="Times New Roman" w:hAnsi="Times New Roman" w:cs="Times New Roman"/>
          <w:sz w:val="20"/>
          <w:szCs w:val="20"/>
        </w:rPr>
        <w:t xml:space="preserve"> – </w:t>
      </w:r>
      <w:r w:rsidR="00077ABD" w:rsidRPr="00077ABD">
        <w:rPr>
          <w:rFonts w:ascii="Times New Roman" w:hAnsi="Times New Roman" w:cs="Times New Roman"/>
          <w:sz w:val="20"/>
          <w:szCs w:val="20"/>
        </w:rPr>
        <w:t>Armenia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Azerbaijan</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Bahrain</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Cyprus</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Georgia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Iraq</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Israel</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Jordan</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Kuwait</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Oman</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Qatar</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Saudi Arabia</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State of Palestine</w:t>
      </w:r>
      <w:r w:rsidR="00077ABD">
        <w:rPr>
          <w:rFonts w:ascii="Times New Roman" w:hAnsi="Times New Roman" w:cs="Times New Roman"/>
          <w:sz w:val="20"/>
          <w:szCs w:val="20"/>
        </w:rPr>
        <w:t xml:space="preserve">, </w:t>
      </w:r>
      <w:r w:rsidR="00077ABD" w:rsidRPr="00077ABD">
        <w:rPr>
          <w:rFonts w:ascii="Times New Roman" w:hAnsi="Times New Roman" w:cs="Times New Roman"/>
          <w:sz w:val="20"/>
          <w:szCs w:val="20"/>
        </w:rPr>
        <w:t>Turkey</w:t>
      </w:r>
      <w:r w:rsidR="00077ABD">
        <w:rPr>
          <w:rFonts w:ascii="Times New Roman" w:hAnsi="Times New Roman" w:cs="Times New Roman"/>
          <w:sz w:val="20"/>
          <w:szCs w:val="20"/>
        </w:rPr>
        <w:t xml:space="preserve">, and the </w:t>
      </w:r>
      <w:r w:rsidR="00077ABD" w:rsidRPr="00077ABD">
        <w:rPr>
          <w:rFonts w:ascii="Times New Roman" w:hAnsi="Times New Roman" w:cs="Times New Roman"/>
          <w:sz w:val="20"/>
          <w:szCs w:val="20"/>
        </w:rPr>
        <w:t>United Arab Emirates</w:t>
      </w:r>
      <w:r w:rsidR="00077ABD">
        <w:rPr>
          <w:rFonts w:ascii="Times New Roman" w:hAnsi="Times New Roman" w:cs="Times New Roman"/>
          <w:sz w:val="20"/>
          <w:szCs w:val="20"/>
        </w:rPr>
        <w:t xml:space="preserve">. </w:t>
      </w:r>
      <w:r w:rsidR="0084733F">
        <w:rPr>
          <w:rFonts w:ascii="Times New Roman" w:hAnsi="Times New Roman" w:cs="Times New Roman"/>
          <w:sz w:val="20"/>
          <w:szCs w:val="20"/>
        </w:rPr>
        <w:t>For Sub-Saharan Africa, we</w:t>
      </w:r>
      <w:r w:rsidR="00077ABD">
        <w:rPr>
          <w:rFonts w:ascii="Times New Roman" w:hAnsi="Times New Roman" w:cs="Times New Roman"/>
          <w:sz w:val="20"/>
          <w:szCs w:val="20"/>
        </w:rPr>
        <w:t xml:space="preserve"> present an alternate measure</w:t>
      </w:r>
      <w:r w:rsidR="0084733F">
        <w:rPr>
          <w:rFonts w:ascii="Times New Roman" w:hAnsi="Times New Roman" w:cs="Times New Roman"/>
          <w:sz w:val="20"/>
          <w:szCs w:val="20"/>
        </w:rPr>
        <w:t xml:space="preserve"> exclud</w:t>
      </w:r>
      <w:r w:rsidR="00077ABD">
        <w:rPr>
          <w:rFonts w:ascii="Times New Roman" w:hAnsi="Times New Roman" w:cs="Times New Roman"/>
          <w:sz w:val="20"/>
          <w:szCs w:val="20"/>
        </w:rPr>
        <w:t>ing</w:t>
      </w:r>
      <w:r w:rsidR="0084733F">
        <w:rPr>
          <w:rFonts w:ascii="Times New Roman" w:hAnsi="Times New Roman" w:cs="Times New Roman"/>
          <w:sz w:val="20"/>
          <w:szCs w:val="20"/>
        </w:rPr>
        <w:t xml:space="preserve"> Mauritius, Botswana, and South Africa.</w:t>
      </w:r>
      <w:r w:rsidR="00BD7CE4">
        <w:rPr>
          <w:rFonts w:ascii="Times New Roman" w:hAnsi="Times New Roman" w:cs="Times New Roman"/>
          <w:sz w:val="20"/>
          <w:szCs w:val="20"/>
        </w:rPr>
        <w:t xml:space="preserve"> Some countries did not have data available in 2018 so in order to include more in the Sub-Saharan Africa average, we use values from the most recent year available for the following countries: Burundi (2015), Ethiopia (2015), Ghana (2015), Malawi (2012), Namibia (2015), Senegal (2014), Zimbabwe (2017). </w:t>
      </w:r>
    </w:p>
    <w:sectPr w:rsidR="004174CA" w:rsidRPr="000E460A" w:rsidSect="006762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38219" w14:textId="77777777" w:rsidR="000B492E" w:rsidRDefault="000B492E" w:rsidP="00742C6D">
      <w:pPr>
        <w:spacing w:after="0" w:line="240" w:lineRule="auto"/>
      </w:pPr>
      <w:r>
        <w:separator/>
      </w:r>
    </w:p>
  </w:endnote>
  <w:endnote w:type="continuationSeparator" w:id="0">
    <w:p w14:paraId="5A9283CF" w14:textId="77777777" w:rsidR="000B492E" w:rsidRDefault="000B492E" w:rsidP="0074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24376" w14:textId="77777777" w:rsidR="000B492E" w:rsidRDefault="000B492E" w:rsidP="00742C6D">
      <w:pPr>
        <w:spacing w:after="0" w:line="240" w:lineRule="auto"/>
      </w:pPr>
      <w:r>
        <w:separator/>
      </w:r>
    </w:p>
  </w:footnote>
  <w:footnote w:type="continuationSeparator" w:id="0">
    <w:p w14:paraId="6E4A71B9" w14:textId="77777777" w:rsidR="000B492E" w:rsidRDefault="000B492E" w:rsidP="00742C6D">
      <w:pPr>
        <w:spacing w:after="0" w:line="240" w:lineRule="auto"/>
      </w:pPr>
      <w:r>
        <w:continuationSeparator/>
      </w:r>
    </w:p>
  </w:footnote>
  <w:footnote w:id="1">
    <w:p w14:paraId="02860E19" w14:textId="77777777" w:rsidR="0019666A" w:rsidRPr="00E770E9" w:rsidRDefault="0019666A" w:rsidP="00742C6D">
      <w:pPr>
        <w:pStyle w:val="FootnoteText"/>
      </w:pPr>
      <w:r w:rsidRPr="00E770E9">
        <w:rPr>
          <w:rStyle w:val="FootnoteReference"/>
        </w:rPr>
        <w:footnoteRef/>
      </w:r>
      <w:r w:rsidRPr="00E770E9">
        <w:t xml:space="preserve"> </w:t>
      </w:r>
      <w:bookmarkStart w:id="3" w:name="_Hlk54102952"/>
      <w:bookmarkStart w:id="4" w:name="_Hlk54102953"/>
      <w:bookmarkStart w:id="5" w:name="_Hlk54102993"/>
      <w:bookmarkStart w:id="6" w:name="_Hlk54102994"/>
      <w:r w:rsidRPr="00E770E9">
        <w:t xml:space="preserve">The KLEMS database also includes persons employed in hours. The ratios between persons employed in hours and persons employed indicate that the KLEMS data is reporting permanent persons employed (or the full time equivalent of persons employed.) </w:t>
      </w:r>
      <w:bookmarkEnd w:id="3"/>
      <w:bookmarkEnd w:id="4"/>
      <w:bookmarkEnd w:id="5"/>
      <w:bookmarkEnd w:id="6"/>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5FD"/>
    <w:multiLevelType w:val="hybridMultilevel"/>
    <w:tmpl w:val="7D6C271C"/>
    <w:lvl w:ilvl="0" w:tplc="1B5292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63A5A6B"/>
    <w:multiLevelType w:val="hybridMultilevel"/>
    <w:tmpl w:val="6E120188"/>
    <w:lvl w:ilvl="0" w:tplc="4E4AD9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F65B3"/>
    <w:multiLevelType w:val="hybridMultilevel"/>
    <w:tmpl w:val="E634EEE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E5E3C"/>
    <w:multiLevelType w:val="hybridMultilevel"/>
    <w:tmpl w:val="F0904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A6698"/>
    <w:multiLevelType w:val="hybridMultilevel"/>
    <w:tmpl w:val="B10A51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23B4F2A"/>
    <w:multiLevelType w:val="hybridMultilevel"/>
    <w:tmpl w:val="EB163A96"/>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8E6600"/>
    <w:multiLevelType w:val="hybridMultilevel"/>
    <w:tmpl w:val="D2326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D1764B"/>
    <w:multiLevelType w:val="hybridMultilevel"/>
    <w:tmpl w:val="3F0AE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53ECA"/>
    <w:multiLevelType w:val="hybridMultilevel"/>
    <w:tmpl w:val="C024B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F60437"/>
    <w:multiLevelType w:val="hybridMultilevel"/>
    <w:tmpl w:val="088AFEDA"/>
    <w:lvl w:ilvl="0" w:tplc="2462130C">
      <w:start w:val="1"/>
      <w:numFmt w:val="decimal"/>
      <w:lvlText w:val="2.%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2A228F"/>
    <w:multiLevelType w:val="hybridMultilevel"/>
    <w:tmpl w:val="C09A6D10"/>
    <w:lvl w:ilvl="0" w:tplc="3130820E">
      <w:start w:val="1"/>
      <w:numFmt w:val="decimal"/>
      <w:lvlText w:val="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5746597D"/>
    <w:multiLevelType w:val="hybridMultilevel"/>
    <w:tmpl w:val="CECC230C"/>
    <w:lvl w:ilvl="0" w:tplc="1EF6486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44F03C4"/>
    <w:multiLevelType w:val="hybridMultilevel"/>
    <w:tmpl w:val="964A2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807955"/>
    <w:multiLevelType w:val="multilevel"/>
    <w:tmpl w:val="13F86030"/>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E102C62"/>
    <w:multiLevelType w:val="hybridMultilevel"/>
    <w:tmpl w:val="2842E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6E30CC"/>
    <w:multiLevelType w:val="hybridMultilevel"/>
    <w:tmpl w:val="729C65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1"/>
  </w:num>
  <w:num w:numId="4">
    <w:abstractNumId w:val="15"/>
  </w:num>
  <w:num w:numId="5">
    <w:abstractNumId w:val="12"/>
  </w:num>
  <w:num w:numId="6">
    <w:abstractNumId w:val="0"/>
  </w:num>
  <w:num w:numId="7">
    <w:abstractNumId w:val="8"/>
  </w:num>
  <w:num w:numId="8">
    <w:abstractNumId w:val="5"/>
  </w:num>
  <w:num w:numId="9">
    <w:abstractNumId w:val="9"/>
  </w:num>
  <w:num w:numId="10">
    <w:abstractNumId w:val="2"/>
  </w:num>
  <w:num w:numId="11">
    <w:abstractNumId w:val="4"/>
  </w:num>
  <w:num w:numId="12">
    <w:abstractNumId w:val="7"/>
  </w:num>
  <w:num w:numId="13">
    <w:abstractNumId w:val="3"/>
  </w:num>
  <w:num w:numId="14">
    <w:abstractNumId w:val="11"/>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C6D"/>
    <w:rsid w:val="000125C5"/>
    <w:rsid w:val="00015993"/>
    <w:rsid w:val="00042B87"/>
    <w:rsid w:val="000453A1"/>
    <w:rsid w:val="00060C04"/>
    <w:rsid w:val="00071425"/>
    <w:rsid w:val="00077ABD"/>
    <w:rsid w:val="0009083B"/>
    <w:rsid w:val="00096CE3"/>
    <w:rsid w:val="000B2BF3"/>
    <w:rsid w:val="000B492E"/>
    <w:rsid w:val="000B5FAA"/>
    <w:rsid w:val="000B6267"/>
    <w:rsid w:val="000C54ED"/>
    <w:rsid w:val="000C68E4"/>
    <w:rsid w:val="000E13F4"/>
    <w:rsid w:val="000E460A"/>
    <w:rsid w:val="000E4691"/>
    <w:rsid w:val="000F0F4C"/>
    <w:rsid w:val="000F304E"/>
    <w:rsid w:val="0010188A"/>
    <w:rsid w:val="001070C1"/>
    <w:rsid w:val="001110A7"/>
    <w:rsid w:val="00114445"/>
    <w:rsid w:val="00130DC2"/>
    <w:rsid w:val="001437C4"/>
    <w:rsid w:val="001764FB"/>
    <w:rsid w:val="0019666A"/>
    <w:rsid w:val="001A26F9"/>
    <w:rsid w:val="001B4541"/>
    <w:rsid w:val="001C054D"/>
    <w:rsid w:val="001E01BF"/>
    <w:rsid w:val="001F4F87"/>
    <w:rsid w:val="00203900"/>
    <w:rsid w:val="00203F16"/>
    <w:rsid w:val="00206C87"/>
    <w:rsid w:val="002103CA"/>
    <w:rsid w:val="00222788"/>
    <w:rsid w:val="00230392"/>
    <w:rsid w:val="00231C3D"/>
    <w:rsid w:val="002563B4"/>
    <w:rsid w:val="00270BA8"/>
    <w:rsid w:val="002755ED"/>
    <w:rsid w:val="00276DED"/>
    <w:rsid w:val="002923F5"/>
    <w:rsid w:val="002A0D77"/>
    <w:rsid w:val="002B007F"/>
    <w:rsid w:val="002C0E35"/>
    <w:rsid w:val="002C50BC"/>
    <w:rsid w:val="002C73BD"/>
    <w:rsid w:val="002D29DF"/>
    <w:rsid w:val="002D364B"/>
    <w:rsid w:val="002D7962"/>
    <w:rsid w:val="002E563E"/>
    <w:rsid w:val="0032145C"/>
    <w:rsid w:val="00353210"/>
    <w:rsid w:val="00363FAE"/>
    <w:rsid w:val="0037419F"/>
    <w:rsid w:val="00376D17"/>
    <w:rsid w:val="0039403F"/>
    <w:rsid w:val="003A5139"/>
    <w:rsid w:val="003D17AB"/>
    <w:rsid w:val="003E2612"/>
    <w:rsid w:val="003E4469"/>
    <w:rsid w:val="003F40EE"/>
    <w:rsid w:val="003F72AE"/>
    <w:rsid w:val="0040303C"/>
    <w:rsid w:val="00405C04"/>
    <w:rsid w:val="00413C0B"/>
    <w:rsid w:val="004174CA"/>
    <w:rsid w:val="004206B1"/>
    <w:rsid w:val="0042639A"/>
    <w:rsid w:val="00436CDE"/>
    <w:rsid w:val="00461958"/>
    <w:rsid w:val="00480F1F"/>
    <w:rsid w:val="00485975"/>
    <w:rsid w:val="004872BE"/>
    <w:rsid w:val="00494BFB"/>
    <w:rsid w:val="00495BBA"/>
    <w:rsid w:val="004B787F"/>
    <w:rsid w:val="004C0F50"/>
    <w:rsid w:val="004C4636"/>
    <w:rsid w:val="004C6CF5"/>
    <w:rsid w:val="004F1528"/>
    <w:rsid w:val="00513057"/>
    <w:rsid w:val="00515450"/>
    <w:rsid w:val="00526CDF"/>
    <w:rsid w:val="005310EC"/>
    <w:rsid w:val="00547A82"/>
    <w:rsid w:val="0055084A"/>
    <w:rsid w:val="005806D0"/>
    <w:rsid w:val="00580A92"/>
    <w:rsid w:val="00582E18"/>
    <w:rsid w:val="005A22D5"/>
    <w:rsid w:val="005B18D4"/>
    <w:rsid w:val="005B5B7A"/>
    <w:rsid w:val="005D2E70"/>
    <w:rsid w:val="005E7781"/>
    <w:rsid w:val="006113BC"/>
    <w:rsid w:val="0061517C"/>
    <w:rsid w:val="006448B5"/>
    <w:rsid w:val="00652C49"/>
    <w:rsid w:val="00656ACB"/>
    <w:rsid w:val="006762AC"/>
    <w:rsid w:val="00676DD0"/>
    <w:rsid w:val="0068106F"/>
    <w:rsid w:val="006966F1"/>
    <w:rsid w:val="006A1BE7"/>
    <w:rsid w:val="006B567A"/>
    <w:rsid w:val="006C3DC3"/>
    <w:rsid w:val="006C56F9"/>
    <w:rsid w:val="006E12B5"/>
    <w:rsid w:val="006F1208"/>
    <w:rsid w:val="006F55B7"/>
    <w:rsid w:val="007043E1"/>
    <w:rsid w:val="00717937"/>
    <w:rsid w:val="0072013D"/>
    <w:rsid w:val="007401C2"/>
    <w:rsid w:val="00742C6D"/>
    <w:rsid w:val="00746F30"/>
    <w:rsid w:val="00752D8D"/>
    <w:rsid w:val="0075780A"/>
    <w:rsid w:val="007670FC"/>
    <w:rsid w:val="00767319"/>
    <w:rsid w:val="00792739"/>
    <w:rsid w:val="00793672"/>
    <w:rsid w:val="007A6515"/>
    <w:rsid w:val="007A71EB"/>
    <w:rsid w:val="007B7167"/>
    <w:rsid w:val="007C0829"/>
    <w:rsid w:val="007E6046"/>
    <w:rsid w:val="007F2B7A"/>
    <w:rsid w:val="007F68DA"/>
    <w:rsid w:val="0080662E"/>
    <w:rsid w:val="00820262"/>
    <w:rsid w:val="008318F3"/>
    <w:rsid w:val="00832E6D"/>
    <w:rsid w:val="00833683"/>
    <w:rsid w:val="00836A0C"/>
    <w:rsid w:val="0084323B"/>
    <w:rsid w:val="00844407"/>
    <w:rsid w:val="0084733F"/>
    <w:rsid w:val="0085145C"/>
    <w:rsid w:val="00861ED5"/>
    <w:rsid w:val="00872A0E"/>
    <w:rsid w:val="00881C76"/>
    <w:rsid w:val="008837BE"/>
    <w:rsid w:val="00885FBD"/>
    <w:rsid w:val="00886909"/>
    <w:rsid w:val="00895D5F"/>
    <w:rsid w:val="008A3EFF"/>
    <w:rsid w:val="008B15E9"/>
    <w:rsid w:val="008C6E7A"/>
    <w:rsid w:val="008F06A0"/>
    <w:rsid w:val="008F7ABD"/>
    <w:rsid w:val="009161D3"/>
    <w:rsid w:val="0093690B"/>
    <w:rsid w:val="0094115D"/>
    <w:rsid w:val="00947640"/>
    <w:rsid w:val="00952655"/>
    <w:rsid w:val="00964B20"/>
    <w:rsid w:val="009667A4"/>
    <w:rsid w:val="009808F9"/>
    <w:rsid w:val="009B1E63"/>
    <w:rsid w:val="009D756C"/>
    <w:rsid w:val="009F0A70"/>
    <w:rsid w:val="009F30A5"/>
    <w:rsid w:val="009F646D"/>
    <w:rsid w:val="00A3205E"/>
    <w:rsid w:val="00A52F0D"/>
    <w:rsid w:val="00A5339D"/>
    <w:rsid w:val="00A537B8"/>
    <w:rsid w:val="00A540F5"/>
    <w:rsid w:val="00A566FB"/>
    <w:rsid w:val="00A72123"/>
    <w:rsid w:val="00A7678D"/>
    <w:rsid w:val="00A77463"/>
    <w:rsid w:val="00A8545D"/>
    <w:rsid w:val="00A86B6C"/>
    <w:rsid w:val="00A92D39"/>
    <w:rsid w:val="00A96936"/>
    <w:rsid w:val="00AA0722"/>
    <w:rsid w:val="00AA286A"/>
    <w:rsid w:val="00AB40C8"/>
    <w:rsid w:val="00AC3605"/>
    <w:rsid w:val="00AD7BAC"/>
    <w:rsid w:val="00AF15B7"/>
    <w:rsid w:val="00AF4363"/>
    <w:rsid w:val="00B019FF"/>
    <w:rsid w:val="00B02C89"/>
    <w:rsid w:val="00B03A47"/>
    <w:rsid w:val="00B274B3"/>
    <w:rsid w:val="00B5503C"/>
    <w:rsid w:val="00B56FEA"/>
    <w:rsid w:val="00B64E68"/>
    <w:rsid w:val="00B665C3"/>
    <w:rsid w:val="00B75564"/>
    <w:rsid w:val="00B75F2D"/>
    <w:rsid w:val="00BA239D"/>
    <w:rsid w:val="00BA72F6"/>
    <w:rsid w:val="00BB4F05"/>
    <w:rsid w:val="00BB789C"/>
    <w:rsid w:val="00BC6072"/>
    <w:rsid w:val="00BC75BD"/>
    <w:rsid w:val="00BD1A58"/>
    <w:rsid w:val="00BD5DBE"/>
    <w:rsid w:val="00BD7CE4"/>
    <w:rsid w:val="00BF5D46"/>
    <w:rsid w:val="00C024FA"/>
    <w:rsid w:val="00C06970"/>
    <w:rsid w:val="00C23D44"/>
    <w:rsid w:val="00C32CE4"/>
    <w:rsid w:val="00C62179"/>
    <w:rsid w:val="00C670AE"/>
    <w:rsid w:val="00C96143"/>
    <w:rsid w:val="00CA6D7D"/>
    <w:rsid w:val="00CC0E0D"/>
    <w:rsid w:val="00CC279C"/>
    <w:rsid w:val="00CC33C3"/>
    <w:rsid w:val="00CD3A2E"/>
    <w:rsid w:val="00CE624D"/>
    <w:rsid w:val="00CF237B"/>
    <w:rsid w:val="00CF4D5C"/>
    <w:rsid w:val="00D00B2F"/>
    <w:rsid w:val="00D024B1"/>
    <w:rsid w:val="00D0648F"/>
    <w:rsid w:val="00D13D83"/>
    <w:rsid w:val="00D24558"/>
    <w:rsid w:val="00D409B9"/>
    <w:rsid w:val="00D417B0"/>
    <w:rsid w:val="00D50B81"/>
    <w:rsid w:val="00D74AB9"/>
    <w:rsid w:val="00D91B79"/>
    <w:rsid w:val="00D9533A"/>
    <w:rsid w:val="00DA3FE6"/>
    <w:rsid w:val="00DC2DD3"/>
    <w:rsid w:val="00DC2FE2"/>
    <w:rsid w:val="00DD59F6"/>
    <w:rsid w:val="00DF27E0"/>
    <w:rsid w:val="00E02551"/>
    <w:rsid w:val="00E04A20"/>
    <w:rsid w:val="00E1164D"/>
    <w:rsid w:val="00E310A9"/>
    <w:rsid w:val="00E318EA"/>
    <w:rsid w:val="00E3594D"/>
    <w:rsid w:val="00E403EC"/>
    <w:rsid w:val="00E72331"/>
    <w:rsid w:val="00E859EF"/>
    <w:rsid w:val="00EB27B9"/>
    <w:rsid w:val="00EB2908"/>
    <w:rsid w:val="00EB2F6C"/>
    <w:rsid w:val="00EC2CD1"/>
    <w:rsid w:val="00EC30AE"/>
    <w:rsid w:val="00EC377C"/>
    <w:rsid w:val="00ED310B"/>
    <w:rsid w:val="00EF2C80"/>
    <w:rsid w:val="00EF7EC2"/>
    <w:rsid w:val="00F00001"/>
    <w:rsid w:val="00F120C0"/>
    <w:rsid w:val="00F15657"/>
    <w:rsid w:val="00F3494A"/>
    <w:rsid w:val="00F6658C"/>
    <w:rsid w:val="00F77B44"/>
    <w:rsid w:val="00F8045C"/>
    <w:rsid w:val="00F95321"/>
    <w:rsid w:val="00FB1BD2"/>
    <w:rsid w:val="00FB7AD4"/>
    <w:rsid w:val="00FC2CAB"/>
    <w:rsid w:val="00FC5FE2"/>
    <w:rsid w:val="00FC6A66"/>
    <w:rsid w:val="00FD1D7F"/>
    <w:rsid w:val="00FE0513"/>
    <w:rsid w:val="00FF55E5"/>
    <w:rsid w:val="00FF5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38C99"/>
  <w15:chartTrackingRefBased/>
  <w15:docId w15:val="{0980CCD4-8E86-4306-B3DD-D9F4CFA8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BF3"/>
  </w:style>
  <w:style w:type="paragraph" w:styleId="Heading1">
    <w:name w:val="heading 1"/>
    <w:basedOn w:val="Normal"/>
    <w:next w:val="Normal"/>
    <w:link w:val="Heading1Char"/>
    <w:uiPriority w:val="9"/>
    <w:qFormat/>
    <w:rsid w:val="00742C6D"/>
    <w:pPr>
      <w:keepNext/>
      <w:keepLines/>
      <w:spacing w:after="0"/>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uiPriority w:val="9"/>
    <w:unhideWhenUsed/>
    <w:qFormat/>
    <w:rsid w:val="00742C6D"/>
    <w:pPr>
      <w:keepNext/>
      <w:keepLines/>
      <w:spacing w:before="40" w:after="0"/>
      <w:jc w:val="center"/>
      <w:outlineLvl w:val="1"/>
    </w:pPr>
    <w:rPr>
      <w:rFonts w:asciiTheme="majorHAnsi" w:eastAsiaTheme="majorEastAsia" w:hAnsiTheme="majorHAnsi"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C6D"/>
    <w:rPr>
      <w:rFonts w:asciiTheme="majorHAnsi" w:eastAsiaTheme="majorEastAsia" w:hAnsiTheme="majorHAnsi" w:cstheme="majorBidi"/>
      <w:b/>
      <w:sz w:val="24"/>
      <w:szCs w:val="32"/>
    </w:rPr>
  </w:style>
  <w:style w:type="character" w:customStyle="1" w:styleId="Heading2Char">
    <w:name w:val="Heading 2 Char"/>
    <w:basedOn w:val="DefaultParagraphFont"/>
    <w:link w:val="Heading2"/>
    <w:uiPriority w:val="9"/>
    <w:rsid w:val="00742C6D"/>
    <w:rPr>
      <w:rFonts w:asciiTheme="majorHAnsi" w:eastAsiaTheme="majorEastAsia" w:hAnsiTheme="majorHAnsi" w:cstheme="majorBidi"/>
      <w:b/>
      <w:sz w:val="20"/>
      <w:szCs w:val="26"/>
    </w:rPr>
  </w:style>
  <w:style w:type="paragraph" w:styleId="FootnoteText">
    <w:name w:val="footnote text"/>
    <w:aliases w:val="Footnote Text Char Char,Footnote Text Char Char Char,Footnote Text Char Char Char Char,Footnote Text Char Char Char1 Char,Footnote Text Char Char Char Char Char,Footnote Text Char Char Char Char Char Char Char Char,DSE note,DSE note1,ft,fn"/>
    <w:basedOn w:val="Normal"/>
    <w:link w:val="FootnoteTextChar"/>
    <w:uiPriority w:val="99"/>
    <w:unhideWhenUsed/>
    <w:rsid w:val="00742C6D"/>
    <w:pPr>
      <w:spacing w:after="0" w:line="240" w:lineRule="auto"/>
    </w:pPr>
    <w:rPr>
      <w:rFonts w:eastAsiaTheme="minorEastAsia"/>
      <w:sz w:val="20"/>
      <w:szCs w:val="20"/>
      <w:lang w:eastAsia="zh-CN"/>
    </w:rPr>
  </w:style>
  <w:style w:type="character" w:customStyle="1" w:styleId="FootnoteTextChar">
    <w:name w:val="Footnote Text Char"/>
    <w:aliases w:val="Footnote Text Char Char Char1,Footnote Text Char Char Char Char1,Footnote Text Char Char Char Char Char1,Footnote Text Char Char Char1 Char Char,Footnote Text Char Char Char Char Char Char,DSE note Char,DSE note1 Char,ft Char,fn Char"/>
    <w:basedOn w:val="DefaultParagraphFont"/>
    <w:link w:val="FootnoteText"/>
    <w:uiPriority w:val="99"/>
    <w:rsid w:val="00742C6D"/>
    <w:rPr>
      <w:rFonts w:eastAsiaTheme="minorEastAsia"/>
      <w:sz w:val="20"/>
      <w:szCs w:val="20"/>
      <w:lang w:eastAsia="zh-CN"/>
    </w:rPr>
  </w:style>
  <w:style w:type="character" w:styleId="FootnoteReference">
    <w:name w:val="footnote reference"/>
    <w:aliases w:val="ftref"/>
    <w:basedOn w:val="DefaultParagraphFont"/>
    <w:uiPriority w:val="99"/>
    <w:unhideWhenUsed/>
    <w:rsid w:val="00742C6D"/>
    <w:rPr>
      <w:vertAlign w:val="superscript"/>
    </w:rPr>
  </w:style>
  <w:style w:type="character" w:styleId="Hyperlink">
    <w:name w:val="Hyperlink"/>
    <w:basedOn w:val="DefaultParagraphFont"/>
    <w:uiPriority w:val="99"/>
    <w:unhideWhenUsed/>
    <w:rsid w:val="00742C6D"/>
    <w:rPr>
      <w:color w:val="0563C1" w:themeColor="hyperlink"/>
      <w:u w:val="single"/>
    </w:rPr>
  </w:style>
  <w:style w:type="paragraph" w:styleId="ListParagraph">
    <w:name w:val="List Paragraph"/>
    <w:basedOn w:val="Normal"/>
    <w:uiPriority w:val="34"/>
    <w:qFormat/>
    <w:rsid w:val="00742C6D"/>
    <w:pPr>
      <w:ind w:left="720"/>
      <w:contextualSpacing/>
    </w:pPr>
  </w:style>
  <w:style w:type="table" w:styleId="TableGrid">
    <w:name w:val="Table Grid"/>
    <w:basedOn w:val="TableNormal"/>
    <w:uiPriority w:val="39"/>
    <w:rsid w:val="00644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7233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F6658C"/>
    <w:pPr>
      <w:spacing w:after="0" w:line="240" w:lineRule="auto"/>
      <w:jc w:val="center"/>
    </w:pPr>
    <w:rPr>
      <w:rFonts w:eastAsiaTheme="minorEastAsia"/>
      <w:sz w:val="20"/>
    </w:rPr>
  </w:style>
  <w:style w:type="character" w:styleId="CommentReference">
    <w:name w:val="annotation reference"/>
    <w:basedOn w:val="DefaultParagraphFont"/>
    <w:uiPriority w:val="99"/>
    <w:semiHidden/>
    <w:unhideWhenUsed/>
    <w:rsid w:val="00881C76"/>
    <w:rPr>
      <w:sz w:val="16"/>
      <w:szCs w:val="16"/>
    </w:rPr>
  </w:style>
  <w:style w:type="paragraph" w:styleId="CommentText">
    <w:name w:val="annotation text"/>
    <w:basedOn w:val="Normal"/>
    <w:link w:val="CommentTextChar"/>
    <w:uiPriority w:val="99"/>
    <w:unhideWhenUsed/>
    <w:rsid w:val="00881C76"/>
    <w:pPr>
      <w:spacing w:line="240" w:lineRule="auto"/>
    </w:pPr>
    <w:rPr>
      <w:sz w:val="20"/>
      <w:szCs w:val="20"/>
    </w:rPr>
  </w:style>
  <w:style w:type="character" w:customStyle="1" w:styleId="CommentTextChar">
    <w:name w:val="Comment Text Char"/>
    <w:basedOn w:val="DefaultParagraphFont"/>
    <w:link w:val="CommentText"/>
    <w:uiPriority w:val="99"/>
    <w:rsid w:val="00881C76"/>
    <w:rPr>
      <w:sz w:val="20"/>
      <w:szCs w:val="20"/>
    </w:rPr>
  </w:style>
  <w:style w:type="paragraph" w:styleId="CommentSubject">
    <w:name w:val="annotation subject"/>
    <w:basedOn w:val="CommentText"/>
    <w:next w:val="CommentText"/>
    <w:link w:val="CommentSubjectChar"/>
    <w:uiPriority w:val="99"/>
    <w:semiHidden/>
    <w:unhideWhenUsed/>
    <w:rsid w:val="00881C76"/>
    <w:rPr>
      <w:b/>
      <w:bCs/>
    </w:rPr>
  </w:style>
  <w:style w:type="character" w:customStyle="1" w:styleId="CommentSubjectChar">
    <w:name w:val="Comment Subject Char"/>
    <w:basedOn w:val="CommentTextChar"/>
    <w:link w:val="CommentSubject"/>
    <w:uiPriority w:val="99"/>
    <w:semiHidden/>
    <w:rsid w:val="00881C76"/>
    <w:rPr>
      <w:b/>
      <w:bCs/>
      <w:sz w:val="20"/>
      <w:szCs w:val="20"/>
    </w:rPr>
  </w:style>
  <w:style w:type="paragraph" w:styleId="Revision">
    <w:name w:val="Revision"/>
    <w:hidden/>
    <w:uiPriority w:val="99"/>
    <w:semiHidden/>
    <w:rsid w:val="002755ED"/>
    <w:pPr>
      <w:spacing w:after="0" w:line="240" w:lineRule="auto"/>
    </w:pPr>
  </w:style>
  <w:style w:type="paragraph" w:styleId="Header">
    <w:name w:val="header"/>
    <w:basedOn w:val="Normal"/>
    <w:link w:val="HeaderChar"/>
    <w:uiPriority w:val="99"/>
    <w:unhideWhenUsed/>
    <w:rsid w:val="008C6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E7A"/>
  </w:style>
  <w:style w:type="paragraph" w:styleId="Footer">
    <w:name w:val="footer"/>
    <w:basedOn w:val="Normal"/>
    <w:link w:val="FooterChar"/>
    <w:uiPriority w:val="99"/>
    <w:unhideWhenUsed/>
    <w:rsid w:val="008C6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E7A"/>
  </w:style>
  <w:style w:type="character" w:customStyle="1" w:styleId="resource-info">
    <w:name w:val="resource-info"/>
    <w:basedOn w:val="DefaultParagraphFont"/>
    <w:rsid w:val="004F1528"/>
  </w:style>
  <w:style w:type="paragraph" w:styleId="NormalWeb">
    <w:name w:val="Normal (Web)"/>
    <w:basedOn w:val="Normal"/>
    <w:uiPriority w:val="99"/>
    <w:unhideWhenUsed/>
    <w:rsid w:val="00861ED5"/>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next w:val="Normal"/>
    <w:link w:val="TitleChar"/>
    <w:qFormat/>
    <w:rsid w:val="00D91B79"/>
    <w:pPr>
      <w:spacing w:after="300" w:line="360" w:lineRule="auto"/>
      <w:contextualSpacing/>
      <w:jc w:val="center"/>
    </w:pPr>
    <w:rPr>
      <w:rFonts w:ascii="Arial" w:eastAsia="Times New Roman" w:hAnsi="Arial" w:cs="Times New Roman"/>
      <w:color w:val="000000"/>
      <w:kern w:val="28"/>
      <w:sz w:val="28"/>
      <w:szCs w:val="52"/>
    </w:rPr>
  </w:style>
  <w:style w:type="character" w:customStyle="1" w:styleId="TitleChar">
    <w:name w:val="Title Char"/>
    <w:basedOn w:val="DefaultParagraphFont"/>
    <w:link w:val="Title"/>
    <w:rsid w:val="00D91B79"/>
    <w:rPr>
      <w:rFonts w:ascii="Arial" w:eastAsia="Times New Roman" w:hAnsi="Arial" w:cs="Times New Roman"/>
      <w:color w:val="000000"/>
      <w:kern w:val="28"/>
      <w:sz w:val="2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11397">
      <w:bodyDiv w:val="1"/>
      <w:marLeft w:val="0"/>
      <w:marRight w:val="0"/>
      <w:marTop w:val="0"/>
      <w:marBottom w:val="0"/>
      <w:divBdr>
        <w:top w:val="none" w:sz="0" w:space="0" w:color="auto"/>
        <w:left w:val="none" w:sz="0" w:space="0" w:color="auto"/>
        <w:bottom w:val="none" w:sz="0" w:space="0" w:color="auto"/>
        <w:right w:val="none" w:sz="0" w:space="0" w:color="auto"/>
      </w:divBdr>
    </w:div>
    <w:div w:id="124393851">
      <w:bodyDiv w:val="1"/>
      <w:marLeft w:val="0"/>
      <w:marRight w:val="0"/>
      <w:marTop w:val="0"/>
      <w:marBottom w:val="0"/>
      <w:divBdr>
        <w:top w:val="none" w:sz="0" w:space="0" w:color="auto"/>
        <w:left w:val="none" w:sz="0" w:space="0" w:color="auto"/>
        <w:bottom w:val="none" w:sz="0" w:space="0" w:color="auto"/>
        <w:right w:val="none" w:sz="0" w:space="0" w:color="auto"/>
      </w:divBdr>
    </w:div>
    <w:div w:id="255556031">
      <w:bodyDiv w:val="1"/>
      <w:marLeft w:val="0"/>
      <w:marRight w:val="0"/>
      <w:marTop w:val="0"/>
      <w:marBottom w:val="0"/>
      <w:divBdr>
        <w:top w:val="none" w:sz="0" w:space="0" w:color="auto"/>
        <w:left w:val="none" w:sz="0" w:space="0" w:color="auto"/>
        <w:bottom w:val="none" w:sz="0" w:space="0" w:color="auto"/>
        <w:right w:val="none" w:sz="0" w:space="0" w:color="auto"/>
      </w:divBdr>
    </w:div>
    <w:div w:id="346295929">
      <w:bodyDiv w:val="1"/>
      <w:marLeft w:val="0"/>
      <w:marRight w:val="0"/>
      <w:marTop w:val="0"/>
      <w:marBottom w:val="0"/>
      <w:divBdr>
        <w:top w:val="none" w:sz="0" w:space="0" w:color="auto"/>
        <w:left w:val="none" w:sz="0" w:space="0" w:color="auto"/>
        <w:bottom w:val="none" w:sz="0" w:space="0" w:color="auto"/>
        <w:right w:val="none" w:sz="0" w:space="0" w:color="auto"/>
      </w:divBdr>
    </w:div>
    <w:div w:id="407962572">
      <w:bodyDiv w:val="1"/>
      <w:marLeft w:val="0"/>
      <w:marRight w:val="0"/>
      <w:marTop w:val="0"/>
      <w:marBottom w:val="0"/>
      <w:divBdr>
        <w:top w:val="none" w:sz="0" w:space="0" w:color="auto"/>
        <w:left w:val="none" w:sz="0" w:space="0" w:color="auto"/>
        <w:bottom w:val="none" w:sz="0" w:space="0" w:color="auto"/>
        <w:right w:val="none" w:sz="0" w:space="0" w:color="auto"/>
      </w:divBdr>
    </w:div>
    <w:div w:id="873343309">
      <w:bodyDiv w:val="1"/>
      <w:marLeft w:val="0"/>
      <w:marRight w:val="0"/>
      <w:marTop w:val="0"/>
      <w:marBottom w:val="0"/>
      <w:divBdr>
        <w:top w:val="none" w:sz="0" w:space="0" w:color="auto"/>
        <w:left w:val="none" w:sz="0" w:space="0" w:color="auto"/>
        <w:bottom w:val="none" w:sz="0" w:space="0" w:color="auto"/>
        <w:right w:val="none" w:sz="0" w:space="0" w:color="auto"/>
      </w:divBdr>
    </w:div>
    <w:div w:id="1426460357">
      <w:bodyDiv w:val="1"/>
      <w:marLeft w:val="0"/>
      <w:marRight w:val="0"/>
      <w:marTop w:val="0"/>
      <w:marBottom w:val="0"/>
      <w:divBdr>
        <w:top w:val="none" w:sz="0" w:space="0" w:color="auto"/>
        <w:left w:val="none" w:sz="0" w:space="0" w:color="auto"/>
        <w:bottom w:val="none" w:sz="0" w:space="0" w:color="auto"/>
        <w:right w:val="none" w:sz="0" w:space="0" w:color="auto"/>
      </w:divBdr>
    </w:div>
    <w:div w:id="1519154914">
      <w:bodyDiv w:val="1"/>
      <w:marLeft w:val="0"/>
      <w:marRight w:val="0"/>
      <w:marTop w:val="0"/>
      <w:marBottom w:val="0"/>
      <w:divBdr>
        <w:top w:val="none" w:sz="0" w:space="0" w:color="auto"/>
        <w:left w:val="none" w:sz="0" w:space="0" w:color="auto"/>
        <w:bottom w:val="none" w:sz="0" w:space="0" w:color="auto"/>
        <w:right w:val="none" w:sz="0" w:space="0" w:color="auto"/>
      </w:divBdr>
    </w:div>
    <w:div w:id="1584410621">
      <w:bodyDiv w:val="1"/>
      <w:marLeft w:val="0"/>
      <w:marRight w:val="0"/>
      <w:marTop w:val="0"/>
      <w:marBottom w:val="0"/>
      <w:divBdr>
        <w:top w:val="none" w:sz="0" w:space="0" w:color="auto"/>
        <w:left w:val="none" w:sz="0" w:space="0" w:color="auto"/>
        <w:bottom w:val="none" w:sz="0" w:space="0" w:color="auto"/>
        <w:right w:val="none" w:sz="0" w:space="0" w:color="auto"/>
      </w:divBdr>
    </w:div>
    <w:div w:id="1607036090">
      <w:bodyDiv w:val="1"/>
      <w:marLeft w:val="0"/>
      <w:marRight w:val="0"/>
      <w:marTop w:val="0"/>
      <w:marBottom w:val="0"/>
      <w:divBdr>
        <w:top w:val="none" w:sz="0" w:space="0" w:color="auto"/>
        <w:left w:val="none" w:sz="0" w:space="0" w:color="auto"/>
        <w:bottom w:val="none" w:sz="0" w:space="0" w:color="auto"/>
        <w:right w:val="none" w:sz="0" w:space="0" w:color="auto"/>
      </w:divBdr>
    </w:div>
    <w:div w:id="1808546770">
      <w:bodyDiv w:val="1"/>
      <w:marLeft w:val="0"/>
      <w:marRight w:val="0"/>
      <w:marTop w:val="0"/>
      <w:marBottom w:val="0"/>
      <w:divBdr>
        <w:top w:val="none" w:sz="0" w:space="0" w:color="auto"/>
        <w:left w:val="none" w:sz="0" w:space="0" w:color="auto"/>
        <w:bottom w:val="none" w:sz="0" w:space="0" w:color="auto"/>
        <w:right w:val="none" w:sz="0" w:space="0" w:color="auto"/>
      </w:divBdr>
    </w:div>
    <w:div w:id="1832720308">
      <w:bodyDiv w:val="1"/>
      <w:marLeft w:val="0"/>
      <w:marRight w:val="0"/>
      <w:marTop w:val="0"/>
      <w:marBottom w:val="0"/>
      <w:divBdr>
        <w:top w:val="none" w:sz="0" w:space="0" w:color="auto"/>
        <w:left w:val="none" w:sz="0" w:space="0" w:color="auto"/>
        <w:bottom w:val="none" w:sz="0" w:space="0" w:color="auto"/>
        <w:right w:val="none" w:sz="0" w:space="0" w:color="auto"/>
      </w:divBdr>
    </w:div>
    <w:div w:id="1898203863">
      <w:bodyDiv w:val="1"/>
      <w:marLeft w:val="0"/>
      <w:marRight w:val="0"/>
      <w:marTop w:val="0"/>
      <w:marBottom w:val="0"/>
      <w:divBdr>
        <w:top w:val="none" w:sz="0" w:space="0" w:color="auto"/>
        <w:left w:val="none" w:sz="0" w:space="0" w:color="auto"/>
        <w:bottom w:val="none" w:sz="0" w:space="0" w:color="auto"/>
        <w:right w:val="none" w:sz="0" w:space="0" w:color="auto"/>
      </w:divBdr>
    </w:div>
    <w:div w:id="200481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programs/icp" TargetMode="External"/><Relationship Id="rId13" Type="http://schemas.openxmlformats.org/officeDocument/2006/relationships/hyperlink" Target="https://www.statsethiopia.gov.et/wp-content/uploads/2019/06/Small-Scale-Manufacturing-Survey-Report-2014.pdf" TargetMode="External"/><Relationship Id="rId18" Type="http://schemas.openxmlformats.org/officeDocument/2006/relationships/hyperlink" Target="https://databank.worldbank.org/reports.aspx?source=World-Development-Indicators" TargetMode="External"/><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hyperlink" Target="https://www.statsethiopia.gov.et/wp-content/uploads/2019/06/Small-Scale-Manufacturing-Survey-Report-2010.pdf" TargetMode="External"/><Relationship Id="rId17" Type="http://schemas.openxmlformats.org/officeDocument/2006/relationships/hyperlink" Target="http://microdata.worldbank.org/" TargetMode="External"/><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hyperlink" Target="http://microdata.worldbank.org/" TargetMode="External"/><Relationship Id="rId20" Type="http://schemas.openxmlformats.org/officeDocument/2006/relationships/chart" Target="charts/chart1.xm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sethiopia.gov.et/wp-content/uploads/2019/06/Small-Scale-Manufacturing-Survey-Report-2008.pdf" TargetMode="External"/><Relationship Id="rId24"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microdata.worldbank.org/" TargetMode="External"/><Relationship Id="rId23" Type="http://schemas.openxmlformats.org/officeDocument/2006/relationships/image" Target="media/image1.emf"/><Relationship Id="rId28" Type="http://schemas.openxmlformats.org/officeDocument/2006/relationships/image" Target="media/image4.emf"/><Relationship Id="rId10" Type="http://schemas.openxmlformats.org/officeDocument/2006/relationships/hyperlink" Target="https://www.statsethiopia.gov.et/wp-content/uploads/2019/06/Small-Scale-Manufacturing-Survey-Report-2006.pdf" TargetMode="External"/><Relationship Id="rId19" Type="http://schemas.openxmlformats.org/officeDocument/2006/relationships/hyperlink" Target="https://www.worldbank.org/en/programs/ic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atsethiopia.gov.et/wp-content/uploads/2019/06/Small-Scale-Manufacturing-Survey-Report-2002.pdf" TargetMode="External"/><Relationship Id="rId14" Type="http://schemas.openxmlformats.org/officeDocument/2006/relationships/hyperlink" Target="http://microdata.worldbank.org/" TargetMode="External"/><Relationship Id="rId22" Type="http://schemas.openxmlformats.org/officeDocument/2006/relationships/chart" Target="charts/chart3.xml"/><Relationship Id="rId27" Type="http://schemas.openxmlformats.org/officeDocument/2006/relationships/image" Target="media/image3.emf"/><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Drive_D\daily\IFPRI2019\Transformation\Maggie\Firm%20data%20work\ETH\AggregateDatafromAllSources\2022\ETH%20aggregate%20data_Apr1-2021_updatedAug8-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Drive_D\daily\IFPRI2021\Tansformation\Updated%20GGDC%20analysis\Asia\ETD2021_21%20Asia%20countri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Drive_D\daily\IFPRI2019\Transformation\Maggie\2020%20new%20work%20with%20Dani\K_L%20ratio%20analysis\B&amp;M%20for%20capital\EU&amp;ETH-TZA_K-L%20no%20link_Jan14_wAppTabl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Drive_D\daily\IFPRI2019\Transformation\Maggie\2020%20new%20work%20with%20Dani\K_L%20ratio%20analysis\B&amp;M%20for%20capital\EU&amp;ETH-TZA_K-L%20no%20link_Oct15f_wAppTable.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Sheet1!$B$2</c:f>
              <c:strCache>
                <c:ptCount val="1"/>
                <c:pt idx="0">
                  <c:v>ETD (original)</c:v>
                </c:pt>
              </c:strCache>
            </c:strRef>
          </c:tx>
          <c:spPr>
            <a:ln w="28575" cap="rnd">
              <a:solidFill>
                <a:schemeClr val="accent1"/>
              </a:solidFill>
              <a:round/>
            </a:ln>
            <a:effectLst/>
          </c:spPr>
          <c:marker>
            <c:symbol val="none"/>
          </c:marker>
          <c:cat>
            <c:numRef>
              <c:f>Sheet1!$D$1:$T$1</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extLst/>
            </c:numRef>
          </c:cat>
          <c:val>
            <c:numRef>
              <c:f>Sheet1!$D$2:$T$2</c:f>
              <c:numCache>
                <c:formatCode>_(* #,##0_);_(* \(#,##0\);_(* "-"??_);_(@_)</c:formatCode>
                <c:ptCount val="17"/>
                <c:pt idx="0">
                  <c:v>1002.3747</c:v>
                </c:pt>
                <c:pt idx="1">
                  <c:v>1071.3804</c:v>
                </c:pt>
                <c:pt idx="2">
                  <c:v>1119.8416</c:v>
                </c:pt>
                <c:pt idx="3">
                  <c:v>1164.8469</c:v>
                </c:pt>
                <c:pt idx="4">
                  <c:v>1281.3689999999999</c:v>
                </c:pt>
                <c:pt idx="5">
                  <c:v>1491.4416000000001</c:v>
                </c:pt>
                <c:pt idx="6">
                  <c:v>1702.3055999999999</c:v>
                </c:pt>
                <c:pt idx="7">
                  <c:v>1903.3878999999999</c:v>
                </c:pt>
                <c:pt idx="8">
                  <c:v>2166.9025000000001</c:v>
                </c:pt>
                <c:pt idx="9">
                  <c:v>2438.7595000000001</c:v>
                </c:pt>
                <c:pt idx="10">
                  <c:v>2809.3496</c:v>
                </c:pt>
                <c:pt idx="11">
                  <c:v>3251.2957000000001</c:v>
                </c:pt>
                <c:pt idx="12">
                  <c:v>3389.7899000000002</c:v>
                </c:pt>
                <c:pt idx="13">
                  <c:v>3693.7467999999999</c:v>
                </c:pt>
                <c:pt idx="14">
                  <c:v>3903.0146</c:v>
                </c:pt>
                <c:pt idx="15">
                  <c:v>4070.6803</c:v>
                </c:pt>
                <c:pt idx="16">
                  <c:v>4333.0874000000003</c:v>
                </c:pt>
              </c:numCache>
              <c:extLst/>
            </c:numRef>
          </c:val>
          <c:smooth val="0"/>
          <c:extLst>
            <c:ext xmlns:c16="http://schemas.microsoft.com/office/drawing/2014/chart" uri="{C3380CC4-5D6E-409C-BE32-E72D297353CC}">
              <c16:uniqueId val="{00000000-F13E-4DBB-9B56-E001381E9231}"/>
            </c:ext>
          </c:extLst>
        </c:ser>
        <c:ser>
          <c:idx val="1"/>
          <c:order val="1"/>
          <c:tx>
            <c:strRef>
              <c:f>Sheet1!$B$3</c:f>
              <c:strCache>
                <c:ptCount val="1"/>
                <c:pt idx="0">
                  <c:v>Adjusted aggregate </c:v>
                </c:pt>
              </c:strCache>
            </c:strRef>
          </c:tx>
          <c:spPr>
            <a:ln w="28575" cap="rnd">
              <a:solidFill>
                <a:schemeClr val="accent2"/>
              </a:solidFill>
              <a:round/>
            </a:ln>
            <a:effectLst/>
          </c:spPr>
          <c:marker>
            <c:symbol val="none"/>
          </c:marker>
          <c:cat>
            <c:numRef>
              <c:f>Sheet1!$D$1:$T$1</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extLst/>
            </c:numRef>
          </c:cat>
          <c:val>
            <c:numRef>
              <c:f>Sheet1!$D$3:$T$3</c:f>
              <c:numCache>
                <c:formatCode>_(* #,##0_);_(* \(#,##0\);_(* "-"??_);_(@_)</c:formatCode>
                <c:ptCount val="17"/>
                <c:pt idx="0">
                  <c:v>817.81607966948059</c:v>
                </c:pt>
                <c:pt idx="1">
                  <c:v>855.79996952463534</c:v>
                </c:pt>
                <c:pt idx="2">
                  <c:v>896.43611271957138</c:v>
                </c:pt>
                <c:pt idx="3">
                  <c:v>939.97432930014043</c:v>
                </c:pt>
                <c:pt idx="4">
                  <c:v>975.08672828296039</c:v>
                </c:pt>
                <c:pt idx="5">
                  <c:v>1055.4266892748624</c:v>
                </c:pt>
                <c:pt idx="6">
                  <c:v>1222.5307284322976</c:v>
                </c:pt>
                <c:pt idx="7">
                  <c:v>1318.7053128872005</c:v>
                </c:pt>
                <c:pt idx="8">
                  <c:v>1425.9804337045584</c:v>
                </c:pt>
                <c:pt idx="9">
                  <c:v>1545.7854663666203</c:v>
                </c:pt>
                <c:pt idx="10">
                  <c:v>1679.7390448168981</c:v>
                </c:pt>
                <c:pt idx="11">
                  <c:v>1870.9875871595418</c:v>
                </c:pt>
                <c:pt idx="12">
                  <c:v>2079.93902163147</c:v>
                </c:pt>
                <c:pt idx="13">
                  <c:v>2235.5748782851215</c:v>
                </c:pt>
                <c:pt idx="14">
                  <c:v>2443.8557817295009</c:v>
                </c:pt>
                <c:pt idx="15">
                  <c:v>2841.5158292242436</c:v>
                </c:pt>
                <c:pt idx="16">
                  <c:v>3172.1819260356201</c:v>
                </c:pt>
              </c:numCache>
              <c:extLst/>
            </c:numRef>
          </c:val>
          <c:smooth val="0"/>
          <c:extLst>
            <c:ext xmlns:c16="http://schemas.microsoft.com/office/drawing/2014/chart" uri="{C3380CC4-5D6E-409C-BE32-E72D297353CC}">
              <c16:uniqueId val="{00000001-F13E-4DBB-9B56-E001381E9231}"/>
            </c:ext>
          </c:extLst>
        </c:ser>
        <c:dLbls>
          <c:showLegendKey val="0"/>
          <c:showVal val="0"/>
          <c:showCatName val="0"/>
          <c:showSerName val="0"/>
          <c:showPercent val="0"/>
          <c:showBubbleSize val="0"/>
        </c:dLbls>
        <c:smooth val="0"/>
        <c:axId val="729113480"/>
        <c:axId val="729108560"/>
      </c:lineChart>
      <c:catAx>
        <c:axId val="729113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29108560"/>
        <c:crosses val="autoZero"/>
        <c:auto val="1"/>
        <c:lblAlgn val="ctr"/>
        <c:lblOffset val="100"/>
        <c:noMultiLvlLbl val="0"/>
      </c:catAx>
      <c:valAx>
        <c:axId val="729108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Number of workers (1000s)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29113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67847769028873"/>
          <c:y val="5.0925925925925923E-2"/>
          <c:w val="0.81248753280839892"/>
          <c:h val="0.73030927384076993"/>
        </c:manualLayout>
      </c:layout>
      <c:lineChart>
        <c:grouping val="standard"/>
        <c:varyColors val="0"/>
        <c:ser>
          <c:idx val="0"/>
          <c:order val="0"/>
          <c:tx>
            <c:v>Large &amp; medium</c:v>
          </c:tx>
          <c:spPr>
            <a:ln w="25400" cap="rnd">
              <a:solidFill>
                <a:srgbClr val="C00000"/>
              </a:solidFill>
              <a:round/>
            </a:ln>
            <a:effectLst/>
          </c:spPr>
          <c:marker>
            <c:symbol val="none"/>
          </c:marker>
          <c:cat>
            <c:numRef>
              <c:f>'graph data'!$M$1:$AC$1</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'graph data'!$M$8:$AC$8</c:f>
              <c:numCache>
                <c:formatCode>_(* #,##0_);_(* \(#,##0\);_(* "-"??_);_(@_)</c:formatCode>
                <c:ptCount val="17"/>
                <c:pt idx="0">
                  <c:v>215.04</c:v>
                </c:pt>
                <c:pt idx="1">
                  <c:v>227.00099999999998</c:v>
                </c:pt>
                <c:pt idx="2">
                  <c:v>265.77199999999999</c:v>
                </c:pt>
                <c:pt idx="3">
                  <c:v>267.423</c:v>
                </c:pt>
                <c:pt idx="4">
                  <c:v>285.63799999999998</c:v>
                </c:pt>
                <c:pt idx="5">
                  <c:v>224.74599999999998</c:v>
                </c:pt>
                <c:pt idx="6">
                  <c:v>268.46800000000002</c:v>
                </c:pt>
                <c:pt idx="7">
                  <c:v>246.815</c:v>
                </c:pt>
                <c:pt idx="8">
                  <c:v>287.02999999999997</c:v>
                </c:pt>
                <c:pt idx="9">
                  <c:v>309.779</c:v>
                </c:pt>
                <c:pt idx="10">
                  <c:v>338.45600000000002</c:v>
                </c:pt>
                <c:pt idx="11">
                  <c:v>295.32349999999997</c:v>
                </c:pt>
                <c:pt idx="12">
                  <c:v>287.13499999999999</c:v>
                </c:pt>
                <c:pt idx="13">
                  <c:v>402.44067000000001</c:v>
                </c:pt>
                <c:pt idx="14">
                  <c:v>397.92482999999999</c:v>
                </c:pt>
                <c:pt idx="15">
                  <c:v>335.50350000000003</c:v>
                </c:pt>
                <c:pt idx="16">
                  <c:v>291.74299999999999</c:v>
                </c:pt>
              </c:numCache>
            </c:numRef>
          </c:val>
          <c:smooth val="0"/>
          <c:extLst>
            <c:ext xmlns:c16="http://schemas.microsoft.com/office/drawing/2014/chart" uri="{C3380CC4-5D6E-409C-BE32-E72D297353CC}">
              <c16:uniqueId val="{00000000-D1A8-4D49-B511-2F7FDFBEB775}"/>
            </c:ext>
          </c:extLst>
        </c:ser>
        <c:ser>
          <c:idx val="1"/>
          <c:order val="1"/>
          <c:tx>
            <c:v>Rest of the urban</c:v>
          </c:tx>
          <c:spPr>
            <a:ln w="25400" cap="rnd">
              <a:solidFill>
                <a:schemeClr val="accent6">
                  <a:lumMod val="50000"/>
                </a:schemeClr>
              </a:solidFill>
              <a:round/>
            </a:ln>
            <a:effectLst/>
          </c:spPr>
          <c:marker>
            <c:symbol val="none"/>
          </c:marker>
          <c:val>
            <c:numRef>
              <c:f>'graph data'!$M$15:$AC$15</c:f>
              <c:numCache>
                <c:formatCode>_(* #,##0_);_(* \(#,##0\);_(* "-"??_);_(@_)</c:formatCode>
                <c:ptCount val="17"/>
                <c:pt idx="0">
                  <c:v>209.27591721113421</c:v>
                </c:pt>
                <c:pt idx="1">
                  <c:v>220.33010317783527</c:v>
                </c:pt>
                <c:pt idx="2">
                  <c:v>206.65713459716329</c:v>
                </c:pt>
                <c:pt idx="3">
                  <c:v>232.4151713001404</c:v>
                </c:pt>
                <c:pt idx="4">
                  <c:v>244.17449628296043</c:v>
                </c:pt>
                <c:pt idx="5">
                  <c:v>337.88953327486252</c:v>
                </c:pt>
                <c:pt idx="6">
                  <c:v>367.03079843229733</c:v>
                </c:pt>
                <c:pt idx="7">
                  <c:v>471.06866215775523</c:v>
                </c:pt>
                <c:pt idx="8">
                  <c:v>524.01513370263956</c:v>
                </c:pt>
                <c:pt idx="9">
                  <c:v>606.62597927972615</c:v>
                </c:pt>
                <c:pt idx="10">
                  <c:v>697.11804481689808</c:v>
                </c:pt>
                <c:pt idx="11">
                  <c:v>875.05408715954195</c:v>
                </c:pt>
                <c:pt idx="12">
                  <c:v>1035.74902163147</c:v>
                </c:pt>
                <c:pt idx="13">
                  <c:v>914.0026562851217</c:v>
                </c:pt>
                <c:pt idx="14">
                  <c:v>1093.055951729501</c:v>
                </c:pt>
                <c:pt idx="15">
                  <c:v>1576.1653292242436</c:v>
                </c:pt>
                <c:pt idx="16">
                  <c:v>1870.0299260356237</c:v>
                </c:pt>
              </c:numCache>
            </c:numRef>
          </c:val>
          <c:smooth val="0"/>
          <c:extLst>
            <c:ext xmlns:c16="http://schemas.microsoft.com/office/drawing/2014/chart" uri="{C3380CC4-5D6E-409C-BE32-E72D297353CC}">
              <c16:uniqueId val="{00000001-D1A8-4D49-B511-2F7FDFBEB775}"/>
            </c:ext>
          </c:extLst>
        </c:ser>
        <c:ser>
          <c:idx val="2"/>
          <c:order val="2"/>
          <c:tx>
            <c:v>Rural total</c:v>
          </c:tx>
          <c:spPr>
            <a:ln w="25400" cap="rnd">
              <a:solidFill>
                <a:schemeClr val="accent4">
                  <a:lumMod val="50000"/>
                </a:schemeClr>
              </a:solidFill>
              <a:round/>
            </a:ln>
            <a:effectLst/>
          </c:spPr>
          <c:marker>
            <c:symbol val="none"/>
          </c:marker>
          <c:val>
            <c:numRef>
              <c:f>'graph data'!$M$14:$AC$14</c:f>
              <c:numCache>
                <c:formatCode>_(* #,##0_);_(* \(#,##0\);_(* "-"??_);_(@_)</c:formatCode>
                <c:ptCount val="17"/>
                <c:pt idx="0">
                  <c:v>424.31591721113421</c:v>
                </c:pt>
                <c:pt idx="1">
                  <c:v>447.33110317783525</c:v>
                </c:pt>
                <c:pt idx="2">
                  <c:v>472.42913459716328</c:v>
                </c:pt>
                <c:pt idx="3">
                  <c:v>499.8381713001404</c:v>
                </c:pt>
                <c:pt idx="4">
                  <c:v>529.81249628296041</c:v>
                </c:pt>
                <c:pt idx="5">
                  <c:v>562.6355332748625</c:v>
                </c:pt>
                <c:pt idx="6">
                  <c:v>635.49879843229735</c:v>
                </c:pt>
                <c:pt idx="7">
                  <c:v>717.88366215775523</c:v>
                </c:pt>
                <c:pt idx="8">
                  <c:v>811.04513370263953</c:v>
                </c:pt>
                <c:pt idx="9">
                  <c:v>916.40497927972615</c:v>
                </c:pt>
                <c:pt idx="10">
                  <c:v>1035.5740448168981</c:v>
                </c:pt>
                <c:pt idx="11">
                  <c:v>1170.3775871595419</c:v>
                </c:pt>
                <c:pt idx="12">
                  <c:v>1322.88402163147</c:v>
                </c:pt>
                <c:pt idx="13">
                  <c:v>1316.4433262851217</c:v>
                </c:pt>
                <c:pt idx="14">
                  <c:v>1490.9807817295009</c:v>
                </c:pt>
                <c:pt idx="15">
                  <c:v>1911.6688292242436</c:v>
                </c:pt>
                <c:pt idx="16">
                  <c:v>2161.7729260356236</c:v>
                </c:pt>
              </c:numCache>
            </c:numRef>
          </c:val>
          <c:smooth val="0"/>
          <c:extLst>
            <c:ext xmlns:c16="http://schemas.microsoft.com/office/drawing/2014/chart" uri="{C3380CC4-5D6E-409C-BE32-E72D297353CC}">
              <c16:uniqueId val="{00000002-D1A8-4D49-B511-2F7FDFBEB775}"/>
            </c:ext>
          </c:extLst>
        </c:ser>
        <c:ser>
          <c:idx val="3"/>
          <c:order val="3"/>
          <c:tx>
            <c:v>National total</c:v>
          </c:tx>
          <c:spPr>
            <a:ln w="25400" cap="rnd">
              <a:solidFill>
                <a:srgbClr val="002060"/>
              </a:solidFill>
              <a:round/>
            </a:ln>
            <a:effectLst/>
          </c:spPr>
          <c:marker>
            <c:symbol val="none"/>
          </c:marker>
          <c:val>
            <c:numRef>
              <c:f>'graph data'!$M$3:$AC$3</c:f>
              <c:numCache>
                <c:formatCode>_(* #,##0_);_(* \(#,##0\);_(* "-"??_);_(@_)</c:formatCode>
                <c:ptCount val="17"/>
                <c:pt idx="0">
                  <c:v>817.81607966948059</c:v>
                </c:pt>
                <c:pt idx="1">
                  <c:v>855.79996952463534</c:v>
                </c:pt>
                <c:pt idx="2">
                  <c:v>896.43611271957138</c:v>
                </c:pt>
                <c:pt idx="3">
                  <c:v>939.97432930014043</c:v>
                </c:pt>
                <c:pt idx="4">
                  <c:v>975.08672828296039</c:v>
                </c:pt>
                <c:pt idx="5">
                  <c:v>1055.4266892748624</c:v>
                </c:pt>
                <c:pt idx="6">
                  <c:v>1222.5307284322976</c:v>
                </c:pt>
                <c:pt idx="7">
                  <c:v>1318.7053128872005</c:v>
                </c:pt>
                <c:pt idx="8">
                  <c:v>1425.9804337045584</c:v>
                </c:pt>
                <c:pt idx="9">
                  <c:v>1545.7854663666203</c:v>
                </c:pt>
                <c:pt idx="10">
                  <c:v>1679.7390448168981</c:v>
                </c:pt>
                <c:pt idx="11">
                  <c:v>1870.9875871595418</c:v>
                </c:pt>
                <c:pt idx="12">
                  <c:v>2079.93902163147</c:v>
                </c:pt>
                <c:pt idx="13">
                  <c:v>2235.5748782851215</c:v>
                </c:pt>
                <c:pt idx="14">
                  <c:v>2443.8557817295009</c:v>
                </c:pt>
                <c:pt idx="15">
                  <c:v>2841.5158292242436</c:v>
                </c:pt>
                <c:pt idx="16">
                  <c:v>3172.1819260356237</c:v>
                </c:pt>
              </c:numCache>
            </c:numRef>
          </c:val>
          <c:smooth val="0"/>
          <c:extLst>
            <c:ext xmlns:c16="http://schemas.microsoft.com/office/drawing/2014/chart" uri="{C3380CC4-5D6E-409C-BE32-E72D297353CC}">
              <c16:uniqueId val="{00000003-D1A8-4D49-B511-2F7FDFBEB775}"/>
            </c:ext>
          </c:extLst>
        </c:ser>
        <c:dLbls>
          <c:showLegendKey val="0"/>
          <c:showVal val="0"/>
          <c:showCatName val="0"/>
          <c:showSerName val="0"/>
          <c:showPercent val="0"/>
          <c:showBubbleSize val="0"/>
        </c:dLbls>
        <c:smooth val="0"/>
        <c:axId val="950450528"/>
        <c:axId val="950453808"/>
      </c:lineChart>
      <c:catAx>
        <c:axId val="95045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50453808"/>
        <c:crosses val="autoZero"/>
        <c:auto val="1"/>
        <c:lblAlgn val="ctr"/>
        <c:lblOffset val="100"/>
        <c:noMultiLvlLbl val="0"/>
      </c:catAx>
      <c:valAx>
        <c:axId val="950453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Number</a:t>
                </a:r>
                <a:r>
                  <a:rPr lang="en-US" baseline="0"/>
                  <a:t> of workers (1000s)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50450528"/>
        <c:crosses val="autoZero"/>
        <c:crossBetween val="between"/>
      </c:valAx>
      <c:spPr>
        <a:noFill/>
        <a:ln>
          <a:noFill/>
        </a:ln>
        <a:effectLst/>
      </c:spPr>
    </c:plotArea>
    <c:legend>
      <c:legendPos val="r"/>
      <c:layout>
        <c:manualLayout>
          <c:xMode val="edge"/>
          <c:yMode val="edge"/>
          <c:x val="0.19138823272090991"/>
          <c:y val="0.14004520268299797"/>
          <c:w val="0.52805621172353456"/>
          <c:h val="0.1458355205599299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934552936403454"/>
          <c:y val="4.0248810830589093E-2"/>
          <c:w val="0.79043961184662648"/>
          <c:h val="0.79835458523888891"/>
        </c:manualLayout>
      </c:layout>
      <c:scatterChart>
        <c:scatterStyle val="lineMarker"/>
        <c:varyColors val="0"/>
        <c:ser>
          <c:idx val="0"/>
          <c:order val="0"/>
          <c:tx>
            <c:v>Manufacturing</c:v>
          </c:tx>
          <c:spPr>
            <a:ln w="19050" cap="rnd">
              <a:noFill/>
              <a:round/>
            </a:ln>
            <a:effectLst/>
          </c:spPr>
          <c:marker>
            <c:symbol val="circle"/>
            <c:size val="4"/>
            <c:spPr>
              <a:solidFill>
                <a:srgbClr val="C00000"/>
              </a:solidFill>
              <a:ln w="9525">
                <a:solidFill>
                  <a:srgbClr val="C00000"/>
                </a:solidFill>
              </a:ln>
              <a:effectLst/>
            </c:spPr>
          </c:marker>
          <c:dLbls>
            <c:dLbl>
              <c:idx val="0"/>
              <c:tx>
                <c:rich>
                  <a:bodyPr/>
                  <a:lstStyle/>
                  <a:p>
                    <a:fld id="{696B9DC2-8686-41D0-9B64-40D9A506D4E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7791-493C-B6E5-F0C37C933483}"/>
                </c:ext>
              </c:extLst>
            </c:dLbl>
            <c:dLbl>
              <c:idx val="1"/>
              <c:tx>
                <c:rich>
                  <a:bodyPr/>
                  <a:lstStyle/>
                  <a:p>
                    <a:fld id="{D2D87CBE-FA26-46A8-9261-57BB0CE62C62}"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7791-493C-B6E5-F0C37C933483}"/>
                </c:ext>
              </c:extLst>
            </c:dLbl>
            <c:dLbl>
              <c:idx val="2"/>
              <c:tx>
                <c:rich>
                  <a:bodyPr/>
                  <a:lstStyle/>
                  <a:p>
                    <a:fld id="{F6507551-D8DE-437E-82BD-DD95686775E3}"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7791-493C-B6E5-F0C37C933483}"/>
                </c:ext>
              </c:extLst>
            </c:dLbl>
            <c:dLbl>
              <c:idx val="3"/>
              <c:tx>
                <c:rich>
                  <a:bodyPr/>
                  <a:lstStyle/>
                  <a:p>
                    <a:fld id="{38AA0852-406B-4946-AFF9-581F55119FCA}"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7791-493C-B6E5-F0C37C933483}"/>
                </c:ext>
              </c:extLst>
            </c:dLbl>
            <c:dLbl>
              <c:idx val="4"/>
              <c:tx>
                <c:rich>
                  <a:bodyPr/>
                  <a:lstStyle/>
                  <a:p>
                    <a:fld id="{8635EFF5-83EA-4F1B-BF12-4E6BD040CDA0}"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7791-493C-B6E5-F0C37C933483}"/>
                </c:ext>
              </c:extLst>
            </c:dLbl>
            <c:dLbl>
              <c:idx val="5"/>
              <c:tx>
                <c:rich>
                  <a:bodyPr/>
                  <a:lstStyle/>
                  <a:p>
                    <a:fld id="{D8075C49-6DDD-4316-B1F8-3724A7DDEFDD}"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7791-493C-B6E5-F0C37C933483}"/>
                </c:ext>
              </c:extLst>
            </c:dLbl>
            <c:dLbl>
              <c:idx val="6"/>
              <c:tx>
                <c:rich>
                  <a:bodyPr/>
                  <a:lstStyle/>
                  <a:p>
                    <a:fld id="{5CA864FD-7D16-45B1-8F31-E4C16A5E75BB}"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7791-493C-B6E5-F0C37C933483}"/>
                </c:ext>
              </c:extLst>
            </c:dLbl>
            <c:dLbl>
              <c:idx val="7"/>
              <c:tx>
                <c:rich>
                  <a:bodyPr/>
                  <a:lstStyle/>
                  <a:p>
                    <a:fld id="{C77972F0-F92F-47DA-8286-21DDDCAC01D9}" type="CELLRANGE">
                      <a:rPr lang="en-US"/>
                      <a:pPr/>
                      <a:t>[CELLRANGE]</a:t>
                    </a:fld>
                    <a:endParaRPr lang="en-US"/>
                  </a:p>
                </c:rich>
              </c:tx>
              <c:dLblPos val="t"/>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7791-493C-B6E5-F0C37C93348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Table!$N$5:$N$12</c:f>
              <c:numCache>
                <c:formatCode>0.00</c:formatCode>
                <c:ptCount val="8"/>
                <c:pt idx="0">
                  <c:v>0.51471529526685067</c:v>
                </c:pt>
                <c:pt idx="1">
                  <c:v>0.84873387103561448</c:v>
                </c:pt>
                <c:pt idx="2">
                  <c:v>0.36697754157612356</c:v>
                </c:pt>
                <c:pt idx="3">
                  <c:v>0.3909583363104831</c:v>
                </c:pt>
                <c:pt idx="4">
                  <c:v>0.35909104965524763</c:v>
                </c:pt>
                <c:pt idx="5">
                  <c:v>1.9871330800691327</c:v>
                </c:pt>
                <c:pt idx="6">
                  <c:v>-0.12918155490532082</c:v>
                </c:pt>
                <c:pt idx="7">
                  <c:v>0.39111754552035066</c:v>
                </c:pt>
              </c:numCache>
            </c:numRef>
          </c:xVal>
          <c:yVal>
            <c:numRef>
              <c:f>Table!$O$5:$O$12</c:f>
              <c:numCache>
                <c:formatCode>0.00</c:formatCode>
                <c:ptCount val="8"/>
                <c:pt idx="0">
                  <c:v>0.51501363897224295</c:v>
                </c:pt>
                <c:pt idx="1">
                  <c:v>8.1157883899690614E-2</c:v>
                </c:pt>
                <c:pt idx="2">
                  <c:v>0.72174552533078262</c:v>
                </c:pt>
                <c:pt idx="3">
                  <c:v>-1.6320815290376819E-2</c:v>
                </c:pt>
                <c:pt idx="4">
                  <c:v>0.11182982237556444</c:v>
                </c:pt>
                <c:pt idx="5">
                  <c:v>0.1844009779827972</c:v>
                </c:pt>
                <c:pt idx="6">
                  <c:v>6.3880675732491565E-2</c:v>
                </c:pt>
                <c:pt idx="7">
                  <c:v>0.52396512394670636</c:v>
                </c:pt>
              </c:numCache>
            </c:numRef>
          </c:yVal>
          <c:smooth val="0"/>
          <c:extLst>
            <c:ext xmlns:c15="http://schemas.microsoft.com/office/drawing/2012/chart" uri="{02D57815-91ED-43cb-92C2-25804820EDAC}">
              <c15:datalabelsRange>
                <c15:f>Table!$L$5:$L$12</c15:f>
                <c15:dlblRangeCache>
                  <c:ptCount val="8"/>
                  <c:pt idx="0">
                    <c:v>BGD</c:v>
                  </c:pt>
                  <c:pt idx="1">
                    <c:v>IND</c:v>
                  </c:pt>
                  <c:pt idx="2">
                    <c:v>KHM</c:v>
                  </c:pt>
                  <c:pt idx="3">
                    <c:v>LAO</c:v>
                  </c:pt>
                  <c:pt idx="4">
                    <c:v>LKA</c:v>
                  </c:pt>
                  <c:pt idx="5">
                    <c:v>MMR</c:v>
                  </c:pt>
                  <c:pt idx="6">
                    <c:v>NPL</c:v>
                  </c:pt>
                  <c:pt idx="7">
                    <c:v>VNM</c:v>
                  </c:pt>
                </c15:dlblRangeCache>
              </c15:datalabelsRange>
            </c:ext>
            <c:ext xmlns:c16="http://schemas.microsoft.com/office/drawing/2014/chart" uri="{C3380CC4-5D6E-409C-BE32-E72D297353CC}">
              <c16:uniqueId val="{00000008-7791-493C-B6E5-F0C37C933483}"/>
            </c:ext>
          </c:extLst>
        </c:ser>
        <c:ser>
          <c:idx val="1"/>
          <c:order val="1"/>
          <c:tx>
            <c:v>Construction</c:v>
          </c:tx>
          <c:spPr>
            <a:ln w="25400" cap="rnd">
              <a:noFill/>
              <a:round/>
            </a:ln>
            <a:effectLst/>
          </c:spPr>
          <c:marker>
            <c:symbol val="x"/>
            <c:size val="5"/>
            <c:spPr>
              <a:noFill/>
              <a:ln w="12700">
                <a:solidFill>
                  <a:srgbClr val="7030A0"/>
                </a:solidFill>
              </a:ln>
              <a:effectLst/>
            </c:spPr>
          </c:marker>
          <c:xVal>
            <c:numRef>
              <c:f>Table!$R$5:$R$12</c:f>
              <c:numCache>
                <c:formatCode>0.00</c:formatCode>
                <c:ptCount val="8"/>
                <c:pt idx="0">
                  <c:v>8.5576547020263904E-2</c:v>
                </c:pt>
                <c:pt idx="1">
                  <c:v>-0.14703239275919119</c:v>
                </c:pt>
                <c:pt idx="2">
                  <c:v>-0.1380598851643674</c:v>
                </c:pt>
                <c:pt idx="3">
                  <c:v>0.37274818140924593</c:v>
                </c:pt>
                <c:pt idx="4">
                  <c:v>0.16588392016863543</c:v>
                </c:pt>
                <c:pt idx="5">
                  <c:v>0.43418388989542145</c:v>
                </c:pt>
                <c:pt idx="6">
                  <c:v>-7.7670657737246823E-2</c:v>
                </c:pt>
                <c:pt idx="7">
                  <c:v>9.1298287123545221E-3</c:v>
                </c:pt>
              </c:numCache>
            </c:numRef>
          </c:xVal>
          <c:yVal>
            <c:numRef>
              <c:f>Table!$S$5:$S$12</c:f>
              <c:numCache>
                <c:formatCode>0.00</c:formatCode>
                <c:ptCount val="8"/>
                <c:pt idx="0">
                  <c:v>0.33925070452735712</c:v>
                </c:pt>
                <c:pt idx="1">
                  <c:v>0.59726137135880419</c:v>
                </c:pt>
                <c:pt idx="2">
                  <c:v>0.96725518309752845</c:v>
                </c:pt>
                <c:pt idx="3">
                  <c:v>0.1420511773417045</c:v>
                </c:pt>
                <c:pt idx="4">
                  <c:v>0.247958706884819</c:v>
                </c:pt>
                <c:pt idx="5">
                  <c:v>0.20561537897652127</c:v>
                </c:pt>
                <c:pt idx="6">
                  <c:v>0.18621041526723284</c:v>
                </c:pt>
                <c:pt idx="7">
                  <c:v>0.30426244516398604</c:v>
                </c:pt>
              </c:numCache>
            </c:numRef>
          </c:yVal>
          <c:smooth val="0"/>
          <c:extLst>
            <c:ext xmlns:c16="http://schemas.microsoft.com/office/drawing/2014/chart" uri="{C3380CC4-5D6E-409C-BE32-E72D297353CC}">
              <c16:uniqueId val="{00000009-7791-493C-B6E5-F0C37C933483}"/>
            </c:ext>
          </c:extLst>
        </c:ser>
        <c:ser>
          <c:idx val="2"/>
          <c:order val="2"/>
          <c:tx>
            <c:v>Trade</c:v>
          </c:tx>
          <c:spPr>
            <a:ln w="25400" cap="rnd">
              <a:noFill/>
              <a:round/>
            </a:ln>
            <a:effectLst/>
          </c:spPr>
          <c:marker>
            <c:symbol val="square"/>
            <c:size val="3"/>
            <c:spPr>
              <a:solidFill>
                <a:schemeClr val="accent6">
                  <a:lumMod val="50000"/>
                </a:schemeClr>
              </a:solidFill>
              <a:ln w="9525">
                <a:solidFill>
                  <a:schemeClr val="accent6">
                    <a:lumMod val="50000"/>
                  </a:schemeClr>
                </a:solidFill>
              </a:ln>
              <a:effectLst/>
            </c:spPr>
          </c:marker>
          <c:xVal>
            <c:numRef>
              <c:f>Table!$V$5:$V$12</c:f>
              <c:numCache>
                <c:formatCode>0.00</c:formatCode>
                <c:ptCount val="8"/>
                <c:pt idx="0">
                  <c:v>0.49765398342532852</c:v>
                </c:pt>
                <c:pt idx="1">
                  <c:v>0.60056852685685791</c:v>
                </c:pt>
                <c:pt idx="2">
                  <c:v>0.19269845240001193</c:v>
                </c:pt>
                <c:pt idx="3">
                  <c:v>0.71508845997859616</c:v>
                </c:pt>
                <c:pt idx="4">
                  <c:v>0.38986998467664696</c:v>
                </c:pt>
                <c:pt idx="5">
                  <c:v>0.96633856381199024</c:v>
                </c:pt>
                <c:pt idx="6">
                  <c:v>0.14357325195770454</c:v>
                </c:pt>
                <c:pt idx="7">
                  <c:v>-5.1554977580548361E-2</c:v>
                </c:pt>
              </c:numCache>
            </c:numRef>
          </c:xVal>
          <c:yVal>
            <c:numRef>
              <c:f>Table!$W$5:$W$12</c:f>
              <c:numCache>
                <c:formatCode>0.00</c:formatCode>
                <c:ptCount val="8"/>
                <c:pt idx="0">
                  <c:v>0.22904095697576071</c:v>
                </c:pt>
                <c:pt idx="1">
                  <c:v>9.720245577894987E-2</c:v>
                </c:pt>
                <c:pt idx="2">
                  <c:v>0.50710964532965153</c:v>
                </c:pt>
                <c:pt idx="3">
                  <c:v>0.36778320833901174</c:v>
                </c:pt>
                <c:pt idx="4">
                  <c:v>0.13397021983420299</c:v>
                </c:pt>
                <c:pt idx="5">
                  <c:v>0.67667558962992769</c:v>
                </c:pt>
                <c:pt idx="6">
                  <c:v>0.52970020327007017</c:v>
                </c:pt>
                <c:pt idx="7">
                  <c:v>0.61554586894030361</c:v>
                </c:pt>
              </c:numCache>
            </c:numRef>
          </c:yVal>
          <c:smooth val="0"/>
          <c:extLst>
            <c:ext xmlns:c16="http://schemas.microsoft.com/office/drawing/2014/chart" uri="{C3380CC4-5D6E-409C-BE32-E72D297353CC}">
              <c16:uniqueId val="{0000000A-7791-493C-B6E5-F0C37C933483}"/>
            </c:ext>
          </c:extLst>
        </c:ser>
        <c:ser>
          <c:idx val="3"/>
          <c:order val="3"/>
          <c:tx>
            <c:v>Transport</c:v>
          </c:tx>
          <c:spPr>
            <a:ln w="25400" cap="rnd">
              <a:noFill/>
              <a:round/>
            </a:ln>
            <a:effectLst/>
          </c:spPr>
          <c:marker>
            <c:symbol val="circle"/>
            <c:size val="4"/>
            <c:spPr>
              <a:solidFill>
                <a:schemeClr val="accent4">
                  <a:lumMod val="75000"/>
                </a:schemeClr>
              </a:solidFill>
              <a:ln w="9525">
                <a:solidFill>
                  <a:schemeClr val="accent4">
                    <a:lumMod val="75000"/>
                  </a:schemeClr>
                </a:solidFill>
              </a:ln>
              <a:effectLst/>
            </c:spPr>
          </c:marker>
          <c:xVal>
            <c:numRef>
              <c:f>Table!$Z$5:$Z$12</c:f>
              <c:numCache>
                <c:formatCode>0.00</c:formatCode>
                <c:ptCount val="8"/>
                <c:pt idx="0">
                  <c:v>7.8512293686890347E-2</c:v>
                </c:pt>
                <c:pt idx="1">
                  <c:v>0.21399595605228486</c:v>
                </c:pt>
                <c:pt idx="2">
                  <c:v>0.17708611292548679</c:v>
                </c:pt>
                <c:pt idx="3">
                  <c:v>0.1121361900335968</c:v>
                </c:pt>
                <c:pt idx="4">
                  <c:v>0.40217228350427037</c:v>
                </c:pt>
                <c:pt idx="5">
                  <c:v>0.79565380066605451</c:v>
                </c:pt>
                <c:pt idx="6">
                  <c:v>5.9031776833640554E-2</c:v>
                </c:pt>
                <c:pt idx="7">
                  <c:v>6.152214335103956E-2</c:v>
                </c:pt>
              </c:numCache>
            </c:numRef>
          </c:xVal>
          <c:yVal>
            <c:numRef>
              <c:f>Table!$AA$5:$AA$12</c:f>
              <c:numCache>
                <c:formatCode>0.00</c:formatCode>
                <c:ptCount val="8"/>
                <c:pt idx="0">
                  <c:v>0.37889200585812749</c:v>
                </c:pt>
                <c:pt idx="1">
                  <c:v>7.611493134535624E-2</c:v>
                </c:pt>
                <c:pt idx="2">
                  <c:v>0.2166582793798946</c:v>
                </c:pt>
                <c:pt idx="3">
                  <c:v>-2.2950062063149299E-2</c:v>
                </c:pt>
                <c:pt idx="4">
                  <c:v>0.26310015353150479</c:v>
                </c:pt>
                <c:pt idx="5">
                  <c:v>0.34126239849669027</c:v>
                </c:pt>
                <c:pt idx="6">
                  <c:v>0.21471779913893074</c:v>
                </c:pt>
                <c:pt idx="7">
                  <c:v>3.8980359656165794E-2</c:v>
                </c:pt>
              </c:numCache>
            </c:numRef>
          </c:yVal>
          <c:smooth val="0"/>
          <c:extLst>
            <c:ext xmlns:c16="http://schemas.microsoft.com/office/drawing/2014/chart" uri="{C3380CC4-5D6E-409C-BE32-E72D297353CC}">
              <c16:uniqueId val="{0000000B-7791-493C-B6E5-F0C37C933483}"/>
            </c:ext>
          </c:extLst>
        </c:ser>
        <c:ser>
          <c:idx val="4"/>
          <c:order val="4"/>
          <c:tx>
            <c:v>Business service</c:v>
          </c:tx>
          <c:spPr>
            <a:ln w="25400" cap="rnd">
              <a:noFill/>
              <a:round/>
            </a:ln>
            <a:effectLst/>
          </c:spPr>
          <c:marker>
            <c:symbol val="triangle"/>
            <c:size val="4"/>
            <c:spPr>
              <a:solidFill>
                <a:srgbClr val="00B0F0"/>
              </a:solidFill>
              <a:ln w="9525">
                <a:solidFill>
                  <a:schemeClr val="accent5"/>
                </a:solidFill>
              </a:ln>
              <a:effectLst/>
            </c:spPr>
          </c:marker>
          <c:xVal>
            <c:numRef>
              <c:f>Table!$AD$5:$AD$12</c:f>
              <c:numCache>
                <c:formatCode>0.00</c:formatCode>
                <c:ptCount val="8"/>
                <c:pt idx="0">
                  <c:v>3.2297417249874422E-2</c:v>
                </c:pt>
                <c:pt idx="1">
                  <c:v>0.48364803625822184</c:v>
                </c:pt>
                <c:pt idx="2">
                  <c:v>-0.91004464273415442</c:v>
                </c:pt>
                <c:pt idx="3">
                  <c:v>0.2158410645214773</c:v>
                </c:pt>
                <c:pt idx="4">
                  <c:v>0.24938610599184408</c:v>
                </c:pt>
                <c:pt idx="5">
                  <c:v>0.69637113305343545</c:v>
                </c:pt>
                <c:pt idx="6">
                  <c:v>4.0783714789478925E-2</c:v>
                </c:pt>
                <c:pt idx="7">
                  <c:v>-0.52503504826848613</c:v>
                </c:pt>
              </c:numCache>
            </c:numRef>
          </c:xVal>
          <c:yVal>
            <c:numRef>
              <c:f>Table!$AE$5:$AE$12</c:f>
              <c:numCache>
                <c:formatCode>0.00</c:formatCode>
                <c:ptCount val="8"/>
                <c:pt idx="0">
                  <c:v>0.55953302843435226</c:v>
                </c:pt>
                <c:pt idx="1">
                  <c:v>0.90908456954151795</c:v>
                </c:pt>
                <c:pt idx="2">
                  <c:v>1.4611069932127605</c:v>
                </c:pt>
                <c:pt idx="3">
                  <c:v>0.29233302692320379</c:v>
                </c:pt>
                <c:pt idx="4">
                  <c:v>0.47342763141038824</c:v>
                </c:pt>
                <c:pt idx="5">
                  <c:v>-0.21918087495309965</c:v>
                </c:pt>
                <c:pt idx="6">
                  <c:v>0.82949432149514746</c:v>
                </c:pt>
                <c:pt idx="7">
                  <c:v>1.0214570415904267</c:v>
                </c:pt>
              </c:numCache>
            </c:numRef>
          </c:yVal>
          <c:smooth val="0"/>
          <c:extLst>
            <c:ext xmlns:c16="http://schemas.microsoft.com/office/drawing/2014/chart" uri="{C3380CC4-5D6E-409C-BE32-E72D297353CC}">
              <c16:uniqueId val="{0000000C-7791-493C-B6E5-F0C37C933483}"/>
            </c:ext>
          </c:extLst>
        </c:ser>
        <c:dLbls>
          <c:showLegendKey val="0"/>
          <c:showVal val="0"/>
          <c:showCatName val="0"/>
          <c:showSerName val="0"/>
          <c:showPercent val="0"/>
          <c:showBubbleSize val="0"/>
        </c:dLbls>
        <c:axId val="896963680"/>
        <c:axId val="896965648"/>
      </c:scatterChart>
      <c:valAx>
        <c:axId val="896963680"/>
        <c:scaling>
          <c:orientation val="minMax"/>
          <c:max val="2.1"/>
          <c:min val="-0.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t>From within sector productivity growth contribution to economywide labor productivity growth, annual average percentage in 2001-2018</a:t>
                </a:r>
              </a:p>
            </c:rich>
          </c:tx>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low"/>
        <c:spPr>
          <a:noFill/>
          <a:ln w="9525" cap="flat" cmpd="sng" algn="ctr">
            <a:solidFill>
              <a:schemeClr val="bg2">
                <a:lumMod val="50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96965648"/>
        <c:crosses val="autoZero"/>
        <c:crossBetween val="midCat"/>
      </c:valAx>
      <c:valAx>
        <c:axId val="896965648"/>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t>From structural change contribution to economywide labor productivity growth, annual average percentage in 2001-2018</a:t>
                </a:r>
              </a:p>
            </c:rich>
          </c:tx>
          <c:layout>
            <c:manualLayout>
              <c:xMode val="edge"/>
              <c:yMode val="edge"/>
              <c:x val="2.9983978737673563E-2"/>
              <c:y val="4.8802212034292886E-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low"/>
        <c:spPr>
          <a:noFill/>
          <a:ln w="3175" cap="flat" cmpd="sng" algn="ctr">
            <a:solidFill>
              <a:schemeClr val="bg2">
                <a:lumMod val="50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96963680"/>
        <c:crosses val="autoZero"/>
        <c:crossBetween val="midCat"/>
      </c:valAx>
      <c:spPr>
        <a:noFill/>
        <a:ln>
          <a:noFill/>
        </a:ln>
        <a:effectLst/>
      </c:spPr>
    </c:plotArea>
    <c:legend>
      <c:legendPos val="r"/>
      <c:layout>
        <c:manualLayout>
          <c:xMode val="edge"/>
          <c:yMode val="edge"/>
          <c:x val="0.76307368124725727"/>
          <c:y val="5.0858996632007165E-2"/>
          <c:w val="0.19699466785894665"/>
          <c:h val="0.2838062245246589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100"/>
              <a:t>TZA manufacturing</a:t>
            </a:r>
            <a:r>
              <a:rPr lang="en-US" sz="1100" baseline="0"/>
              <a:t> c</a:t>
            </a:r>
            <a:r>
              <a:rPr lang="en-US" sz="1100"/>
              <a:t>apital-labor ratios, $1000 constant 2010 PPP</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9.1206036745406824E-2"/>
          <c:y val="0.17171296296296296"/>
          <c:w val="0.8782384076990376"/>
          <c:h val="0.716836176727909"/>
        </c:manualLayout>
      </c:layout>
      <c:lineChart>
        <c:grouping val="standard"/>
        <c:varyColors val="0"/>
        <c:ser>
          <c:idx val="0"/>
          <c:order val="0"/>
          <c:tx>
            <c:v>Base model</c:v>
          </c:tx>
          <c:spPr>
            <a:ln w="28575" cap="rnd">
              <a:solidFill>
                <a:schemeClr val="accent1"/>
              </a:solidFill>
              <a:round/>
            </a:ln>
            <a:effectLst/>
          </c:spPr>
          <c:marker>
            <c:symbol val="none"/>
          </c:marker>
          <c:cat>
            <c:numRef>
              <c:f>'K-L figures'!$B$39:$J$39</c:f>
              <c:numCache>
                <c:formatCode>General</c:formatCode>
                <c:ptCount val="7"/>
                <c:pt idx="0">
                  <c:v>2010</c:v>
                </c:pt>
                <c:pt idx="1">
                  <c:v>2011</c:v>
                </c:pt>
                <c:pt idx="2">
                  <c:v>2012</c:v>
                </c:pt>
                <c:pt idx="3">
                  <c:v>2013</c:v>
                </c:pt>
                <c:pt idx="4">
                  <c:v>2014</c:v>
                </c:pt>
                <c:pt idx="5">
                  <c:v>2015</c:v>
                </c:pt>
                <c:pt idx="6">
                  <c:v>2016</c:v>
                </c:pt>
              </c:numCache>
              <c:extLst/>
            </c:numRef>
          </c:cat>
          <c:val>
            <c:numRef>
              <c:f>'K-L figures'!$B$40:$J$40</c:f>
              <c:numCache>
                <c:formatCode>#,##0.0_);\(#,##0.0\)</c:formatCode>
                <c:ptCount val="7"/>
                <c:pt idx="0">
                  <c:v>39.393765477444276</c:v>
                </c:pt>
                <c:pt idx="1">
                  <c:v>40.220584017475325</c:v>
                </c:pt>
                <c:pt idx="2">
                  <c:v>35.352366540547081</c:v>
                </c:pt>
                <c:pt idx="3">
                  <c:v>53.41492916391698</c:v>
                </c:pt>
                <c:pt idx="4">
                  <c:v>50.634349610043245</c:v>
                </c:pt>
                <c:pt idx="5">
                  <c:v>47.853770056169502</c:v>
                </c:pt>
                <c:pt idx="6">
                  <c:v>54.599849744981377</c:v>
                </c:pt>
              </c:numCache>
              <c:extLst/>
            </c:numRef>
          </c:val>
          <c:smooth val="0"/>
          <c:extLst>
            <c:ext xmlns:c16="http://schemas.microsoft.com/office/drawing/2014/chart" uri="{C3380CC4-5D6E-409C-BE32-E72D297353CC}">
              <c16:uniqueId val="{00000000-E36E-4A42-B9EC-80B8E05D5783}"/>
            </c:ext>
          </c:extLst>
        </c:ser>
        <c:ser>
          <c:idx val="1"/>
          <c:order val="1"/>
          <c:tx>
            <c:v>Robustness test</c:v>
          </c:tx>
          <c:spPr>
            <a:ln w="28575" cap="rnd">
              <a:solidFill>
                <a:schemeClr val="accent2"/>
              </a:solidFill>
              <a:prstDash val="sysDash"/>
              <a:round/>
            </a:ln>
            <a:effectLst/>
          </c:spPr>
          <c:marker>
            <c:symbol val="none"/>
          </c:marker>
          <c:cat>
            <c:numRef>
              <c:f>'K-L figures'!$B$39:$J$39</c:f>
              <c:numCache>
                <c:formatCode>General</c:formatCode>
                <c:ptCount val="7"/>
                <c:pt idx="0">
                  <c:v>2010</c:v>
                </c:pt>
                <c:pt idx="1">
                  <c:v>2011</c:v>
                </c:pt>
                <c:pt idx="2">
                  <c:v>2012</c:v>
                </c:pt>
                <c:pt idx="3">
                  <c:v>2013</c:v>
                </c:pt>
                <c:pt idx="4">
                  <c:v>2014</c:v>
                </c:pt>
                <c:pt idx="5">
                  <c:v>2015</c:v>
                </c:pt>
                <c:pt idx="6">
                  <c:v>2016</c:v>
                </c:pt>
              </c:numCache>
              <c:extLst/>
            </c:numRef>
          </c:cat>
          <c:val>
            <c:numRef>
              <c:f>'K-L figures'!$B$41:$J$41</c:f>
              <c:numCache>
                <c:formatCode>#,##0.0_);\(#,##0.0\)</c:formatCode>
                <c:ptCount val="7"/>
                <c:pt idx="0">
                  <c:v>39.393765477444276</c:v>
                </c:pt>
                <c:pt idx="1">
                  <c:v>38.50001102493205</c:v>
                </c:pt>
                <c:pt idx="2">
                  <c:v>34.439856591362606</c:v>
                </c:pt>
                <c:pt idx="3">
                  <c:v>54.812193488140075</c:v>
                </c:pt>
                <c:pt idx="4">
                  <c:v>53.019426891409161</c:v>
                </c:pt>
                <c:pt idx="5">
                  <c:v>51.226660294678247</c:v>
                </c:pt>
                <c:pt idx="6">
                  <c:v>61.04643956578699</c:v>
                </c:pt>
              </c:numCache>
              <c:extLst/>
            </c:numRef>
          </c:val>
          <c:smooth val="0"/>
          <c:extLst>
            <c:ext xmlns:c16="http://schemas.microsoft.com/office/drawing/2014/chart" uri="{C3380CC4-5D6E-409C-BE32-E72D297353CC}">
              <c16:uniqueId val="{00000001-E36E-4A42-B9EC-80B8E05D5783}"/>
            </c:ext>
          </c:extLst>
        </c:ser>
        <c:dLbls>
          <c:showLegendKey val="0"/>
          <c:showVal val="0"/>
          <c:showCatName val="0"/>
          <c:showSerName val="0"/>
          <c:showPercent val="0"/>
          <c:showBubbleSize val="0"/>
        </c:dLbls>
        <c:smooth val="0"/>
        <c:axId val="824918440"/>
        <c:axId val="824924672"/>
      </c:lineChart>
      <c:catAx>
        <c:axId val="824918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24924672"/>
        <c:crosses val="autoZero"/>
        <c:auto val="1"/>
        <c:lblAlgn val="ctr"/>
        <c:lblOffset val="100"/>
        <c:noMultiLvlLbl val="0"/>
      </c:catAx>
      <c:valAx>
        <c:axId val="824924672"/>
        <c:scaling>
          <c:orientation val="minMax"/>
        </c:scaling>
        <c:delete val="0"/>
        <c:axPos val="l"/>
        <c:majorGridlines>
          <c:spPr>
            <a:ln w="9525" cap="flat" cmpd="sng" algn="ctr">
              <a:solidFill>
                <a:schemeClr val="tx1">
                  <a:lumMod val="15000"/>
                  <a:lumOff val="85000"/>
                </a:schemeClr>
              </a:solidFill>
              <a:round/>
            </a:ln>
            <a:effectLst/>
          </c:spPr>
        </c:majorGridlines>
        <c:numFmt formatCode="#,##0.0_);\(#,##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24918440"/>
        <c:crosses val="autoZero"/>
        <c:crossBetween val="between"/>
      </c:valAx>
      <c:spPr>
        <a:noFill/>
        <a:ln>
          <a:noFill/>
        </a:ln>
        <a:effectLst/>
      </c:spPr>
    </c:plotArea>
    <c:legend>
      <c:legendPos val="b"/>
      <c:layout>
        <c:manualLayout>
          <c:xMode val="edge"/>
          <c:yMode val="edge"/>
          <c:x val="0.47653881301403295"/>
          <c:y val="0.76909667541557303"/>
          <c:w val="0.5195241791119512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100"/>
              <a:t>ETH manufacturing</a:t>
            </a:r>
            <a:r>
              <a:rPr lang="en-US" sz="1100" baseline="0"/>
              <a:t> c</a:t>
            </a:r>
            <a:r>
              <a:rPr lang="en-US" sz="1100"/>
              <a:t>apital-labor ratios, $1000 constant 2010 PPP</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9.1206036745406824E-2"/>
          <c:y val="0.17171296296296296"/>
          <c:w val="0.8782384076990376"/>
          <c:h val="0.716836176727909"/>
        </c:manualLayout>
      </c:layout>
      <c:lineChart>
        <c:grouping val="standard"/>
        <c:varyColors val="0"/>
        <c:ser>
          <c:idx val="0"/>
          <c:order val="0"/>
          <c:tx>
            <c:v>Base model</c:v>
          </c:tx>
          <c:spPr>
            <a:ln w="28575" cap="rnd">
              <a:solidFill>
                <a:schemeClr val="accent1"/>
              </a:solidFill>
              <a:round/>
            </a:ln>
            <a:effectLst/>
          </c:spPr>
          <c:marker>
            <c:symbol val="none"/>
          </c:marker>
          <c:cat>
            <c:numRef>
              <c:f>'K-L figures'!$B$43:$S$43</c:f>
              <c:numCache>
                <c:formatCode>General</c:formatCode>
                <c:ptCount val="8"/>
                <c:pt idx="0">
                  <c:v>2010</c:v>
                </c:pt>
                <c:pt idx="1">
                  <c:v>2011</c:v>
                </c:pt>
                <c:pt idx="2">
                  <c:v>2012</c:v>
                </c:pt>
                <c:pt idx="3">
                  <c:v>2013</c:v>
                </c:pt>
                <c:pt idx="4">
                  <c:v>2014</c:v>
                </c:pt>
                <c:pt idx="5">
                  <c:v>2015</c:v>
                </c:pt>
                <c:pt idx="6">
                  <c:v>2016</c:v>
                </c:pt>
                <c:pt idx="7">
                  <c:v>2017</c:v>
                </c:pt>
              </c:numCache>
              <c:extLst/>
            </c:numRef>
          </c:cat>
          <c:val>
            <c:numRef>
              <c:f>'K-L figures'!$B$44:$S$44</c:f>
              <c:numCache>
                <c:formatCode>#,##0.0_);\(#,##0.0\)</c:formatCode>
                <c:ptCount val="8"/>
                <c:pt idx="0">
                  <c:v>19.210732767629349</c:v>
                </c:pt>
                <c:pt idx="1">
                  <c:v>18.240600442362158</c:v>
                </c:pt>
                <c:pt idx="2">
                  <c:v>17.742260229207439</c:v>
                </c:pt>
                <c:pt idx="3">
                  <c:v>19.116779897195766</c:v>
                </c:pt>
                <c:pt idx="4">
                  <c:v>19.327977942637691</c:v>
                </c:pt>
                <c:pt idx="5">
                  <c:v>23.291567650423122</c:v>
                </c:pt>
                <c:pt idx="6">
                  <c:v>25.801251758900271</c:v>
                </c:pt>
                <c:pt idx="7">
                  <c:v>28.485745954291531</c:v>
                </c:pt>
              </c:numCache>
              <c:extLst/>
            </c:numRef>
          </c:val>
          <c:smooth val="0"/>
          <c:extLst>
            <c:ext xmlns:c16="http://schemas.microsoft.com/office/drawing/2014/chart" uri="{C3380CC4-5D6E-409C-BE32-E72D297353CC}">
              <c16:uniqueId val="{00000000-2C45-4C1B-8A9E-4861C442C6E4}"/>
            </c:ext>
          </c:extLst>
        </c:ser>
        <c:ser>
          <c:idx val="1"/>
          <c:order val="1"/>
          <c:tx>
            <c:v>Robustness test</c:v>
          </c:tx>
          <c:spPr>
            <a:ln w="28575" cap="rnd">
              <a:solidFill>
                <a:schemeClr val="accent2"/>
              </a:solidFill>
              <a:prstDash val="sysDash"/>
              <a:round/>
            </a:ln>
            <a:effectLst/>
          </c:spPr>
          <c:marker>
            <c:symbol val="none"/>
          </c:marker>
          <c:cat>
            <c:numRef>
              <c:f>'K-L figures'!$B$43:$S$43</c:f>
              <c:numCache>
                <c:formatCode>General</c:formatCode>
                <c:ptCount val="8"/>
                <c:pt idx="0">
                  <c:v>2010</c:v>
                </c:pt>
                <c:pt idx="1">
                  <c:v>2011</c:v>
                </c:pt>
                <c:pt idx="2">
                  <c:v>2012</c:v>
                </c:pt>
                <c:pt idx="3">
                  <c:v>2013</c:v>
                </c:pt>
                <c:pt idx="4">
                  <c:v>2014</c:v>
                </c:pt>
                <c:pt idx="5">
                  <c:v>2015</c:v>
                </c:pt>
                <c:pt idx="6">
                  <c:v>2016</c:v>
                </c:pt>
                <c:pt idx="7">
                  <c:v>2017</c:v>
                </c:pt>
              </c:numCache>
              <c:extLst/>
            </c:numRef>
          </c:cat>
          <c:val>
            <c:numRef>
              <c:f>'K-L figures'!$B$45:$S$45</c:f>
              <c:numCache>
                <c:formatCode>#,##0.0_);\(#,##0.0\)</c:formatCode>
                <c:ptCount val="8"/>
                <c:pt idx="0">
                  <c:v>19.210732767629352</c:v>
                </c:pt>
                <c:pt idx="1">
                  <c:v>17.8750701651174</c:v>
                </c:pt>
                <c:pt idx="2">
                  <c:v>19.299196694140097</c:v>
                </c:pt>
                <c:pt idx="3">
                  <c:v>22.202313665477355</c:v>
                </c:pt>
                <c:pt idx="4">
                  <c:v>22.137756365306256</c:v>
                </c:pt>
                <c:pt idx="5">
                  <c:v>28.366743870273204</c:v>
                </c:pt>
                <c:pt idx="6">
                  <c:v>33.287018267505566</c:v>
                </c:pt>
                <c:pt idx="7">
                  <c:v>36.610508944404351</c:v>
                </c:pt>
              </c:numCache>
              <c:extLst/>
            </c:numRef>
          </c:val>
          <c:smooth val="0"/>
          <c:extLst>
            <c:ext xmlns:c16="http://schemas.microsoft.com/office/drawing/2014/chart" uri="{C3380CC4-5D6E-409C-BE32-E72D297353CC}">
              <c16:uniqueId val="{00000001-2C45-4C1B-8A9E-4861C442C6E4}"/>
            </c:ext>
          </c:extLst>
        </c:ser>
        <c:dLbls>
          <c:showLegendKey val="0"/>
          <c:showVal val="0"/>
          <c:showCatName val="0"/>
          <c:showSerName val="0"/>
          <c:showPercent val="0"/>
          <c:showBubbleSize val="0"/>
        </c:dLbls>
        <c:smooth val="0"/>
        <c:axId val="824918440"/>
        <c:axId val="824924672"/>
      </c:lineChart>
      <c:catAx>
        <c:axId val="824918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24924672"/>
        <c:crosses val="autoZero"/>
        <c:auto val="1"/>
        <c:lblAlgn val="ctr"/>
        <c:lblOffset val="100"/>
        <c:noMultiLvlLbl val="0"/>
      </c:catAx>
      <c:valAx>
        <c:axId val="824924672"/>
        <c:scaling>
          <c:orientation val="minMax"/>
        </c:scaling>
        <c:delete val="0"/>
        <c:axPos val="l"/>
        <c:majorGridlines>
          <c:spPr>
            <a:ln w="9525" cap="flat" cmpd="sng" algn="ctr">
              <a:solidFill>
                <a:schemeClr val="tx1">
                  <a:lumMod val="15000"/>
                  <a:lumOff val="85000"/>
                </a:schemeClr>
              </a:solidFill>
              <a:round/>
            </a:ln>
            <a:effectLst/>
          </c:spPr>
        </c:majorGridlines>
        <c:numFmt formatCode="#,##0.0_);\(#,##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24918440"/>
        <c:crosses val="autoZero"/>
        <c:crossBetween val="between"/>
      </c:valAx>
      <c:spPr>
        <a:noFill/>
        <a:ln>
          <a:noFill/>
        </a:ln>
        <a:effectLst/>
      </c:spPr>
    </c:plotArea>
    <c:legend>
      <c:legendPos val="b"/>
      <c:layout>
        <c:manualLayout>
          <c:xMode val="edge"/>
          <c:yMode val="edge"/>
          <c:x val="0.47653881301403295"/>
          <c:y val="0.76909667541557303"/>
          <c:w val="0.5195241791119512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AABB4-4D25-46DE-A84E-7B3673D18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9226</Words>
  <Characters>52591</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Mia (IFPRI)</dc:creator>
  <cp:keywords/>
  <dc:description/>
  <cp:lastModifiedBy>McMillan, Margaret</cp:lastModifiedBy>
  <cp:revision>2</cp:revision>
  <cp:lastPrinted>2022-06-13T18:12:00Z</cp:lastPrinted>
  <dcterms:created xsi:type="dcterms:W3CDTF">2022-08-31T15:05:00Z</dcterms:created>
  <dcterms:modified xsi:type="dcterms:W3CDTF">2022-08-31T15:05:00Z</dcterms:modified>
</cp:coreProperties>
</file>