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774" w:rsidRDefault="003F7774" w:rsidP="003F7774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Appendix 1</w:t>
      </w:r>
      <w:r w:rsidRPr="008D346A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Demographic parameters referenced in several bibliographic sources, relative to the Yellow-legged Gull or other white-headed </w:t>
      </w:r>
      <w:r>
        <w:rPr>
          <w:rFonts w:ascii="Times New Roman" w:hAnsi="Times New Roman" w:cs="Times New Roman"/>
          <w:i/>
          <w:color w:val="000000" w:themeColor="text1"/>
          <w:szCs w:val="24"/>
        </w:rPr>
        <w:t xml:space="preserve">Larus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gulls, used to roughly assess the observed biological range within which these parameters can vary as compared to the ones seen in our survey colonies in Gipuzkoa. </w:t>
      </w:r>
    </w:p>
    <w:p w:rsidR="003F7774" w:rsidRDefault="003F7774" w:rsidP="003F7774">
      <w:pPr>
        <w:spacing w:after="0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TableGrid"/>
        <w:tblW w:w="8852" w:type="dxa"/>
        <w:jc w:val="center"/>
        <w:tblLook w:val="04A0" w:firstRow="1" w:lastRow="0" w:firstColumn="1" w:lastColumn="0" w:noHBand="0" w:noVBand="1"/>
      </w:tblPr>
      <w:tblGrid>
        <w:gridCol w:w="2369"/>
        <w:gridCol w:w="1916"/>
        <w:gridCol w:w="1843"/>
        <w:gridCol w:w="2724"/>
      </w:tblGrid>
      <w:tr w:rsidR="003F7774" w:rsidTr="00C02E90">
        <w:trPr>
          <w:trHeight w:val="56"/>
          <w:jc w:val="center"/>
        </w:trPr>
        <w:tc>
          <w:tcPr>
            <w:tcW w:w="2369" w:type="dxa"/>
          </w:tcPr>
          <w:p w:rsidR="003F7774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Variable</w:t>
            </w:r>
          </w:p>
        </w:tc>
        <w:tc>
          <w:tcPr>
            <w:tcW w:w="1916" w:type="dxa"/>
          </w:tcPr>
          <w:p w:rsidR="003F7774" w:rsidRDefault="003F7774" w:rsidP="00C02E90">
            <w:pPr>
              <w:tabs>
                <w:tab w:val="center" w:pos="1326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This work</w:t>
            </w:r>
          </w:p>
        </w:tc>
        <w:tc>
          <w:tcPr>
            <w:tcW w:w="1843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Other studies</w:t>
            </w:r>
          </w:p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(range)</w:t>
            </w:r>
          </w:p>
        </w:tc>
        <w:tc>
          <w:tcPr>
            <w:tcW w:w="2724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References</w:t>
            </w:r>
          </w:p>
        </w:tc>
      </w:tr>
      <w:tr w:rsidR="003F7774" w:rsidRPr="006B1E93" w:rsidTr="00C02E90">
        <w:trPr>
          <w:jc w:val="center"/>
        </w:trPr>
        <w:tc>
          <w:tcPr>
            <w:tcW w:w="2369" w:type="dxa"/>
          </w:tcPr>
          <w:p w:rsidR="003F7774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Clutch size</w:t>
            </w:r>
          </w:p>
        </w:tc>
        <w:tc>
          <w:tcPr>
            <w:tcW w:w="1916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2.78</w:t>
            </w:r>
          </w:p>
        </w:tc>
        <w:tc>
          <w:tcPr>
            <w:tcW w:w="1843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2.14-2.90</w:t>
            </w:r>
          </w:p>
        </w:tc>
        <w:tc>
          <w:tcPr>
            <w:tcW w:w="2724" w:type="dxa"/>
          </w:tcPr>
          <w:p w:rsidR="003F7774" w:rsidRPr="00F066DA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6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Bosh &amp; Sol 1998, Baaloudj et al. 2014, </w:t>
            </w:r>
            <w:r w:rsidRPr="00F06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Hammouda et al. 2016.</w:t>
            </w:r>
          </w:p>
        </w:tc>
      </w:tr>
      <w:tr w:rsidR="003F7774" w:rsidTr="00C02E90">
        <w:trPr>
          <w:jc w:val="center"/>
        </w:trPr>
        <w:tc>
          <w:tcPr>
            <w:tcW w:w="2369" w:type="dxa"/>
          </w:tcPr>
          <w:p w:rsidR="003F7774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Pre-fledging survival</w:t>
            </w:r>
          </w:p>
        </w:tc>
        <w:tc>
          <w:tcPr>
            <w:tcW w:w="1916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0.65</w:t>
            </w:r>
          </w:p>
        </w:tc>
        <w:tc>
          <w:tcPr>
            <w:tcW w:w="1843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0.51-0.79</w:t>
            </w:r>
          </w:p>
        </w:tc>
        <w:tc>
          <w:tcPr>
            <w:tcW w:w="2724" w:type="dxa"/>
          </w:tcPr>
          <w:p w:rsidR="003F7774" w:rsidRPr="00F066DA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06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Bosh &amp; Sol 1998, Baaloudj et al. 2014.</w:t>
            </w:r>
          </w:p>
        </w:tc>
      </w:tr>
      <w:tr w:rsidR="003F7774" w:rsidRPr="006B1E93" w:rsidTr="00C02E90">
        <w:trPr>
          <w:jc w:val="center"/>
        </w:trPr>
        <w:tc>
          <w:tcPr>
            <w:tcW w:w="2369" w:type="dxa"/>
          </w:tcPr>
          <w:p w:rsidR="003F7774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1Y survival</w:t>
            </w:r>
          </w:p>
        </w:tc>
        <w:tc>
          <w:tcPr>
            <w:tcW w:w="1916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0.38</w:t>
            </w:r>
          </w:p>
        </w:tc>
        <w:tc>
          <w:tcPr>
            <w:tcW w:w="1843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0.28-0.83</w:t>
            </w:r>
          </w:p>
        </w:tc>
        <w:tc>
          <w:tcPr>
            <w:tcW w:w="2724" w:type="dxa"/>
          </w:tcPr>
          <w:p w:rsidR="003F7774" w:rsidRPr="00F066DA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  <w:lang w:val="es-ES"/>
              </w:rPr>
            </w:pPr>
            <w:r w:rsidRPr="00F06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Chabrzyk &amp; Coulson 1976, Juez et al. 2015 Bosman et al. 2016.</w:t>
            </w:r>
          </w:p>
        </w:tc>
      </w:tr>
      <w:tr w:rsidR="003F7774" w:rsidTr="00C02E90">
        <w:trPr>
          <w:jc w:val="center"/>
        </w:trPr>
        <w:tc>
          <w:tcPr>
            <w:tcW w:w="2369" w:type="dxa"/>
          </w:tcPr>
          <w:p w:rsidR="003F7774" w:rsidRDefault="003F7774" w:rsidP="00C02E90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2Y-3Y survival</w:t>
            </w:r>
          </w:p>
        </w:tc>
        <w:tc>
          <w:tcPr>
            <w:tcW w:w="1916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0.82</w:t>
            </w:r>
          </w:p>
        </w:tc>
        <w:tc>
          <w:tcPr>
            <w:tcW w:w="1843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0.63-0.80</w:t>
            </w:r>
          </w:p>
        </w:tc>
        <w:tc>
          <w:tcPr>
            <w:tcW w:w="2724" w:type="dxa"/>
          </w:tcPr>
          <w:p w:rsidR="003F7774" w:rsidRPr="00F066DA" w:rsidRDefault="003F7774" w:rsidP="00C02E90">
            <w:pPr>
              <w:ind w:left="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6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Chabrzyk &amp; Coulson 1976, Reid 1988, Bosman et al. 2016 Kralj et al. 2018.</w:t>
            </w:r>
          </w:p>
        </w:tc>
      </w:tr>
      <w:tr w:rsidR="003F7774" w:rsidTr="00C02E90">
        <w:trPr>
          <w:jc w:val="center"/>
        </w:trPr>
        <w:tc>
          <w:tcPr>
            <w:tcW w:w="2369" w:type="dxa"/>
          </w:tcPr>
          <w:p w:rsidR="003F7774" w:rsidRPr="00D715A6" w:rsidRDefault="003F7774" w:rsidP="00C02E90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s-ES" w:eastAsia="es-ES"/>
              </w:rPr>
            </w:pPr>
            <w:r w:rsidRPr="00D715A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s-ES" w:eastAsia="es-ES"/>
              </w:rPr>
              <w:t>≥4Y survival</w:t>
            </w:r>
          </w:p>
        </w:tc>
        <w:tc>
          <w:tcPr>
            <w:tcW w:w="1916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0.82</w:t>
            </w:r>
          </w:p>
        </w:tc>
        <w:tc>
          <w:tcPr>
            <w:tcW w:w="1843" w:type="dxa"/>
          </w:tcPr>
          <w:p w:rsidR="003F7774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0.59-0.94</w:t>
            </w:r>
          </w:p>
        </w:tc>
        <w:tc>
          <w:tcPr>
            <w:tcW w:w="2724" w:type="dxa"/>
          </w:tcPr>
          <w:p w:rsidR="003F7774" w:rsidRPr="00F066DA" w:rsidRDefault="003F7774" w:rsidP="00C02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6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Chabrzyk &amp; Coulson, 1976, Coulson &amp; Butterfield 1985, Camphuysen &amp; Gronert 2012, Peter &amp; Vaughan 2013, Bosman et al. 2016, Kralj et al. 2018.</w:t>
            </w:r>
          </w:p>
        </w:tc>
      </w:tr>
    </w:tbl>
    <w:p w:rsidR="003F7774" w:rsidRDefault="003F7774" w:rsidP="003F7774">
      <w:pPr>
        <w:spacing w:after="0"/>
        <w:rPr>
          <w:rFonts w:ascii="Times New Roman" w:hAnsi="Times New Roman" w:cs="Times New Roman"/>
          <w:color w:val="000000" w:themeColor="text1"/>
          <w:szCs w:val="24"/>
        </w:rPr>
      </w:pPr>
    </w:p>
    <w:p w:rsidR="003F7774" w:rsidRDefault="003F7774" w:rsidP="003F7774">
      <w:pPr>
        <w:jc w:val="left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:rsidR="003F7774" w:rsidRDefault="003F7774" w:rsidP="003F7774">
      <w:pPr>
        <w:spacing w:after="0" w:line="48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lastRenderedPageBreak/>
        <w:t>Appendix 2</w:t>
      </w:r>
      <w:r w:rsidRPr="008D346A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Deterministic lambda estimation when population parameters (breeding, survival) changed according to different scenarios (for details see also Table 3). </w:t>
      </w:r>
    </w:p>
    <w:p w:rsidR="003F7774" w:rsidRDefault="003F7774" w:rsidP="003F7774">
      <w:pPr>
        <w:spacing w:after="0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9"/>
        <w:gridCol w:w="720"/>
        <w:gridCol w:w="720"/>
        <w:gridCol w:w="720"/>
        <w:gridCol w:w="720"/>
        <w:gridCol w:w="720"/>
        <w:gridCol w:w="720"/>
        <w:gridCol w:w="720"/>
        <w:gridCol w:w="721"/>
        <w:gridCol w:w="721"/>
        <w:gridCol w:w="721"/>
        <w:gridCol w:w="721"/>
      </w:tblGrid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Decrease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0.988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0.961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0.955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0.949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0.944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0.905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0.894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0.883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-15%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0.953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0.872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0.855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0.839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0.824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0.878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0.804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0.785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0.766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-25%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0.921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0.781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0.754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0.709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-30%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0.736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0.704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0.676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0.653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-35%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0.922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0.959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0.922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0.786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0.893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0.654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0.623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0.599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-40%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0.644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0.603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0.571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0.546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-45%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0.898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0.898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0.724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0.868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0.598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0.519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0.493</w:t>
            </w:r>
          </w:p>
        </w:tc>
      </w:tr>
      <w:tr w:rsidR="003F7774" w:rsidRPr="000B52EB" w:rsidTr="00C02E90">
        <w:trPr>
          <w:jc w:val="center"/>
        </w:trPr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-50%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0.887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0.693</w:t>
            </w:r>
          </w:p>
        </w:tc>
        <w:tc>
          <w:tcPr>
            <w:tcW w:w="720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0.551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0.502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0.467</w:t>
            </w:r>
          </w:p>
        </w:tc>
        <w:tc>
          <w:tcPr>
            <w:tcW w:w="721" w:type="dxa"/>
          </w:tcPr>
          <w:p w:rsidR="003F7774" w:rsidRPr="000B52EB" w:rsidRDefault="003F7774" w:rsidP="00C0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5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0.443</w:t>
            </w:r>
          </w:p>
        </w:tc>
      </w:tr>
    </w:tbl>
    <w:p w:rsidR="003F7774" w:rsidRDefault="003F7774" w:rsidP="003F7774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60E5" w:rsidRDefault="003F7774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74"/>
    <w:rsid w:val="003F7774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E992D-DD84-4C8B-8622-A265EBF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Estilo Sergio"/>
    <w:qFormat/>
    <w:rsid w:val="003F7774"/>
    <w:pPr>
      <w:spacing w:line="360" w:lineRule="auto"/>
      <w:jc w:val="both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77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2022-09-23T09:45:00Z</dcterms:created>
  <dcterms:modified xsi:type="dcterms:W3CDTF">2022-09-23T09:45:00Z</dcterms:modified>
</cp:coreProperties>
</file>