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30D6" w:rsidRDefault="00FF30D6" w:rsidP="00FF30D6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sz w:val="26"/>
          <w:szCs w:val="26"/>
        </w:rPr>
      </w:pPr>
      <w:r w:rsidRPr="00C954DC">
        <w:rPr>
          <w:rFonts w:ascii="Times New Roman" w:hAnsi="Times New Roman" w:cs="Times New Roman"/>
          <w:b/>
          <w:bCs/>
          <w:sz w:val="26"/>
          <w:szCs w:val="26"/>
        </w:rPr>
        <w:t>List of Supporting Information</w:t>
      </w:r>
    </w:p>
    <w:p w:rsidR="00FF30D6" w:rsidRDefault="00FF30D6" w:rsidP="00FF30D6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FF30D6" w:rsidRDefault="00FF30D6" w:rsidP="00FF30D6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954DC">
        <w:rPr>
          <w:rFonts w:ascii="Times New Roman" w:hAnsi="Times New Roman" w:cs="Times New Roman"/>
          <w:b/>
          <w:bCs/>
          <w:sz w:val="24"/>
          <w:szCs w:val="24"/>
        </w:rPr>
        <w:t>Supplementary Figures</w:t>
      </w:r>
    </w:p>
    <w:p w:rsidR="00FF30D6" w:rsidRPr="00F747BE" w:rsidRDefault="00FF30D6" w:rsidP="00FF30D6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sz w:val="22"/>
        </w:rPr>
      </w:pPr>
      <w:r w:rsidRPr="00F747BE">
        <w:rPr>
          <w:rFonts w:ascii="Times New Roman" w:eastAsia="AdvOT863180fb" w:hAnsi="Times New Roman" w:cs="Times New Roman"/>
          <w:b/>
          <w:sz w:val="22"/>
        </w:rPr>
        <w:t xml:space="preserve">Figure S1 </w:t>
      </w:r>
      <w:r w:rsidRPr="00F747BE">
        <w:rPr>
          <w:rFonts w:ascii="Times New Roman" w:hAnsi="Times New Roman" w:cs="Times New Roman"/>
          <w:sz w:val="22"/>
        </w:rPr>
        <w:t xml:space="preserve">The flowchart of this study. </w:t>
      </w:r>
    </w:p>
    <w:p w:rsidR="00FF30D6" w:rsidRPr="00F747BE" w:rsidRDefault="00FF30D6" w:rsidP="00FF30D6">
      <w:pPr>
        <w:adjustRightInd w:val="0"/>
        <w:snapToGrid w:val="0"/>
        <w:spacing w:line="360" w:lineRule="auto"/>
        <w:rPr>
          <w:rFonts w:ascii="Times New Roman" w:hAnsi="Times New Roman" w:cs="Times New Roman"/>
          <w:sz w:val="22"/>
        </w:rPr>
      </w:pPr>
      <w:r w:rsidRPr="00F747BE">
        <w:rPr>
          <w:rFonts w:ascii="Times New Roman" w:eastAsia="AdvOT863180fb" w:hAnsi="Times New Roman" w:cs="Times New Roman"/>
          <w:b/>
          <w:sz w:val="22"/>
        </w:rPr>
        <w:t xml:space="preserve">Figure S2 </w:t>
      </w:r>
      <w:r w:rsidRPr="00F747BE">
        <w:rPr>
          <w:rFonts w:ascii="Times New Roman" w:hAnsi="Times New Roman" w:cs="Times New Roman"/>
          <w:sz w:val="22"/>
        </w:rPr>
        <w:t xml:space="preserve">Clinicopathological characteristics of cpS groups constructed based on GSE62254/ACRG cohort. </w:t>
      </w:r>
      <w:r w:rsidRPr="00F747BE">
        <w:rPr>
          <w:rFonts w:ascii="Times New Roman" w:hAnsi="Times New Roman" w:cs="Times New Roman"/>
          <w:b/>
          <w:bCs/>
          <w:sz w:val="22"/>
        </w:rPr>
        <w:t>A.</w:t>
      </w:r>
      <w:r w:rsidRPr="00F747BE">
        <w:rPr>
          <w:rFonts w:ascii="Times New Roman" w:hAnsi="Times New Roman" w:cs="Times New Roman"/>
          <w:sz w:val="22"/>
        </w:rPr>
        <w:t xml:space="preserve"> The heatmap showed the differences in clinicopathological features and expression levels of CRGs between two cpS groups. </w:t>
      </w:r>
      <w:r w:rsidRPr="00F747BE">
        <w:rPr>
          <w:rFonts w:ascii="Times New Roman" w:hAnsi="Times New Roman" w:cs="Times New Roman"/>
          <w:b/>
          <w:bCs/>
          <w:sz w:val="22"/>
        </w:rPr>
        <w:t>B.</w:t>
      </w:r>
      <w:r w:rsidRPr="00F747BE">
        <w:rPr>
          <w:rFonts w:ascii="Times New Roman" w:hAnsi="Times New Roman" w:cs="Times New Roman"/>
          <w:sz w:val="22"/>
        </w:rPr>
        <w:t xml:space="preserve"> PCA for the expression profiles of two cpS groups. </w:t>
      </w:r>
      <w:r w:rsidRPr="00F747BE">
        <w:rPr>
          <w:rFonts w:ascii="Times New Roman" w:hAnsi="Times New Roman" w:cs="Times New Roman"/>
          <w:b/>
          <w:bCs/>
          <w:sz w:val="22"/>
        </w:rPr>
        <w:t>C.</w:t>
      </w:r>
      <w:r w:rsidRPr="00F747BE">
        <w:rPr>
          <w:rFonts w:ascii="Times New Roman" w:hAnsi="Times New Roman" w:cs="Times New Roman"/>
          <w:sz w:val="22"/>
        </w:rPr>
        <w:t xml:space="preserve"> The comparison of different clinicopathological features between two cpS groups. D. Survival analysis showed OS time of two cpS groups. cpS, cuproptosisScore; PCA, principal</w:t>
      </w:r>
      <w:r w:rsidRPr="00F747BE">
        <w:rPr>
          <w:rFonts w:ascii="Times New Roman" w:hAnsi="Times New Roman" w:cs="Times New Roman" w:hint="eastAsia"/>
          <w:sz w:val="22"/>
        </w:rPr>
        <w:t xml:space="preserve"> </w:t>
      </w:r>
      <w:r w:rsidRPr="00F747BE">
        <w:rPr>
          <w:rFonts w:ascii="Times New Roman" w:hAnsi="Times New Roman" w:cs="Times New Roman"/>
          <w:sz w:val="22"/>
        </w:rPr>
        <w:t>component analysis; OS, overall survival.</w:t>
      </w:r>
    </w:p>
    <w:p w:rsidR="00FF30D6" w:rsidRPr="00F747BE" w:rsidRDefault="00FF30D6" w:rsidP="00FF30D6">
      <w:pPr>
        <w:adjustRightInd w:val="0"/>
        <w:snapToGrid w:val="0"/>
        <w:spacing w:line="360" w:lineRule="auto"/>
        <w:rPr>
          <w:rFonts w:ascii="Times New Roman" w:eastAsiaTheme="minorHAnsi" w:hAnsi="Times New Roman" w:cs="Times New Roman"/>
          <w:sz w:val="22"/>
        </w:rPr>
      </w:pPr>
      <w:r w:rsidRPr="00F747BE">
        <w:rPr>
          <w:rFonts w:ascii="Times New Roman" w:hAnsi="Times New Roman" w:cs="Times New Roman"/>
          <w:b/>
          <w:bCs/>
          <w:sz w:val="22"/>
        </w:rPr>
        <w:t xml:space="preserve">Figure S3 </w:t>
      </w:r>
      <w:r w:rsidRPr="00F747BE">
        <w:rPr>
          <w:rFonts w:ascii="Times New Roman" w:hAnsi="Times New Roman" w:cs="Times New Roman"/>
          <w:sz w:val="22"/>
        </w:rPr>
        <w:t xml:space="preserve">The difference of biological processes between two </w:t>
      </w:r>
      <w:r w:rsidRPr="00F747BE">
        <w:rPr>
          <w:rFonts w:ascii="Times New Roman" w:hAnsi="Times New Roman" w:cs="Times New Roman"/>
          <w:color w:val="000000" w:themeColor="text1"/>
          <w:sz w:val="22"/>
        </w:rPr>
        <w:t xml:space="preserve">cuproptosisScore groups. </w:t>
      </w:r>
      <w:r w:rsidRPr="00F747BE">
        <w:rPr>
          <w:rFonts w:ascii="Times New Roman" w:hAnsi="Times New Roman" w:cs="Times New Roman"/>
          <w:sz w:val="22"/>
        </w:rPr>
        <w:t xml:space="preserve">Stromal activation pathways include EMT1, EMT2, EMT3, Angiogenesis, and Pan-F-TBRS. Immune activation pathways include CD8 T effector, Antigen processing machinery, and immune checkpoint. EMT, </w:t>
      </w:r>
      <w:r w:rsidRPr="00F747BE">
        <w:rPr>
          <w:rFonts w:ascii="Times New Roman" w:eastAsiaTheme="minorHAnsi" w:hAnsi="Times New Roman" w:cs="Times New Roman"/>
          <w:sz w:val="22"/>
        </w:rPr>
        <w:t xml:space="preserve">epithelial mesenchymal transition; </w:t>
      </w:r>
      <w:r w:rsidRPr="00F747BE">
        <w:rPr>
          <w:rFonts w:ascii="Times New Roman" w:hAnsi="Times New Roman" w:cs="Times New Roman"/>
          <w:sz w:val="22"/>
        </w:rPr>
        <w:t>Pan-F-TBRS,</w:t>
      </w:r>
      <w:r w:rsidRPr="00F747BE">
        <w:rPr>
          <w:rFonts w:ascii="Times New Roman" w:eastAsiaTheme="minorHAnsi" w:hAnsi="Times New Roman" w:cs="Times New Roman"/>
          <w:sz w:val="22"/>
        </w:rPr>
        <w:t xml:space="preserve"> pan-fibroblast </w:t>
      </w:r>
      <w:r w:rsidRPr="00F747BE">
        <w:rPr>
          <w:rFonts w:ascii="Times New Roman" w:hAnsi="Times New Roman" w:cs="Times New Roman"/>
          <w:sz w:val="22"/>
        </w:rPr>
        <w:t>TGFβ</w:t>
      </w:r>
      <w:r w:rsidRPr="00F747BE">
        <w:rPr>
          <w:rFonts w:ascii="Times New Roman" w:eastAsiaTheme="minorHAnsi" w:hAnsi="Times New Roman" w:cs="Times New Roman"/>
          <w:sz w:val="22"/>
        </w:rPr>
        <w:t xml:space="preserve"> response signature.</w:t>
      </w:r>
    </w:p>
    <w:p w:rsidR="00FF30D6" w:rsidRPr="00F747BE" w:rsidRDefault="00FF30D6" w:rsidP="00FF30D6">
      <w:pPr>
        <w:adjustRightInd w:val="0"/>
        <w:snapToGrid w:val="0"/>
        <w:spacing w:line="360" w:lineRule="auto"/>
        <w:rPr>
          <w:rFonts w:ascii="Times New Roman" w:hAnsi="Times New Roman" w:cs="Times New Roman"/>
          <w:sz w:val="22"/>
        </w:rPr>
      </w:pPr>
      <w:r w:rsidRPr="00F747BE">
        <w:rPr>
          <w:rFonts w:ascii="Times New Roman" w:hAnsi="Times New Roman" w:cs="Times New Roman"/>
          <w:b/>
          <w:bCs/>
          <w:sz w:val="22"/>
        </w:rPr>
        <w:t xml:space="preserve">Figure S4 </w:t>
      </w:r>
      <w:r w:rsidRPr="00F747BE">
        <w:rPr>
          <w:rFonts w:ascii="Times New Roman" w:hAnsi="Times New Roman" w:cs="Times New Roman"/>
          <w:sz w:val="22"/>
        </w:rPr>
        <w:t xml:space="preserve">The comparison of </w:t>
      </w:r>
      <w:r w:rsidRPr="00F747BE">
        <w:rPr>
          <w:rFonts w:ascii="Times New Roman" w:eastAsiaTheme="minorHAnsi" w:hAnsi="Times New Roman" w:cs="Times New Roman"/>
          <w:sz w:val="22"/>
        </w:rPr>
        <w:t>semi-inhibitory concentration (IC50) of chemotherapeutic drugs</w:t>
      </w:r>
      <w:r w:rsidRPr="00F747BE">
        <w:rPr>
          <w:rFonts w:ascii="Times New Roman" w:hAnsi="Times New Roman" w:cs="Times New Roman"/>
          <w:sz w:val="22"/>
        </w:rPr>
        <w:t xml:space="preserve"> between two cpS groups.</w:t>
      </w:r>
    </w:p>
    <w:p w:rsidR="00FF30D6" w:rsidRPr="00F747BE" w:rsidRDefault="00FF30D6" w:rsidP="00FF30D6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sz w:val="22"/>
        </w:rPr>
      </w:pPr>
      <w:r w:rsidRPr="00F747BE">
        <w:rPr>
          <w:rFonts w:ascii="Times New Roman" w:hAnsi="Times New Roman" w:cs="Times New Roman"/>
          <w:b/>
          <w:bCs/>
          <w:sz w:val="22"/>
        </w:rPr>
        <w:t xml:space="preserve">Figure S5 </w:t>
      </w:r>
      <w:r w:rsidRPr="00F747BE">
        <w:rPr>
          <w:rFonts w:ascii="Times New Roman" w:hAnsi="Times New Roman" w:cs="Times New Roman"/>
          <w:sz w:val="22"/>
        </w:rPr>
        <w:t>The activation status of biological pathways in two geneScore groups by GSEA analysis.</w:t>
      </w:r>
    </w:p>
    <w:p w:rsidR="00FF30D6" w:rsidRPr="00F747BE" w:rsidRDefault="00FF30D6" w:rsidP="00FF30D6">
      <w:pPr>
        <w:adjustRightInd w:val="0"/>
        <w:snapToGrid w:val="0"/>
        <w:spacing w:line="360" w:lineRule="auto"/>
        <w:rPr>
          <w:rFonts w:ascii="Times New Roman" w:hAnsi="Times New Roman" w:cs="Times New Roman"/>
          <w:sz w:val="22"/>
        </w:rPr>
      </w:pPr>
      <w:r w:rsidRPr="00F747BE">
        <w:rPr>
          <w:rFonts w:ascii="Times New Roman" w:hAnsi="Times New Roman" w:cs="Times New Roman"/>
          <w:b/>
          <w:bCs/>
          <w:sz w:val="22"/>
        </w:rPr>
        <w:t xml:space="preserve">Figure S6 </w:t>
      </w:r>
      <w:r w:rsidRPr="00F747BE">
        <w:rPr>
          <w:rFonts w:ascii="Times New Roman" w:hAnsi="Times New Roman" w:cs="Times New Roman"/>
          <w:sz w:val="22"/>
        </w:rPr>
        <w:t xml:space="preserve">ESTIMATE analysis and cytokine- and chemokine-related signatures in ACRG cohort. </w:t>
      </w:r>
      <w:r w:rsidRPr="00F747BE">
        <w:rPr>
          <w:rFonts w:ascii="Times New Roman" w:hAnsi="Times New Roman" w:cs="Times New Roman"/>
          <w:b/>
          <w:bCs/>
          <w:sz w:val="22"/>
        </w:rPr>
        <w:t>A.</w:t>
      </w:r>
      <w:r w:rsidRPr="00F747BE">
        <w:rPr>
          <w:rFonts w:ascii="Times New Roman" w:hAnsi="Times New Roman" w:cs="Times New Roman"/>
          <w:sz w:val="22"/>
        </w:rPr>
        <w:t xml:space="preserve"> </w:t>
      </w:r>
      <w:r w:rsidRPr="00F747BE">
        <w:rPr>
          <w:rFonts w:ascii="Times New Roman" w:hAnsi="Times New Roman" w:cs="Times New Roman" w:hint="eastAsia"/>
          <w:sz w:val="22"/>
        </w:rPr>
        <w:t>T</w:t>
      </w:r>
      <w:r w:rsidRPr="00F747BE">
        <w:rPr>
          <w:rFonts w:ascii="Times New Roman" w:hAnsi="Times New Roman" w:cs="Times New Roman"/>
          <w:sz w:val="22"/>
        </w:rPr>
        <w:t xml:space="preserve">he comparison of stromal, immune, and ESTIMATE score between two geneScore groups. </w:t>
      </w:r>
      <w:r w:rsidRPr="00F747BE">
        <w:rPr>
          <w:rFonts w:ascii="Times New Roman" w:hAnsi="Times New Roman" w:cs="Times New Roman"/>
          <w:b/>
          <w:bCs/>
          <w:sz w:val="22"/>
        </w:rPr>
        <w:t>B.</w:t>
      </w:r>
      <w:r w:rsidRPr="00F747BE">
        <w:rPr>
          <w:rFonts w:ascii="Times New Roman" w:hAnsi="Times New Roman" w:cs="Times New Roman"/>
          <w:sz w:val="22"/>
        </w:rPr>
        <w:t xml:space="preserve"> The expression levels of TGF</w:t>
      </w:r>
      <w:r w:rsidRPr="00F747BE">
        <w:rPr>
          <w:rFonts w:ascii="Times New Roman" w:hAnsi="Times New Roman" w:cs="Times New Roman"/>
          <w:color w:val="333333"/>
          <w:sz w:val="22"/>
          <w:shd w:val="clear" w:color="auto" w:fill="FFFFFF"/>
        </w:rPr>
        <w:t>β</w:t>
      </w:r>
      <w:r w:rsidRPr="00F747BE">
        <w:rPr>
          <w:rFonts w:ascii="Times New Roman" w:hAnsi="Times New Roman" w:cs="Times New Roman"/>
          <w:sz w:val="22"/>
        </w:rPr>
        <w:t xml:space="preserve">/EMT pathway-related genes in two geneScore groups. </w:t>
      </w:r>
      <w:r w:rsidRPr="00F747BE">
        <w:rPr>
          <w:rFonts w:ascii="Times New Roman" w:hAnsi="Times New Roman" w:cs="Times New Roman"/>
          <w:b/>
          <w:bCs/>
          <w:sz w:val="22"/>
        </w:rPr>
        <w:t>C.</w:t>
      </w:r>
      <w:r w:rsidRPr="00F747BE">
        <w:rPr>
          <w:rFonts w:ascii="Times New Roman" w:hAnsi="Times New Roman" w:cs="Times New Roman"/>
          <w:sz w:val="22"/>
        </w:rPr>
        <w:t xml:space="preserve"> The expression levels of immune activation pathway-related genes in two geneScore groups. *</w:t>
      </w:r>
      <w:r w:rsidRPr="00F747BE">
        <w:rPr>
          <w:rFonts w:ascii="Times New Roman" w:hAnsi="Times New Roman" w:cs="Times New Roman"/>
          <w:i/>
          <w:iCs/>
          <w:sz w:val="22"/>
        </w:rPr>
        <w:t>p</w:t>
      </w:r>
      <w:r w:rsidRPr="00F747BE">
        <w:rPr>
          <w:rFonts w:ascii="Times New Roman" w:hAnsi="Times New Roman" w:cs="Times New Roman"/>
          <w:sz w:val="22"/>
        </w:rPr>
        <w:t>&lt;0.05, **</w:t>
      </w:r>
      <w:r w:rsidRPr="00F747BE">
        <w:rPr>
          <w:rFonts w:ascii="Times New Roman" w:hAnsi="Times New Roman" w:cs="Times New Roman"/>
          <w:i/>
          <w:iCs/>
          <w:sz w:val="22"/>
        </w:rPr>
        <w:t>p</w:t>
      </w:r>
      <w:r w:rsidRPr="00F747BE">
        <w:rPr>
          <w:rFonts w:ascii="Times New Roman" w:hAnsi="Times New Roman" w:cs="Times New Roman"/>
          <w:sz w:val="22"/>
        </w:rPr>
        <w:t>&lt;0.01, ***</w:t>
      </w:r>
      <w:r w:rsidRPr="00F747BE">
        <w:rPr>
          <w:rFonts w:ascii="Times New Roman" w:hAnsi="Times New Roman" w:cs="Times New Roman"/>
          <w:i/>
          <w:iCs/>
          <w:sz w:val="22"/>
        </w:rPr>
        <w:t>p</w:t>
      </w:r>
      <w:r w:rsidRPr="00F747BE">
        <w:rPr>
          <w:rFonts w:ascii="Times New Roman" w:hAnsi="Times New Roman" w:cs="Times New Roman"/>
          <w:sz w:val="22"/>
        </w:rPr>
        <w:t>&lt;0.001, ns (</w:t>
      </w:r>
      <w:r w:rsidRPr="00F747BE">
        <w:rPr>
          <w:rFonts w:ascii="Times New Roman" w:hAnsi="Times New Roman" w:cs="Times New Roman"/>
          <w:i/>
          <w:iCs/>
          <w:sz w:val="22"/>
        </w:rPr>
        <w:t>p</w:t>
      </w:r>
      <w:r w:rsidRPr="00F747BE">
        <w:rPr>
          <w:rFonts w:ascii="Times New Roman" w:hAnsi="Times New Roman" w:cs="Times New Roman"/>
          <w:sz w:val="22"/>
        </w:rPr>
        <w:t>&gt;0.05).</w:t>
      </w:r>
    </w:p>
    <w:p w:rsidR="00FF30D6" w:rsidRDefault="00FF30D6" w:rsidP="00FF30D6">
      <w:pPr>
        <w:adjustRightInd w:val="0"/>
        <w:snapToGrid w:val="0"/>
        <w:spacing w:line="360" w:lineRule="auto"/>
      </w:pPr>
    </w:p>
    <w:p w:rsidR="00FF30D6" w:rsidRDefault="00FF30D6" w:rsidP="00FF30D6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954DC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Pr="00C954DC">
        <w:rPr>
          <w:rFonts w:ascii="Times New Roman" w:hAnsi="Times New Roman" w:cs="Times New Roman"/>
          <w:b/>
          <w:bCs/>
          <w:sz w:val="24"/>
          <w:szCs w:val="24"/>
        </w:rPr>
        <w:t>s</w:t>
      </w:r>
    </w:p>
    <w:p w:rsidR="00FF30D6" w:rsidRPr="00F747BE" w:rsidRDefault="00FF30D6" w:rsidP="00FF30D6">
      <w:pPr>
        <w:adjustRightInd w:val="0"/>
        <w:snapToGrid w:val="0"/>
        <w:spacing w:line="360" w:lineRule="auto"/>
        <w:rPr>
          <w:rFonts w:ascii="Times New Roman" w:hAnsi="Times New Roman" w:cs="Times New Roman"/>
          <w:sz w:val="22"/>
        </w:rPr>
      </w:pPr>
      <w:r w:rsidRPr="00F747BE">
        <w:rPr>
          <w:rFonts w:ascii="Times New Roman" w:hAnsi="Times New Roman" w:cs="Times New Roman"/>
          <w:b/>
          <w:bCs/>
          <w:sz w:val="22"/>
        </w:rPr>
        <w:t xml:space="preserve">Table S1 </w:t>
      </w:r>
      <w:r w:rsidRPr="00F747BE">
        <w:rPr>
          <w:rFonts w:ascii="Times New Roman" w:hAnsi="Times New Roman" w:cs="Times New Roman"/>
          <w:sz w:val="22"/>
        </w:rPr>
        <w:t>Basic information of datasets enrolled in this study for developing cuproptosisScore</w:t>
      </w:r>
      <w:r>
        <w:rPr>
          <w:rFonts w:ascii="Times New Roman" w:hAnsi="Times New Roman" w:cs="Times New Roman"/>
          <w:sz w:val="22"/>
        </w:rPr>
        <w:t>.</w:t>
      </w:r>
    </w:p>
    <w:p w:rsidR="00FF30D6" w:rsidRPr="00F747BE" w:rsidRDefault="00FF30D6" w:rsidP="00FF30D6">
      <w:pPr>
        <w:adjustRightInd w:val="0"/>
        <w:snapToGrid w:val="0"/>
        <w:spacing w:line="360" w:lineRule="auto"/>
        <w:rPr>
          <w:rFonts w:ascii="Times New Roman" w:hAnsi="Times New Roman" w:cs="Times New Roman"/>
          <w:sz w:val="22"/>
        </w:rPr>
      </w:pPr>
      <w:r w:rsidRPr="00F747BE">
        <w:rPr>
          <w:rFonts w:ascii="Times New Roman" w:hAnsi="Times New Roman" w:cs="Times New Roman"/>
          <w:b/>
          <w:bCs/>
          <w:sz w:val="22"/>
        </w:rPr>
        <w:t>Table-S2</w:t>
      </w:r>
      <w:r w:rsidRPr="00F747BE">
        <w:rPr>
          <w:rFonts w:ascii="Times New Roman" w:hAnsi="Times New Roman" w:cs="Times New Roman"/>
          <w:sz w:val="22"/>
        </w:rPr>
        <w:t xml:space="preserve"> Relative abundance of tumor microenvironment cells in 1378 gastric cancer patients</w:t>
      </w:r>
      <w:r>
        <w:rPr>
          <w:rFonts w:ascii="Times New Roman" w:hAnsi="Times New Roman" w:cs="Times New Roman"/>
          <w:sz w:val="22"/>
        </w:rPr>
        <w:t>.</w:t>
      </w:r>
    </w:p>
    <w:p w:rsidR="00FF30D6" w:rsidRDefault="00FF30D6" w:rsidP="00FF30D6">
      <w:pPr>
        <w:adjustRightInd w:val="0"/>
        <w:snapToGrid w:val="0"/>
        <w:spacing w:line="360" w:lineRule="auto"/>
        <w:rPr>
          <w:rFonts w:ascii="Times New Roman" w:hAnsi="Times New Roman" w:cs="Times New Roman"/>
          <w:sz w:val="22"/>
        </w:rPr>
      </w:pPr>
      <w:r w:rsidRPr="00F747BE">
        <w:rPr>
          <w:rFonts w:ascii="Times New Roman" w:hAnsi="Times New Roman" w:cs="Times New Roman"/>
          <w:b/>
          <w:bCs/>
          <w:sz w:val="22"/>
        </w:rPr>
        <w:t xml:space="preserve">Table-S3 </w:t>
      </w:r>
      <w:r w:rsidRPr="00F747BE">
        <w:rPr>
          <w:rFonts w:ascii="Times New Roman" w:hAnsi="Times New Roman" w:cs="Times New Roman"/>
          <w:sz w:val="22"/>
        </w:rPr>
        <w:t>The activation status of biological pathways in two cuproptosisScore groups by GSVA analysis</w:t>
      </w:r>
      <w:r>
        <w:rPr>
          <w:rFonts w:ascii="Times New Roman" w:hAnsi="Times New Roman" w:cs="Times New Roman"/>
          <w:sz w:val="22"/>
        </w:rPr>
        <w:t>.</w:t>
      </w:r>
    </w:p>
    <w:p w:rsidR="00FF30D6" w:rsidRDefault="00FF30D6" w:rsidP="00FF30D6">
      <w:pPr>
        <w:adjustRightInd w:val="0"/>
        <w:snapToGrid w:val="0"/>
        <w:spacing w:line="360" w:lineRule="auto"/>
        <w:rPr>
          <w:rFonts w:ascii="Times New Roman" w:hAnsi="Times New Roman" w:cs="Times New Roman"/>
          <w:sz w:val="22"/>
        </w:rPr>
      </w:pPr>
      <w:r w:rsidRPr="00F747BE">
        <w:rPr>
          <w:rFonts w:ascii="Times New Roman" w:hAnsi="Times New Roman" w:cs="Times New Roman"/>
          <w:b/>
          <w:bCs/>
          <w:sz w:val="22"/>
        </w:rPr>
        <w:t>Table S4</w:t>
      </w:r>
      <w:r w:rsidRPr="00F747BE">
        <w:rPr>
          <w:rFonts w:ascii="Times New Roman" w:hAnsi="Times New Roman" w:cs="Times New Roman"/>
          <w:sz w:val="22"/>
        </w:rPr>
        <w:t xml:space="preserve"> Other gene signatures enrolled in this study</w:t>
      </w:r>
      <w:r>
        <w:rPr>
          <w:rFonts w:ascii="Times New Roman" w:hAnsi="Times New Roman" w:cs="Times New Roman"/>
          <w:sz w:val="22"/>
        </w:rPr>
        <w:t>.</w:t>
      </w:r>
    </w:p>
    <w:p w:rsidR="00FF30D6" w:rsidRDefault="00FF30D6" w:rsidP="00FF30D6">
      <w:pPr>
        <w:adjustRightInd w:val="0"/>
        <w:snapToGrid w:val="0"/>
        <w:spacing w:line="360" w:lineRule="auto"/>
        <w:rPr>
          <w:rFonts w:ascii="Times New Roman" w:hAnsi="Times New Roman" w:cs="Times New Roman"/>
          <w:sz w:val="22"/>
        </w:rPr>
      </w:pPr>
      <w:r w:rsidRPr="00F747BE">
        <w:rPr>
          <w:rFonts w:ascii="Times New Roman" w:hAnsi="Times New Roman" w:cs="Times New Roman"/>
          <w:b/>
          <w:bCs/>
          <w:sz w:val="22"/>
        </w:rPr>
        <w:t xml:space="preserve">Table S5 </w:t>
      </w:r>
      <w:r w:rsidRPr="00F747BE">
        <w:rPr>
          <w:rFonts w:ascii="Times New Roman" w:hAnsi="Times New Roman" w:cs="Times New Roman"/>
          <w:sz w:val="22"/>
        </w:rPr>
        <w:t>Differentially expressed genes of two cuproptosisScore groups in the ACRG cohort</w:t>
      </w:r>
      <w:r>
        <w:rPr>
          <w:rFonts w:ascii="Times New Roman" w:hAnsi="Times New Roman" w:cs="Times New Roman"/>
          <w:sz w:val="22"/>
        </w:rPr>
        <w:t>.</w:t>
      </w:r>
    </w:p>
    <w:p w:rsidR="00FF30D6" w:rsidRDefault="00FF30D6" w:rsidP="00FF30D6">
      <w:pPr>
        <w:adjustRightInd w:val="0"/>
        <w:snapToGrid w:val="0"/>
        <w:spacing w:line="360" w:lineRule="auto"/>
        <w:rPr>
          <w:rFonts w:ascii="Times New Roman" w:hAnsi="Times New Roman" w:cs="Times New Roman"/>
          <w:sz w:val="22"/>
        </w:rPr>
      </w:pPr>
      <w:r w:rsidRPr="00F747BE">
        <w:rPr>
          <w:rFonts w:ascii="Times New Roman" w:hAnsi="Times New Roman" w:cs="Times New Roman"/>
          <w:b/>
          <w:bCs/>
          <w:sz w:val="22"/>
        </w:rPr>
        <w:t xml:space="preserve">Table S6 </w:t>
      </w:r>
      <w:r w:rsidRPr="00F747BE">
        <w:rPr>
          <w:rFonts w:ascii="Times New Roman" w:hAnsi="Times New Roman" w:cs="Times New Roman"/>
          <w:sz w:val="22"/>
        </w:rPr>
        <w:t>The activation status of biological pathways in two geneScore groups by GSEA analysis</w:t>
      </w:r>
      <w:r>
        <w:rPr>
          <w:rFonts w:ascii="Times New Roman" w:hAnsi="Times New Roman" w:cs="Times New Roman"/>
          <w:sz w:val="22"/>
        </w:rPr>
        <w:t>.</w:t>
      </w:r>
    </w:p>
    <w:p w:rsidR="00FF30D6" w:rsidRDefault="00FF30D6" w:rsidP="00FF30D6">
      <w:pPr>
        <w:adjustRightInd w:val="0"/>
        <w:snapToGrid w:val="0"/>
        <w:spacing w:line="360" w:lineRule="auto"/>
        <w:rPr>
          <w:rFonts w:ascii="Times New Roman" w:hAnsi="Times New Roman" w:cs="Times New Roman"/>
          <w:sz w:val="22"/>
        </w:rPr>
      </w:pPr>
      <w:r w:rsidRPr="00F747BE">
        <w:rPr>
          <w:rFonts w:ascii="Times New Roman" w:hAnsi="Times New Roman" w:cs="Times New Roman"/>
          <w:b/>
          <w:bCs/>
          <w:sz w:val="22"/>
        </w:rPr>
        <w:t>Table S7</w:t>
      </w:r>
      <w:r w:rsidRPr="00F747BE">
        <w:rPr>
          <w:rFonts w:ascii="Times New Roman" w:hAnsi="Times New Roman" w:cs="Times New Roman"/>
          <w:sz w:val="22"/>
        </w:rPr>
        <w:t xml:space="preserve"> The changes of ACRG molecular subtypes, cpS, geneScore, and survival outcomes</w:t>
      </w:r>
      <w:r>
        <w:rPr>
          <w:rFonts w:ascii="Times New Roman" w:hAnsi="Times New Roman" w:cs="Times New Roman"/>
          <w:sz w:val="22"/>
        </w:rPr>
        <w:t>.</w:t>
      </w:r>
    </w:p>
    <w:p w:rsidR="00FF30D6" w:rsidRPr="000805EE" w:rsidRDefault="00FF30D6" w:rsidP="00FF30D6">
      <w:pPr>
        <w:adjustRightInd w:val="0"/>
        <w:snapToGrid w:val="0"/>
        <w:spacing w:line="360" w:lineRule="auto"/>
        <w:rPr>
          <w:rFonts w:ascii="Times New Roman" w:hAnsi="Times New Roman" w:cs="Times New Roman"/>
          <w:sz w:val="22"/>
        </w:rPr>
      </w:pPr>
      <w:r w:rsidRPr="00F747BE">
        <w:rPr>
          <w:rFonts w:ascii="Times New Roman" w:hAnsi="Times New Roman" w:cs="Times New Roman"/>
          <w:b/>
          <w:bCs/>
          <w:sz w:val="22"/>
        </w:rPr>
        <w:t xml:space="preserve">Table S8 </w:t>
      </w:r>
      <w:r w:rsidRPr="00F747BE">
        <w:rPr>
          <w:rFonts w:ascii="Times New Roman" w:hAnsi="Times New Roman" w:cs="Times New Roman"/>
          <w:sz w:val="22"/>
        </w:rPr>
        <w:t>univariate Cox regression analysis of 731 differentially expressed genes</w:t>
      </w:r>
      <w:r>
        <w:rPr>
          <w:rFonts w:ascii="Times New Roman" w:hAnsi="Times New Roman" w:cs="Times New Roman"/>
          <w:sz w:val="22"/>
        </w:rPr>
        <w:t>.</w:t>
      </w:r>
    </w:p>
    <w:p w:rsidR="00E1715D" w:rsidRDefault="00FF30D6">
      <w:bookmarkStart w:id="0" w:name="_GoBack"/>
      <w:bookmarkEnd w:id="0"/>
    </w:p>
    <w:sectPr w:rsidR="00E171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863180fb">
    <w:altName w:val="SimSun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30D6"/>
    <w:rsid w:val="001942F0"/>
    <w:rsid w:val="002C0857"/>
    <w:rsid w:val="00884728"/>
    <w:rsid w:val="008E2845"/>
    <w:rsid w:val="00FC6104"/>
    <w:rsid w:val="00FF3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DEC7762-6BB4-40C5-80F3-52E97E935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30D6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342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2022-09-05T19:07:00Z</dcterms:created>
  <dcterms:modified xsi:type="dcterms:W3CDTF">2022-09-05T19:07:00Z</dcterms:modified>
</cp:coreProperties>
</file>