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C76284" w14:textId="77777777" w:rsidR="00FA0FA3" w:rsidRPr="00685693" w:rsidRDefault="00FA0FA3" w:rsidP="00FA0FA3">
      <w:pPr>
        <w:spacing w:line="480" w:lineRule="auto"/>
        <w:rPr>
          <w:rFonts w:ascii="Arial" w:hAnsi="Arial" w:cs="Arial" w:hint="eastAsia"/>
          <w:b/>
          <w:sz w:val="22"/>
        </w:rPr>
      </w:pPr>
      <w:r w:rsidRPr="00683769">
        <w:rPr>
          <w:rFonts w:ascii="Arial" w:hAnsi="Arial" w:cs="Arial"/>
          <w:b/>
          <w:sz w:val="22"/>
        </w:rPr>
        <w:t>Materials and methods</w:t>
      </w:r>
    </w:p>
    <w:p w14:paraId="311B2B3C"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1-anilino-8-naphthalene-sulfonate (ANS) (Sigma Chemical Co., St. Louis, MO, USA), (5,5’-dithiobis (2-nitrobenzoic acid), DTNB) (Sigma Chemical Co., St. Louis, MO, USA), Sodium dodecyl sulfate (SDS), paraformaldehyde, mercaptoethanol and starch were purchased from Tianxiang Huabo wholesale Station in Harbin, Heilongjiang Province. Total protein test kit, Albumin test kit, Total superoxide dismutase (SOD) test kit, Catalase (CAT) test kit, Malondialdehyde (MDA) test kits, Giemsa stain, Alkaline protease, chicken red blood cells were purchased from Shanghai Yuanye Biotechnology Co., Ltd.</w:t>
      </w:r>
    </w:p>
    <w:p w14:paraId="7A5668FF"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 xml:space="preserve">KM mice were provided by Heilongjiang University of traditional Chinese medicine; protein deficient diet (1% casein) and normal diet (20% casein) were purchased from Jiangsu Xietong Pharmaceutical Bioengineering Co., Ltd., all of which were SPF grade. </w:t>
      </w:r>
    </w:p>
    <w:p w14:paraId="6006F46C" w14:textId="77777777" w:rsidR="00FA0FA3" w:rsidRPr="00685693" w:rsidRDefault="00FA0FA3" w:rsidP="00FA0FA3">
      <w:pPr>
        <w:spacing w:line="480" w:lineRule="auto"/>
        <w:rPr>
          <w:rFonts w:ascii="Arial" w:hAnsi="Arial" w:cs="Arial"/>
          <w:b/>
          <w:sz w:val="22"/>
        </w:rPr>
      </w:pPr>
      <w:bookmarkStart w:id="0" w:name="_Hlk26110099"/>
      <w:r w:rsidRPr="00685693">
        <w:rPr>
          <w:rFonts w:ascii="Arial" w:hAnsi="Arial" w:cs="Arial"/>
          <w:b/>
          <w:sz w:val="22"/>
        </w:rPr>
        <w:t xml:space="preserve">Preparation of </w:t>
      </w:r>
      <w:bookmarkStart w:id="1" w:name="OLE_LINK43"/>
      <w:r w:rsidRPr="00685693">
        <w:rPr>
          <w:rFonts w:ascii="Arial" w:hAnsi="Arial" w:cs="Arial"/>
          <w:b/>
          <w:sz w:val="22"/>
        </w:rPr>
        <w:t>polypeptide</w:t>
      </w:r>
      <w:bookmarkEnd w:id="0"/>
      <w:bookmarkEnd w:id="1"/>
    </w:p>
    <w:p w14:paraId="05DBC1C2" w14:textId="37AE7B83" w:rsidR="00FA0FA3" w:rsidRPr="00685693" w:rsidRDefault="00FA0FA3" w:rsidP="00FA0FA3">
      <w:pPr>
        <w:spacing w:line="480" w:lineRule="auto"/>
        <w:ind w:firstLineChars="200" w:firstLine="440"/>
        <w:rPr>
          <w:rFonts w:ascii="Arial" w:hAnsi="Arial" w:cs="Arial"/>
          <w:sz w:val="22"/>
        </w:rPr>
      </w:pPr>
      <w:bookmarkStart w:id="2" w:name="_Hlk25503237"/>
      <w:r w:rsidRPr="00685693">
        <w:rPr>
          <w:rFonts w:ascii="Arial" w:hAnsi="Arial" w:cs="Arial"/>
          <w:i/>
          <w:iCs/>
          <w:sz w:val="22"/>
        </w:rPr>
        <w:t>Paeonia ostii</w:t>
      </w:r>
      <w:r w:rsidRPr="00685693">
        <w:rPr>
          <w:rFonts w:ascii="Arial" w:hAnsi="Arial" w:cs="Arial"/>
          <w:sz w:val="22"/>
        </w:rPr>
        <w:t xml:space="preserve"> cake was provided by Jiangsu Guose Tianxiang oil peony Technology Development Co., Ltd.</w:t>
      </w:r>
      <w:bookmarkStart w:id="3" w:name="_Hlk25501066"/>
      <w:bookmarkEnd w:id="2"/>
      <w:r w:rsidRPr="00685693">
        <w:rPr>
          <w:rFonts w:ascii="Arial" w:hAnsi="Arial" w:cs="Arial"/>
          <w:sz w:val="22"/>
        </w:rPr>
        <w:t xml:space="preserve"> According to the method in the previous published article [</w:t>
      </w:r>
      <w:r w:rsidR="00321E13">
        <w:rPr>
          <w:rFonts w:ascii="Arial" w:hAnsi="Arial" w:cs="Arial"/>
          <w:sz w:val="22"/>
        </w:rPr>
        <w:t>1</w:t>
      </w:r>
      <w:r w:rsidRPr="00685693">
        <w:rPr>
          <w:rFonts w:ascii="Arial" w:hAnsi="Arial" w:cs="Arial"/>
          <w:sz w:val="22"/>
        </w:rPr>
        <w:t xml:space="preserve">], the enzymatic polypeptide of alkaline protease was prepared. The crushed </w:t>
      </w:r>
      <w:r w:rsidRPr="00685693">
        <w:rPr>
          <w:rFonts w:ascii="Arial" w:hAnsi="Arial" w:cs="Arial"/>
          <w:i/>
          <w:iCs/>
          <w:sz w:val="22"/>
        </w:rPr>
        <w:t>Paeonia ostii</w:t>
      </w:r>
      <w:r w:rsidRPr="00685693">
        <w:rPr>
          <w:rFonts w:ascii="Arial" w:hAnsi="Arial" w:cs="Arial"/>
          <w:sz w:val="22"/>
        </w:rPr>
        <w:t xml:space="preserve"> cake was extracted by Soxhlet extraction and water extraction method to remove residual oil and polysaccharides. The treated sample was used as raw material and hydrolyzed with alkaline protease. </w:t>
      </w:r>
      <w:bookmarkEnd w:id="3"/>
      <w:r w:rsidRPr="00685693">
        <w:rPr>
          <w:rFonts w:ascii="Arial" w:hAnsi="Arial" w:cs="Arial"/>
          <w:sz w:val="22"/>
        </w:rPr>
        <w:t>The enzymatic hydrolysis conditions were as followed: solid-liquid ratio of 1:5, pH of 8.0, alkaline protease dose of 3000 U per gram, enzymatic hydrolysis temperature of 50</w:t>
      </w:r>
      <w:r w:rsidRPr="00685693">
        <w:rPr>
          <w:rFonts w:ascii="Arial" w:hAnsi="Arial" w:cs="Arial"/>
          <w:sz w:val="22"/>
          <w:vertAlign w:val="superscript"/>
        </w:rPr>
        <w:t>o</w:t>
      </w:r>
      <w:r w:rsidRPr="00685693">
        <w:rPr>
          <w:rFonts w:ascii="Arial" w:hAnsi="Arial" w:cs="Arial"/>
          <w:sz w:val="22"/>
        </w:rPr>
        <w:t xml:space="preserve">C, enzymatic hydrolysis time of 4 h. After the end of enzymatic hydrolysis, the hydrolysate was boiled for 10 minutes and centrifuged </w:t>
      </w:r>
      <w:r w:rsidRPr="00685693">
        <w:rPr>
          <w:rFonts w:ascii="Arial" w:hAnsi="Arial" w:cs="Arial"/>
          <w:sz w:val="22"/>
        </w:rPr>
        <w:lastRenderedPageBreak/>
        <w:t>at 10000 r·min</w:t>
      </w:r>
      <w:r w:rsidRPr="00685693">
        <w:rPr>
          <w:rFonts w:ascii="Arial" w:hAnsi="Arial" w:cs="Arial"/>
          <w:sz w:val="22"/>
          <w:vertAlign w:val="superscript"/>
        </w:rPr>
        <w:t>-1</w:t>
      </w:r>
      <w:r w:rsidRPr="00685693">
        <w:rPr>
          <w:rFonts w:ascii="Arial" w:hAnsi="Arial" w:cs="Arial"/>
          <w:sz w:val="22"/>
        </w:rPr>
        <w:t xml:space="preserve"> for 5 min.</w:t>
      </w:r>
      <w:bookmarkStart w:id="4" w:name="OLE_LINK4"/>
      <w:r w:rsidRPr="00685693">
        <w:rPr>
          <w:rFonts w:ascii="Arial" w:hAnsi="Arial" w:cs="Arial"/>
          <w:sz w:val="22"/>
        </w:rPr>
        <w:t xml:space="preserve"> The supernatant was dialyzed and vacuum freeze-dried to obtain the enzymatic polypeptide</w:t>
      </w:r>
      <w:bookmarkEnd w:id="4"/>
      <w:r w:rsidRPr="00685693">
        <w:rPr>
          <w:rFonts w:ascii="Arial" w:hAnsi="Arial" w:cs="Arial"/>
          <w:sz w:val="22"/>
        </w:rPr>
        <w:t xml:space="preserve">, which was named APHP. </w:t>
      </w:r>
    </w:p>
    <w:p w14:paraId="5AA4DFE1" w14:textId="77777777" w:rsidR="00FA0FA3" w:rsidRPr="00685693" w:rsidRDefault="00FA0FA3" w:rsidP="00FA0FA3">
      <w:pPr>
        <w:spacing w:line="480" w:lineRule="auto"/>
        <w:rPr>
          <w:rFonts w:ascii="Arial" w:hAnsi="Arial" w:cs="Arial"/>
          <w:b/>
          <w:sz w:val="22"/>
        </w:rPr>
      </w:pPr>
      <w:r w:rsidRPr="00685693">
        <w:rPr>
          <w:rFonts w:ascii="Arial" w:hAnsi="Arial" w:cs="Arial"/>
          <w:b/>
          <w:sz w:val="22"/>
        </w:rPr>
        <w:t>Determination of polypeptide concentration</w:t>
      </w:r>
    </w:p>
    <w:p w14:paraId="022DA19E" w14:textId="13674D40"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The polypeptide concentration was determined using the reported Folin-phenol colorimetric method [</w:t>
      </w:r>
      <w:r w:rsidR="00321E13">
        <w:rPr>
          <w:rFonts w:ascii="Arial" w:hAnsi="Arial" w:cs="Arial"/>
          <w:sz w:val="22"/>
        </w:rPr>
        <w:t>2</w:t>
      </w:r>
      <w:r w:rsidRPr="00685693">
        <w:rPr>
          <w:rFonts w:ascii="Arial" w:hAnsi="Arial" w:cs="Arial"/>
          <w:sz w:val="22"/>
        </w:rPr>
        <w:t>]. 4 mL of Folin-phenol reagent A and 0.5 mL of sample were mixed together and incubated at room temperature for 10 min, then 0.5 mL of Folin-phenol reagent B was added. After incubating for another 30 min at room temperature, the sample absorbance was measured at 500 nm on a spectrophotometer (TU-1810, Puxi General Instrument Co., Ltd., China). The polypeptide concentration of sample was calculated through the standard curve of bovine serum albumin (0-1 mg/mL).</w:t>
      </w:r>
    </w:p>
    <w:p w14:paraId="2B9DECF0" w14:textId="77777777" w:rsidR="00FA0FA3" w:rsidRPr="00685693" w:rsidRDefault="00FA0FA3" w:rsidP="00FA0FA3">
      <w:pPr>
        <w:spacing w:line="480" w:lineRule="auto"/>
        <w:rPr>
          <w:rFonts w:ascii="Arial" w:hAnsi="Arial" w:cs="Arial"/>
          <w:b/>
          <w:sz w:val="22"/>
        </w:rPr>
      </w:pPr>
      <w:r w:rsidRPr="00685693">
        <w:rPr>
          <w:rFonts w:ascii="Arial" w:hAnsi="Arial" w:cs="Arial"/>
          <w:b/>
          <w:sz w:val="22"/>
        </w:rPr>
        <w:t>Other composition analysis</w:t>
      </w:r>
    </w:p>
    <w:p w14:paraId="6497720E" w14:textId="37934151"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Ash was estimated according to Association of Ofﬁcial Analytical Chemists method. The contents of K, Na, Ca, Mg, Fe, Cu and Zn in the samples were determined according to the wet digestion method proposed [</w:t>
      </w:r>
      <w:r w:rsidR="00321E13">
        <w:rPr>
          <w:rFonts w:ascii="Arial" w:hAnsi="Arial" w:cs="Arial"/>
          <w:sz w:val="22"/>
        </w:rPr>
        <w:t>3</w:t>
      </w:r>
      <w:r w:rsidRPr="00685693">
        <w:rPr>
          <w:rFonts w:ascii="Arial" w:hAnsi="Arial" w:cs="Arial"/>
          <w:sz w:val="22"/>
        </w:rPr>
        <w:t>]. 0.2000 g of sample was added into a polyfluoroethylene tube containing 10 mL of HNO</w:t>
      </w:r>
      <w:r w:rsidRPr="00685693">
        <w:rPr>
          <w:rFonts w:ascii="Arial" w:hAnsi="Arial" w:cs="Arial"/>
          <w:sz w:val="22"/>
          <w:vertAlign w:val="subscript"/>
        </w:rPr>
        <w:t>3</w:t>
      </w:r>
      <w:r w:rsidRPr="00685693">
        <w:rPr>
          <w:rFonts w:ascii="Arial" w:hAnsi="Arial" w:cs="Arial"/>
          <w:sz w:val="22"/>
        </w:rPr>
        <w:t xml:space="preserve"> and HClO</w:t>
      </w:r>
      <w:r w:rsidRPr="00685693">
        <w:rPr>
          <w:rFonts w:ascii="Arial" w:hAnsi="Arial" w:cs="Arial"/>
          <w:sz w:val="22"/>
          <w:vertAlign w:val="subscript"/>
        </w:rPr>
        <w:t>4</w:t>
      </w:r>
      <w:r w:rsidRPr="00685693">
        <w:rPr>
          <w:rFonts w:ascii="Arial" w:hAnsi="Arial" w:cs="Arial"/>
          <w:sz w:val="22"/>
        </w:rPr>
        <w:t xml:space="preserve"> (v/v, 4:1) mixed solvents. The tube was sealed and heated in an aluminum block at 130</w:t>
      </w:r>
      <w:r w:rsidRPr="00685693">
        <w:rPr>
          <w:rFonts w:ascii="Arial" w:hAnsi="Arial" w:cs="Arial"/>
          <w:sz w:val="22"/>
          <w:vertAlign w:val="superscript"/>
        </w:rPr>
        <w:t>o</w:t>
      </w:r>
      <w:r w:rsidRPr="00685693">
        <w:rPr>
          <w:rFonts w:ascii="Arial" w:hAnsi="Arial" w:cs="Arial"/>
          <w:sz w:val="22"/>
        </w:rPr>
        <w:t>C for 60 min. After cooling to room temperature, 2 mL of H</w:t>
      </w:r>
      <w:r w:rsidRPr="00685693">
        <w:rPr>
          <w:rFonts w:ascii="Arial" w:hAnsi="Arial" w:cs="Arial"/>
          <w:sz w:val="22"/>
          <w:vertAlign w:val="subscript"/>
        </w:rPr>
        <w:t>2</w:t>
      </w:r>
      <w:r w:rsidRPr="00685693">
        <w:rPr>
          <w:rFonts w:ascii="Arial" w:hAnsi="Arial" w:cs="Arial"/>
          <w:sz w:val="22"/>
        </w:rPr>
        <w:t>O</w:t>
      </w:r>
      <w:r w:rsidRPr="00685693">
        <w:rPr>
          <w:rFonts w:ascii="Arial" w:hAnsi="Arial" w:cs="Arial"/>
          <w:sz w:val="22"/>
          <w:vertAlign w:val="subscript"/>
        </w:rPr>
        <w:t>2</w:t>
      </w:r>
      <w:r w:rsidRPr="00685693">
        <w:rPr>
          <w:rFonts w:ascii="Arial" w:hAnsi="Arial" w:cs="Arial"/>
          <w:sz w:val="22"/>
        </w:rPr>
        <w:t xml:space="preserve"> was added and the solution was heated again to 115</w:t>
      </w:r>
      <w:r w:rsidRPr="00685693">
        <w:rPr>
          <w:rFonts w:ascii="Arial" w:hAnsi="Arial" w:cs="Arial"/>
          <w:sz w:val="22"/>
          <w:vertAlign w:val="superscript"/>
        </w:rPr>
        <w:t>o</w:t>
      </w:r>
      <w:r w:rsidRPr="00685693">
        <w:rPr>
          <w:rFonts w:ascii="Arial" w:hAnsi="Arial" w:cs="Arial"/>
          <w:sz w:val="22"/>
        </w:rPr>
        <w:t>C and kept for 10 min. Then, 0.1 mL of 40% HF was added, heated at 115</w:t>
      </w:r>
      <w:r w:rsidRPr="00685693">
        <w:rPr>
          <w:rFonts w:ascii="Arial" w:hAnsi="Arial" w:cs="Arial"/>
          <w:sz w:val="22"/>
          <w:vertAlign w:val="superscript"/>
        </w:rPr>
        <w:t>o</w:t>
      </w:r>
      <w:r w:rsidRPr="00685693">
        <w:rPr>
          <w:rFonts w:ascii="Arial" w:hAnsi="Arial" w:cs="Arial"/>
          <w:sz w:val="22"/>
        </w:rPr>
        <w:t>C for 10 min, and</w:t>
      </w:r>
      <w:bookmarkStart w:id="5" w:name="OLE_LINK5"/>
      <w:r w:rsidRPr="00685693">
        <w:rPr>
          <w:rFonts w:ascii="Arial" w:hAnsi="Arial" w:cs="Arial"/>
          <w:sz w:val="22"/>
        </w:rPr>
        <w:t xml:space="preserve"> 2 mL of H</w:t>
      </w:r>
      <w:r w:rsidRPr="00685693">
        <w:rPr>
          <w:rFonts w:ascii="Arial" w:hAnsi="Arial" w:cs="Arial"/>
          <w:sz w:val="22"/>
          <w:vertAlign w:val="subscript"/>
        </w:rPr>
        <w:t>2</w:t>
      </w:r>
      <w:r w:rsidRPr="00685693">
        <w:rPr>
          <w:rFonts w:ascii="Arial" w:hAnsi="Arial" w:cs="Arial"/>
          <w:sz w:val="22"/>
        </w:rPr>
        <w:t>O</w:t>
      </w:r>
      <w:r w:rsidRPr="00685693">
        <w:rPr>
          <w:rFonts w:ascii="Arial" w:hAnsi="Arial" w:cs="Arial"/>
          <w:sz w:val="22"/>
          <w:vertAlign w:val="subscript"/>
        </w:rPr>
        <w:t>2</w:t>
      </w:r>
      <w:r w:rsidRPr="00685693">
        <w:rPr>
          <w:rFonts w:ascii="Arial" w:hAnsi="Arial" w:cs="Arial"/>
          <w:sz w:val="22"/>
        </w:rPr>
        <w:t xml:space="preserve"> was added a second time until the solution was clear.</w:t>
      </w:r>
      <w:bookmarkEnd w:id="5"/>
      <w:r w:rsidRPr="00685693">
        <w:rPr>
          <w:rFonts w:ascii="Arial" w:hAnsi="Arial" w:cs="Arial"/>
          <w:sz w:val="22"/>
        </w:rPr>
        <w:t xml:space="preserve"> After digestion and cooling to room temperature, the solution was diluted with 2% dilute nitric acid into a 20 mL volumetric flask. The sample was measured by Vista-MPX Simultaneous ICP-OES (PE, Inc., USA).</w:t>
      </w:r>
    </w:p>
    <w:p w14:paraId="20FF5CC7" w14:textId="77777777" w:rsidR="00FA0FA3" w:rsidRPr="00685693" w:rsidRDefault="00FA0FA3" w:rsidP="00FA0FA3">
      <w:pPr>
        <w:autoSpaceDE w:val="0"/>
        <w:autoSpaceDN w:val="0"/>
        <w:adjustRightInd w:val="0"/>
        <w:spacing w:line="480" w:lineRule="auto"/>
        <w:rPr>
          <w:rFonts w:ascii="Arial" w:hAnsi="Arial" w:cs="Arial"/>
          <w:b/>
          <w:sz w:val="22"/>
        </w:rPr>
      </w:pPr>
      <w:r w:rsidRPr="00685693">
        <w:rPr>
          <w:rFonts w:ascii="Arial" w:hAnsi="Arial" w:cs="Arial"/>
          <w:b/>
          <w:sz w:val="22"/>
        </w:rPr>
        <w:lastRenderedPageBreak/>
        <w:t>Determination of functional properties</w:t>
      </w:r>
    </w:p>
    <w:p w14:paraId="7F970206" w14:textId="77777777" w:rsidR="00FA0FA3" w:rsidRPr="00685693" w:rsidRDefault="00FA0FA3" w:rsidP="00FA0FA3">
      <w:pPr>
        <w:autoSpaceDE w:val="0"/>
        <w:autoSpaceDN w:val="0"/>
        <w:adjustRightInd w:val="0"/>
        <w:spacing w:line="480" w:lineRule="auto"/>
        <w:rPr>
          <w:rFonts w:ascii="Arial" w:hAnsi="Arial" w:cs="Arial"/>
          <w:b/>
          <w:sz w:val="22"/>
        </w:rPr>
      </w:pPr>
      <w:r w:rsidRPr="00685693">
        <w:rPr>
          <w:rFonts w:ascii="Arial" w:hAnsi="Arial" w:cs="Arial"/>
          <w:b/>
          <w:sz w:val="22"/>
        </w:rPr>
        <w:t>Solubility</w:t>
      </w:r>
    </w:p>
    <w:p w14:paraId="5F35A82C" w14:textId="77777777" w:rsidR="00FA0FA3" w:rsidRPr="00685693" w:rsidRDefault="00FA0FA3" w:rsidP="00FA0FA3">
      <w:pPr>
        <w:autoSpaceDE w:val="0"/>
        <w:autoSpaceDN w:val="0"/>
        <w:adjustRightInd w:val="0"/>
        <w:spacing w:line="480" w:lineRule="auto"/>
        <w:ind w:firstLineChars="200" w:firstLine="440"/>
        <w:rPr>
          <w:rFonts w:ascii="Arial" w:hAnsi="Arial" w:cs="Arial"/>
          <w:sz w:val="22"/>
        </w:rPr>
      </w:pPr>
      <w:r w:rsidRPr="00685693">
        <w:rPr>
          <w:rFonts w:ascii="Arial" w:hAnsi="Arial" w:cs="Arial"/>
          <w:sz w:val="22"/>
        </w:rPr>
        <w:t>The APHP (200 mg) was dispersed in 20 mL of distilled water to determine its solubility. The solution was placed in a 25</w:t>
      </w:r>
      <w:r w:rsidRPr="00685693">
        <w:rPr>
          <w:rFonts w:ascii="Arial" w:hAnsi="Arial" w:cs="Arial"/>
          <w:sz w:val="22"/>
          <w:vertAlign w:val="superscript"/>
        </w:rPr>
        <w:t>o</w:t>
      </w:r>
      <w:r w:rsidRPr="00685693">
        <w:rPr>
          <w:rFonts w:ascii="Arial" w:hAnsi="Arial" w:cs="Arial"/>
          <w:sz w:val="22"/>
        </w:rPr>
        <w:t>C water bath and stirred for 60 min, followed by centrifugation at 4000 r·min</w:t>
      </w:r>
      <w:r w:rsidRPr="00685693">
        <w:rPr>
          <w:rFonts w:ascii="Arial" w:hAnsi="Arial" w:cs="Arial"/>
          <w:sz w:val="22"/>
          <w:vertAlign w:val="superscript"/>
        </w:rPr>
        <w:t>-1</w:t>
      </w:r>
      <w:r w:rsidRPr="00685693">
        <w:rPr>
          <w:rFonts w:ascii="Arial" w:hAnsi="Arial" w:cs="Arial"/>
          <w:sz w:val="22"/>
        </w:rPr>
        <w:t xml:space="preserve"> for 15 min. The protein content in supernatant was determined by biuret method. The total protein content of sample was determined by Kjeldahl method. Polypeptide solubility was calculated as follows:</w:t>
      </w:r>
    </w:p>
    <w:p w14:paraId="288193E6" w14:textId="77777777" w:rsidR="00FA0FA3" w:rsidRPr="00685693" w:rsidRDefault="00FA0FA3" w:rsidP="00FA0FA3">
      <w:pPr>
        <w:spacing w:line="480" w:lineRule="auto"/>
        <w:rPr>
          <w:rFonts w:ascii="Arial" w:hAnsi="Arial" w:cs="Arial"/>
          <w:sz w:val="22"/>
        </w:rPr>
      </w:pPr>
      <w:r w:rsidRPr="00685693">
        <w:rPr>
          <w:rFonts w:ascii="Arial" w:hAnsi="Arial" w:cs="Arial"/>
          <w:noProof/>
          <w:sz w:val="22"/>
        </w:rPr>
        <mc:AlternateContent>
          <mc:Choice Requires="wpg">
            <w:drawing>
              <wp:anchor distT="0" distB="0" distL="114300" distR="114300" simplePos="0" relativeHeight="251659264" behindDoc="0" locked="0" layoutInCell="1" allowOverlap="1" wp14:anchorId="71247BB3" wp14:editId="1FAA70C6">
                <wp:simplePos x="0" y="0"/>
                <wp:positionH relativeFrom="column">
                  <wp:posOffset>1899920</wp:posOffset>
                </wp:positionH>
                <wp:positionV relativeFrom="paragraph">
                  <wp:posOffset>90170</wp:posOffset>
                </wp:positionV>
                <wp:extent cx="3248025" cy="434340"/>
                <wp:effectExtent l="4445" t="6350" r="5080" b="0"/>
                <wp:wrapNone/>
                <wp:docPr id="106" name="组合 36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248025" cy="434340"/>
                          <a:chOff x="4792" y="9382"/>
                          <a:chExt cx="5115" cy="684"/>
                        </a:xfrm>
                      </wpg:grpSpPr>
                      <pic:pic xmlns:pic="http://schemas.openxmlformats.org/drawingml/2006/picture">
                        <pic:nvPicPr>
                          <pic:cNvPr id="107" name="Object 8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4792" y="9382"/>
                            <a:ext cx="1620" cy="684"/>
                          </a:xfrm>
                          <a:prstGeom prst="rect">
                            <a:avLst/>
                          </a:prstGeom>
                          <a:noFill/>
                          <a:extLst>
                            <a:ext uri="{909E8E84-426E-40DD-AFC4-6F175D3DCCD1}">
                              <a14:hiddenFill xmlns:a14="http://schemas.microsoft.com/office/drawing/2010/main">
                                <a:solidFill>
                                  <a:srgbClr val="FFFFFF"/>
                                </a:solidFill>
                              </a14:hiddenFill>
                            </a:ext>
                          </a:extLst>
                        </pic:spPr>
                      </pic:pic>
                      <wps:wsp>
                        <wps:cNvPr id="108" name="文本框 366"/>
                        <wps:cNvSpPr txBox="1">
                          <a:spLocks noChangeArrowheads="1"/>
                        </wps:cNvSpPr>
                        <wps:spPr bwMode="auto">
                          <a:xfrm>
                            <a:off x="9508" y="9558"/>
                            <a:ext cx="399" cy="31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F6DD96A" w14:textId="77777777" w:rsidR="00FA0FA3" w:rsidRDefault="00FA0FA3" w:rsidP="00FA0FA3">
                              <w:pPr>
                                <w:jc w:val="center"/>
                              </w:pPr>
                              <w:r>
                                <w:rPr>
                                  <w:rFonts w:hint="eastAsia"/>
                                </w:rPr>
                                <w:t>(1)</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71247BB3" id="组合 369" o:spid="_x0000_s1026" style="position:absolute;left:0;text-align:left;margin-left:149.6pt;margin-top:7.1pt;width:255.75pt;height:34.2pt;z-index:251659264" coordorigin="4792,9382" coordsize="5115,68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1" o:spid="_x0000_s1027" type="#_x0000_t75" style="position:absolute;left:4792;top:9382;width:1620;height:6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">
                  <v:imagedata r:id="rId5" o:title=""/>
                </v:shape>
                <v:shapetype id="_x0000_t202" coordsize="21600,21600" o:spt="202" path="m,l,21600r21600,l21600,xe">
                  <v:stroke joinstyle="miter"/>
                  <v:path gradientshapeok="t" o:connecttype="rect"/>
                </v:shapetype>
                <v:shape id="文本框 366" o:spid="_x0000_s1028" type="#_x0000_t202" style="position:absolute;left:9508;top:9558;width:39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" stroked="f">
                  <v:fill opacity="0"/>
                  <v:textbox style="mso-fit-shape-to-text:t" inset="0,0,0,0">
                    <w:txbxContent>
                      <w:p w14:paraId="2F6DD96A" w14:textId="77777777" w:rsidR="00FA0FA3" w:rsidRDefault="00FA0FA3" w:rsidP="00FA0FA3">
                        <w:pPr>
                          <w:jc w:val="center"/>
                        </w:pPr>
                        <w:r>
                          <w:rPr>
                            <w:rFonts w:hint="eastAsia"/>
                          </w:rPr>
                          <w:t>(1)</w:t>
                        </w:r>
                      </w:p>
                    </w:txbxContent>
                  </v:textbox>
                </v:shape>
              </v:group>
            </w:pict>
          </mc:Fallback>
        </mc:AlternateContent>
      </w:r>
    </w:p>
    <w:p w14:paraId="0E13B852"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 xml:space="preserve">where, </w:t>
      </w:r>
      <w:r w:rsidRPr="00685693">
        <w:rPr>
          <w:rFonts w:ascii="Arial" w:hAnsi="Arial" w:cs="Arial"/>
          <w:i/>
          <w:sz w:val="22"/>
        </w:rPr>
        <w:t>S</w:t>
      </w:r>
      <w:r w:rsidRPr="00685693">
        <w:rPr>
          <w:rFonts w:ascii="Arial" w:hAnsi="Arial" w:cs="Arial"/>
          <w:sz w:val="22"/>
        </w:rPr>
        <w:t xml:space="preserve"> was the APHP solubility. </w:t>
      </w:r>
      <w:r w:rsidRPr="00685693">
        <w:rPr>
          <w:rFonts w:ascii="Arial" w:hAnsi="Arial" w:cs="Arial"/>
          <w:i/>
          <w:sz w:val="22"/>
        </w:rPr>
        <w:t>W</w:t>
      </w:r>
      <w:r w:rsidRPr="00685693">
        <w:rPr>
          <w:rFonts w:ascii="Arial" w:hAnsi="Arial" w:cs="Arial"/>
          <w:i/>
          <w:sz w:val="22"/>
          <w:vertAlign w:val="subscript"/>
        </w:rPr>
        <w:t>1</w:t>
      </w:r>
      <w:r w:rsidRPr="00685693">
        <w:rPr>
          <w:rFonts w:ascii="Arial" w:hAnsi="Arial" w:cs="Arial"/>
          <w:sz w:val="22"/>
        </w:rPr>
        <w:t xml:space="preserve"> was the protein content in supernatant. </w:t>
      </w:r>
      <w:r w:rsidRPr="00685693">
        <w:rPr>
          <w:rFonts w:ascii="Arial" w:hAnsi="Arial" w:cs="Arial"/>
          <w:i/>
          <w:sz w:val="22"/>
        </w:rPr>
        <w:t>W</w:t>
      </w:r>
      <w:r w:rsidRPr="00685693">
        <w:rPr>
          <w:rFonts w:ascii="Arial" w:hAnsi="Arial" w:cs="Arial"/>
          <w:i/>
          <w:sz w:val="22"/>
          <w:vertAlign w:val="subscript"/>
        </w:rPr>
        <w:t>0</w:t>
      </w:r>
      <w:r w:rsidRPr="00685693">
        <w:rPr>
          <w:rFonts w:ascii="Arial" w:hAnsi="Arial" w:cs="Arial"/>
          <w:sz w:val="22"/>
        </w:rPr>
        <w:t xml:space="preserve"> was total protein content in the APHP.</w:t>
      </w:r>
    </w:p>
    <w:p w14:paraId="2592EC7F" w14:textId="77777777" w:rsidR="00FA0FA3" w:rsidRPr="00685693" w:rsidRDefault="00FA0FA3" w:rsidP="00FA0FA3">
      <w:pPr>
        <w:autoSpaceDE w:val="0"/>
        <w:autoSpaceDN w:val="0"/>
        <w:adjustRightInd w:val="0"/>
        <w:spacing w:line="480" w:lineRule="auto"/>
        <w:rPr>
          <w:rFonts w:ascii="Arial" w:hAnsi="Arial" w:cs="Arial"/>
          <w:b/>
          <w:sz w:val="22"/>
        </w:rPr>
      </w:pPr>
      <w:r w:rsidRPr="00685693">
        <w:rPr>
          <w:rFonts w:ascii="Arial" w:hAnsi="Arial" w:cs="Arial"/>
          <w:b/>
          <w:sz w:val="22"/>
        </w:rPr>
        <w:t>Surface hydrophobicity (H</w:t>
      </w:r>
      <w:r w:rsidRPr="00685693">
        <w:rPr>
          <w:rFonts w:ascii="Arial" w:hAnsi="Arial" w:cs="Arial"/>
          <w:b/>
          <w:sz w:val="22"/>
          <w:vertAlign w:val="subscript"/>
        </w:rPr>
        <w:t>0</w:t>
      </w:r>
      <w:r w:rsidRPr="00685693">
        <w:rPr>
          <w:rFonts w:ascii="Arial" w:hAnsi="Arial" w:cs="Arial"/>
          <w:b/>
          <w:sz w:val="22"/>
        </w:rPr>
        <w:t xml:space="preserve">) </w:t>
      </w:r>
    </w:p>
    <w:p w14:paraId="10877B4A" w14:textId="7F5A0B22"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Surface hydrophobicity (H</w:t>
      </w:r>
      <w:r w:rsidRPr="00685693">
        <w:rPr>
          <w:rFonts w:ascii="Arial" w:hAnsi="Arial" w:cs="Arial"/>
          <w:sz w:val="22"/>
          <w:vertAlign w:val="subscript"/>
        </w:rPr>
        <w:t>0</w:t>
      </w:r>
      <w:r w:rsidRPr="00685693">
        <w:rPr>
          <w:rFonts w:ascii="Arial" w:hAnsi="Arial" w:cs="Arial"/>
          <w:sz w:val="22"/>
        </w:rPr>
        <w:t>) of sample was determined using ANS as a ﬂuorescence probe according to the literature [</w:t>
      </w:r>
      <w:r w:rsidR="00321E13">
        <w:rPr>
          <w:rFonts w:ascii="Arial" w:hAnsi="Arial" w:cs="Arial"/>
          <w:sz w:val="22"/>
        </w:rPr>
        <w:t>4</w:t>
      </w:r>
      <w:r w:rsidRPr="00685693">
        <w:rPr>
          <w:rFonts w:ascii="Arial" w:hAnsi="Arial" w:cs="Arial"/>
          <w:sz w:val="22"/>
        </w:rPr>
        <w:t>]. 20 μL of ANS (0.008 M in 0.01 M phosphate buffer, pH 7.0) was added to 4 mL of APHP solution (0.01, 0.05, 0.10, 0.15 and 0.2 mg/mL in 0.01 M phosphate buffer of pH 7.0, respectively). After incubation in the dark for 5 min, the supernatant was obtained by centrifugation at 10000 r·min</w:t>
      </w:r>
      <w:r w:rsidRPr="00685693">
        <w:rPr>
          <w:rFonts w:ascii="Arial" w:hAnsi="Arial" w:cs="Arial"/>
          <w:sz w:val="22"/>
          <w:vertAlign w:val="superscript"/>
        </w:rPr>
        <w:t>-1</w:t>
      </w:r>
      <w:r w:rsidRPr="00685693">
        <w:rPr>
          <w:rFonts w:ascii="Arial" w:hAnsi="Arial" w:cs="Arial"/>
          <w:sz w:val="22"/>
        </w:rPr>
        <w:t xml:space="preserve"> for 5 min. The fluorescence intensity was measured with a fluorescence spectrophotometer (Hitachi F-7000 High-Technologies Corporation, Tokyo, Japan), and the excitation and emission wavelengths were set to 287 nm and 352 nm, respectively. The linear regression equation was established with protein concentration as X-axis and fluorescence intensity as Y-axis, and the slope was regarded as the index of H</w:t>
      </w:r>
      <w:r w:rsidRPr="00685693">
        <w:rPr>
          <w:rFonts w:ascii="Arial" w:hAnsi="Arial" w:cs="Arial"/>
          <w:sz w:val="22"/>
          <w:vertAlign w:val="subscript"/>
        </w:rPr>
        <w:t>0</w:t>
      </w:r>
      <w:r w:rsidRPr="00685693">
        <w:rPr>
          <w:rFonts w:ascii="Arial" w:hAnsi="Arial" w:cs="Arial"/>
          <w:sz w:val="22"/>
        </w:rPr>
        <w:t>.</w:t>
      </w:r>
    </w:p>
    <w:p w14:paraId="38916D5F" w14:textId="77777777" w:rsidR="00FA0FA3" w:rsidRPr="00685693" w:rsidRDefault="00FA0FA3" w:rsidP="00FA0FA3">
      <w:pPr>
        <w:spacing w:line="480" w:lineRule="auto"/>
        <w:rPr>
          <w:rFonts w:ascii="Arial" w:hAnsi="Arial" w:cs="Arial"/>
          <w:b/>
          <w:sz w:val="22"/>
        </w:rPr>
      </w:pPr>
      <w:bookmarkStart w:id="6" w:name="OLE_LINK2"/>
      <w:bookmarkStart w:id="7" w:name="OLE_LINK1"/>
      <w:r w:rsidRPr="00685693">
        <w:rPr>
          <w:rFonts w:ascii="Arial" w:hAnsi="Arial" w:cs="Arial"/>
          <w:b/>
          <w:sz w:val="22"/>
        </w:rPr>
        <w:lastRenderedPageBreak/>
        <w:t xml:space="preserve">Determination of sulfhydryl (SH) and disulﬁde bond (SS) </w:t>
      </w:r>
      <w:bookmarkEnd w:id="6"/>
      <w:bookmarkEnd w:id="7"/>
      <w:r w:rsidRPr="00685693">
        <w:rPr>
          <w:rFonts w:ascii="Arial" w:hAnsi="Arial" w:cs="Arial"/>
          <w:b/>
          <w:sz w:val="22"/>
        </w:rPr>
        <w:t>concentration</w:t>
      </w:r>
    </w:p>
    <w:p w14:paraId="3E1DA4C9" w14:textId="34DE2051"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The concentration of sulfhydryl (SH) groups of APHP was determined using Ellman’s reagent (DTNB), according to the literature [</w:t>
      </w:r>
      <w:r w:rsidR="00321E13">
        <w:rPr>
          <w:rFonts w:ascii="Arial" w:hAnsi="Arial" w:cs="Arial"/>
          <w:sz w:val="22"/>
        </w:rPr>
        <w:t>5</w:t>
      </w:r>
      <w:r w:rsidRPr="00685693">
        <w:rPr>
          <w:rFonts w:ascii="Arial" w:hAnsi="Arial" w:cs="Arial"/>
          <w:sz w:val="22"/>
        </w:rPr>
        <w:t>]. 15 mg of the APHP was dissolved in 3 mL of standard buffer (0.086 M Tris, 0.09 M glycine, and 0.004 M EDTA, pH 8.0) with 8 M urea and 0.05 mL of Ellman’s reagent solution (4 mg/mL DTNB in standard buffer). After the solution rapidly mixed and left at 25</w:t>
      </w:r>
      <w:r w:rsidRPr="00685693">
        <w:rPr>
          <w:rFonts w:ascii="Arial" w:hAnsi="Arial" w:cs="Arial"/>
          <w:sz w:val="22"/>
          <w:vertAlign w:val="superscript"/>
        </w:rPr>
        <w:t>o</w:t>
      </w:r>
      <w:r w:rsidRPr="00685693">
        <w:rPr>
          <w:rFonts w:ascii="Arial" w:hAnsi="Arial" w:cs="Arial"/>
          <w:sz w:val="22"/>
        </w:rPr>
        <w:t>C for 15 min, the absorbance was recorded at 412 nm. The</w:t>
      </w:r>
      <w:r w:rsidRPr="00685693">
        <w:rPr>
          <w:rFonts w:ascii="Arial" w:eastAsia="Arial Unicode MS" w:hAnsi="Arial" w:cs="Arial"/>
          <w:kern w:val="0"/>
          <w:sz w:val="22"/>
        </w:rPr>
        <w:t xml:space="preserve"> control sample</w:t>
      </w:r>
      <w:r w:rsidRPr="00685693">
        <w:rPr>
          <w:rFonts w:ascii="Arial" w:hAnsi="Arial" w:cs="Arial"/>
          <w:sz w:val="22"/>
        </w:rPr>
        <w:t xml:space="preserve"> was measured with standard buffer instead of sample solution.</w:t>
      </w:r>
      <w:bookmarkStart w:id="8" w:name="OLE_LINK19"/>
      <w:bookmarkStart w:id="9" w:name="OLE_LINK20"/>
      <w:r w:rsidRPr="00685693">
        <w:rPr>
          <w:rFonts w:ascii="Arial" w:hAnsi="Arial" w:cs="Arial"/>
          <w:sz w:val="22"/>
        </w:rPr>
        <w:t xml:space="preserve"> The APHP blank was measured with 0.05 mL of the buffer instead of Ellman’s reagent solution. </w:t>
      </w:r>
      <w:bookmarkEnd w:id="8"/>
      <w:bookmarkEnd w:id="9"/>
      <w:r w:rsidRPr="00685693">
        <w:rPr>
          <w:rFonts w:ascii="Arial" w:hAnsi="Arial" w:cs="Arial"/>
          <w:sz w:val="22"/>
        </w:rPr>
        <w:t>The concentration of sulfhydryl groups was calculated according to the following equation [</w:t>
      </w:r>
      <w:r w:rsidR="00321E13">
        <w:rPr>
          <w:rFonts w:ascii="Arial" w:hAnsi="Arial" w:cs="Arial"/>
          <w:sz w:val="22"/>
        </w:rPr>
        <w:t>6</w:t>
      </w:r>
      <w:r w:rsidRPr="00685693">
        <w:rPr>
          <w:rFonts w:ascii="Arial" w:hAnsi="Arial" w:cs="Arial"/>
          <w:sz w:val="22"/>
        </w:rPr>
        <w:t>]:</w:t>
      </w:r>
    </w:p>
    <w:p w14:paraId="1247939B" w14:textId="77777777" w:rsidR="00FA0FA3" w:rsidRPr="00685693" w:rsidRDefault="00FA0FA3" w:rsidP="00FA0FA3">
      <w:pPr>
        <w:spacing w:line="480" w:lineRule="auto"/>
        <w:rPr>
          <w:rFonts w:ascii="Arial" w:hAnsi="Arial" w:cs="Arial"/>
          <w:sz w:val="22"/>
        </w:rPr>
      </w:pPr>
      <w:r w:rsidRPr="00685693">
        <w:rPr>
          <w:rFonts w:ascii="Arial" w:hAnsi="Arial" w:cs="Arial"/>
          <w:noProof/>
          <w:sz w:val="22"/>
        </w:rPr>
        <mc:AlternateContent>
          <mc:Choice Requires="wpg">
            <w:drawing>
              <wp:anchor distT="0" distB="0" distL="114300" distR="114300" simplePos="0" relativeHeight="251661312" behindDoc="0" locked="0" layoutInCell="1" allowOverlap="1" wp14:anchorId="68B52163" wp14:editId="07CEBB6B">
                <wp:simplePos x="0" y="0"/>
                <wp:positionH relativeFrom="column">
                  <wp:posOffset>1753235</wp:posOffset>
                </wp:positionH>
                <wp:positionV relativeFrom="paragraph">
                  <wp:posOffset>130810</wp:posOffset>
                </wp:positionV>
                <wp:extent cx="3505200" cy="396240"/>
                <wp:effectExtent l="635" t="0" r="8890" b="6350"/>
                <wp:wrapNone/>
                <wp:docPr id="103" name="组合 37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505200" cy="396240"/>
                          <a:chOff x="4561" y="5078"/>
                          <a:chExt cx="5520" cy="624"/>
                        </a:xfrm>
                      </wpg:grpSpPr>
                      <pic:pic xmlns:pic="http://schemas.openxmlformats.org/drawingml/2006/picture">
                        <pic:nvPicPr>
                          <pic:cNvPr id="104" name="Object 8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4561" y="5078"/>
                            <a:ext cx="3360" cy="624"/>
                          </a:xfrm>
                          <a:prstGeom prst="rect">
                            <a:avLst/>
                          </a:prstGeom>
                          <a:noFill/>
                          <a:extLst>
                            <a:ext uri="{909E8E84-426E-40DD-AFC4-6F175D3DCCD1}">
                              <a14:hiddenFill xmlns:a14="http://schemas.microsoft.com/office/drawing/2010/main">
                                <a:solidFill>
                                  <a:srgbClr val="FFFFFF"/>
                                </a:solidFill>
                              </a14:hiddenFill>
                            </a:ext>
                          </a:extLst>
                        </pic:spPr>
                      </pic:pic>
                      <wps:wsp>
                        <wps:cNvPr id="105" name="文本框 370"/>
                        <wps:cNvSpPr txBox="1">
                          <a:spLocks noChangeArrowheads="1"/>
                        </wps:cNvSpPr>
                        <wps:spPr bwMode="auto">
                          <a:xfrm>
                            <a:off x="9682" y="5238"/>
                            <a:ext cx="399" cy="31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DDA1E" w14:textId="77777777" w:rsidR="00FA0FA3" w:rsidRDefault="00FA0FA3" w:rsidP="00FA0FA3">
                              <w:pPr>
                                <w:jc w:val="center"/>
                              </w:pPr>
                              <w:r>
                                <w:rPr>
                                  <w:rFonts w:hint="eastAsia"/>
                                </w:rPr>
                                <w:t>(2)</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68B52163" id="组合 374" o:spid="_x0000_s1029" style="position:absolute;left:0;text-align:left;margin-left:138.05pt;margin-top:10.3pt;width:276pt;height:31.2pt;z-index:251661312" coordorigin="4561,5078" coordsize="5520,62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">
                <v:shape id="Object 86" o:spid="_x0000_s1030" type="#_x0000_t75" style="position:absolute;left:4561;top:5078;width:3360;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">
                  <v:imagedata r:id="rId7" o:title=""/>
                </v:shape>
                <v:shape id="文本框 370" o:spid="_x0000_s1031" type="#_x0000_t202" style="position:absolute;left:9682;top:5238;width:39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" stroked="f">
                  <v:fill opacity="0"/>
                  <v:textbox style="mso-fit-shape-to-text:t" inset="0,0,0,0">
                    <w:txbxContent>
                      <w:p w14:paraId="72ADDA1E" w14:textId="77777777" w:rsidR="00FA0FA3" w:rsidRDefault="00FA0FA3" w:rsidP="00FA0FA3">
                        <w:pPr>
                          <w:jc w:val="center"/>
                        </w:pPr>
                        <w:r>
                          <w:rPr>
                            <w:rFonts w:hint="eastAsia"/>
                          </w:rPr>
                          <w:t>(2)</w:t>
                        </w:r>
                      </w:p>
                    </w:txbxContent>
                  </v:textbox>
                </v:shape>
              </v:group>
            </w:pict>
          </mc:Fallback>
        </mc:AlternateContent>
      </w:r>
    </w:p>
    <w:p w14:paraId="5EF659F4" w14:textId="77777777" w:rsidR="00FA0FA3" w:rsidRPr="00685693" w:rsidRDefault="00FA0FA3" w:rsidP="00FA0FA3">
      <w:pPr>
        <w:spacing w:line="480" w:lineRule="auto"/>
        <w:rPr>
          <w:rFonts w:ascii="Arial" w:hAnsi="Arial" w:cs="Arial"/>
          <w:sz w:val="22"/>
        </w:rPr>
      </w:pPr>
    </w:p>
    <w:p w14:paraId="2BE5CBC5" w14:textId="77777777" w:rsidR="00FA0FA3" w:rsidRPr="00685693" w:rsidRDefault="00FA0FA3" w:rsidP="00FA0FA3">
      <w:pPr>
        <w:spacing w:line="480" w:lineRule="auto"/>
        <w:rPr>
          <w:rFonts w:ascii="Arial" w:hAnsi="Arial" w:cs="Arial"/>
          <w:sz w:val="22"/>
        </w:rPr>
      </w:pPr>
      <w:r w:rsidRPr="00685693">
        <w:rPr>
          <w:rFonts w:ascii="Arial" w:hAnsi="Arial" w:cs="Arial"/>
          <w:noProof/>
          <w:sz w:val="22"/>
        </w:rPr>
        <mc:AlternateContent>
          <mc:Choice Requires="wpg">
            <w:drawing>
              <wp:anchor distT="0" distB="0" distL="114300" distR="114300" simplePos="0" relativeHeight="251662336" behindDoc="0" locked="0" layoutInCell="1" allowOverlap="1" wp14:anchorId="20F8B34B" wp14:editId="0002F94D">
                <wp:simplePos x="0" y="0"/>
                <wp:positionH relativeFrom="column">
                  <wp:posOffset>1934845</wp:posOffset>
                </wp:positionH>
                <wp:positionV relativeFrom="paragraph">
                  <wp:posOffset>10795</wp:posOffset>
                </wp:positionV>
                <wp:extent cx="3310890" cy="228600"/>
                <wp:effectExtent l="1270" t="3175" r="2540" b="0"/>
                <wp:wrapNone/>
                <wp:docPr id="100" name="组合 37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310890" cy="228600"/>
                          <a:chOff x="4847" y="5825"/>
                          <a:chExt cx="5214" cy="360"/>
                        </a:xfrm>
                      </wpg:grpSpPr>
                      <pic:pic xmlns:pic="http://schemas.openxmlformats.org/drawingml/2006/picture">
                        <pic:nvPicPr>
                          <pic:cNvPr id="101" name="Object 87"/>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847" y="5825"/>
                            <a:ext cx="2856" cy="360"/>
                          </a:xfrm>
                          <a:prstGeom prst="rect">
                            <a:avLst/>
                          </a:prstGeom>
                          <a:noFill/>
                          <a:extLst>
                            <a:ext uri="{909E8E84-426E-40DD-AFC4-6F175D3DCCD1}">
                              <a14:hiddenFill xmlns:a14="http://schemas.microsoft.com/office/drawing/2010/main">
                                <a:solidFill>
                                  <a:srgbClr val="FFFFFF"/>
                                </a:solidFill>
                              </a14:hiddenFill>
                            </a:ext>
                          </a:extLst>
                        </pic:spPr>
                      </pic:pic>
                      <wps:wsp>
                        <wps:cNvPr id="102" name="文本框 371"/>
                        <wps:cNvSpPr txBox="1">
                          <a:spLocks noChangeArrowheads="1"/>
                        </wps:cNvSpPr>
                        <wps:spPr bwMode="auto">
                          <a:xfrm>
                            <a:off x="9662" y="5852"/>
                            <a:ext cx="399" cy="31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2ACB04C" w14:textId="77777777" w:rsidR="00FA0FA3" w:rsidRDefault="00FA0FA3" w:rsidP="00FA0FA3">
                              <w:pPr>
                                <w:jc w:val="center"/>
                              </w:pPr>
                              <w:r>
                                <w:rPr>
                                  <w:rFonts w:hint="eastAsia"/>
                                </w:rPr>
                                <w:t>(3)</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20F8B34B" id="组合 375" o:spid="_x0000_s1032" style="position:absolute;left:0;text-align:left;margin-left:152.35pt;margin-top:.85pt;width:260.7pt;height:18pt;z-index:251662336" coordorigin="4847,5825" coordsize="5214,360"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">
                <v:shape id="Object 87" o:spid="_x0000_s1033" type="#_x0000_t75" style="position:absolute;left:4847;top:5825;width:2856;height:3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">
                  <v:imagedata r:id="rId9" o:title=""/>
                </v:shape>
                <v:shape id="文本框 371" o:spid="_x0000_s1034" type="#_x0000_t202" style="position:absolute;left:9662;top:5852;width:39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" stroked="f">
                  <v:fill opacity="0"/>
                  <v:textbox style="mso-fit-shape-to-text:t" inset="0,0,0,0">
                    <w:txbxContent>
                      <w:p w14:paraId="12ACB04C" w14:textId="77777777" w:rsidR="00FA0FA3" w:rsidRDefault="00FA0FA3" w:rsidP="00FA0FA3">
                        <w:pPr>
                          <w:jc w:val="center"/>
                        </w:pPr>
                        <w:r>
                          <w:rPr>
                            <w:rFonts w:hint="eastAsia"/>
                          </w:rPr>
                          <w:t>(3)</w:t>
                        </w:r>
                      </w:p>
                    </w:txbxContent>
                  </v:textbox>
                </v:shape>
              </v:group>
            </w:pict>
          </mc:Fallback>
        </mc:AlternateContent>
      </w:r>
    </w:p>
    <w:p w14:paraId="29C70E26"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 xml:space="preserve">where, </w:t>
      </w:r>
      <w:r w:rsidRPr="00685693">
        <w:rPr>
          <w:rFonts w:ascii="Arial" w:hAnsi="Arial" w:cs="Arial"/>
          <w:i/>
          <w:sz w:val="22"/>
        </w:rPr>
        <w:t>C</w:t>
      </w:r>
      <w:r w:rsidRPr="00685693">
        <w:rPr>
          <w:rFonts w:ascii="Arial" w:hAnsi="Arial" w:cs="Arial"/>
          <w:i/>
          <w:sz w:val="22"/>
          <w:vertAlign w:val="subscript"/>
        </w:rPr>
        <w:t xml:space="preserve">SH </w:t>
      </w:r>
      <w:r w:rsidRPr="00685693">
        <w:rPr>
          <w:rFonts w:ascii="Arial" w:hAnsi="Arial" w:cs="Arial"/>
          <w:iCs/>
          <w:sz w:val="22"/>
        </w:rPr>
        <w:t>was</w:t>
      </w:r>
      <w:r w:rsidRPr="00685693">
        <w:rPr>
          <w:rFonts w:ascii="Arial" w:hAnsi="Arial" w:cs="Arial"/>
          <w:i/>
          <w:sz w:val="22"/>
          <w:vertAlign w:val="subscript"/>
        </w:rPr>
        <w:t xml:space="preserve"> </w:t>
      </w:r>
      <w:r w:rsidRPr="00685693">
        <w:rPr>
          <w:rFonts w:ascii="Arial" w:hAnsi="Arial" w:cs="Arial"/>
          <w:sz w:val="22"/>
        </w:rPr>
        <w:t xml:space="preserve">total free thiol groups. </w:t>
      </w:r>
      <w:r w:rsidRPr="00685693">
        <w:rPr>
          <w:rFonts w:ascii="Arial" w:hAnsi="Arial" w:cs="Arial"/>
          <w:i/>
          <w:sz w:val="22"/>
        </w:rPr>
        <w:t>D</w:t>
      </w:r>
      <w:r w:rsidRPr="00685693">
        <w:rPr>
          <w:rFonts w:ascii="Arial" w:hAnsi="Arial" w:cs="Arial"/>
          <w:sz w:val="22"/>
        </w:rPr>
        <w:t xml:space="preserve"> was the dilution factor. </w:t>
      </w:r>
      <w:r w:rsidRPr="00685693">
        <w:rPr>
          <w:rFonts w:ascii="Arial" w:hAnsi="Arial" w:cs="Arial"/>
          <w:i/>
          <w:sz w:val="22"/>
        </w:rPr>
        <w:t>C</w:t>
      </w:r>
      <w:r w:rsidRPr="00685693">
        <w:rPr>
          <w:rFonts w:ascii="Arial" w:hAnsi="Arial" w:cs="Arial"/>
          <w:sz w:val="22"/>
        </w:rPr>
        <w:t xml:space="preserve"> was the APHP concentration (mg·mL</w:t>
      </w:r>
      <w:r w:rsidRPr="00685693">
        <w:rPr>
          <w:rFonts w:ascii="Arial" w:hAnsi="Arial" w:cs="Arial"/>
          <w:sz w:val="22"/>
          <w:vertAlign w:val="superscript"/>
        </w:rPr>
        <w:t>-1</w:t>
      </w:r>
      <w:r w:rsidRPr="00685693">
        <w:rPr>
          <w:rFonts w:ascii="Arial" w:hAnsi="Arial" w:cs="Arial"/>
          <w:sz w:val="22"/>
        </w:rPr>
        <w:t xml:space="preserve">). </w:t>
      </w:r>
      <w:r w:rsidRPr="00685693">
        <w:rPr>
          <w:rFonts w:ascii="Arial" w:hAnsi="Arial" w:cs="Arial"/>
          <w:i/>
          <w:sz w:val="22"/>
        </w:rPr>
        <w:t>∆A</w:t>
      </w:r>
      <w:r w:rsidRPr="00685693">
        <w:rPr>
          <w:rFonts w:ascii="Arial" w:hAnsi="Arial" w:cs="Arial"/>
          <w:sz w:val="22"/>
          <w:vertAlign w:val="subscript"/>
        </w:rPr>
        <w:t>412</w:t>
      </w:r>
      <w:r w:rsidRPr="00685693">
        <w:rPr>
          <w:rFonts w:ascii="Arial" w:hAnsi="Arial" w:cs="Arial"/>
          <w:sz w:val="22"/>
        </w:rPr>
        <w:t xml:space="preserve"> was the net absorbance measured at 412 nm by the sulfhydryl groups with/without DTNB.</w:t>
      </w:r>
    </w:p>
    <w:p w14:paraId="54768984"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The concentration of SS bonds was determined according to the following method. In brief, 15 mg of the APHP was dissolved in 3 mL of standard buffer (0.086 M Tris, 0.09 M glycine, and 0.004 M EDTA, pH 8.0) with 8 M urea, 0.02 mL of 0.2% mercaptoethanol was added and incubated at 25</w:t>
      </w:r>
      <w:r w:rsidRPr="00685693">
        <w:rPr>
          <w:rFonts w:ascii="Arial" w:hAnsi="Arial" w:cs="Arial"/>
          <w:sz w:val="22"/>
          <w:vertAlign w:val="superscript"/>
        </w:rPr>
        <w:t>o</w:t>
      </w:r>
      <w:r w:rsidRPr="00685693">
        <w:rPr>
          <w:rFonts w:ascii="Arial" w:hAnsi="Arial" w:cs="Arial"/>
          <w:sz w:val="22"/>
        </w:rPr>
        <w:t xml:space="preserve">C for 2 h. 15 mL of standard buffer and 0.05 mL of Ellman’s reagent were added in turn. After mixing, the sample absorbance was measured at 412 nm. The concentration of SS groups was calculated </w:t>
      </w:r>
      <w:r w:rsidRPr="00685693">
        <w:rPr>
          <w:rFonts w:ascii="Arial" w:hAnsi="Arial" w:cs="Arial"/>
          <w:sz w:val="22"/>
        </w:rPr>
        <w:lastRenderedPageBreak/>
        <w:t>according to the following equation:</w:t>
      </w:r>
    </w:p>
    <w:p w14:paraId="62867241" w14:textId="77777777" w:rsidR="00FA0FA3" w:rsidRPr="00685693" w:rsidRDefault="00FA0FA3" w:rsidP="00FA0FA3">
      <w:pPr>
        <w:spacing w:line="480" w:lineRule="auto"/>
        <w:ind w:firstLineChars="150" w:firstLine="330"/>
        <w:rPr>
          <w:rFonts w:ascii="Arial" w:hAnsi="Arial" w:cs="Arial"/>
          <w:sz w:val="22"/>
        </w:rPr>
      </w:pPr>
      <w:r w:rsidRPr="00685693">
        <w:rPr>
          <w:rFonts w:ascii="Arial" w:hAnsi="Arial" w:cs="Arial"/>
          <w:noProof/>
          <w:sz w:val="22"/>
        </w:rPr>
        <mc:AlternateContent>
          <mc:Choice Requires="wpg">
            <w:drawing>
              <wp:anchor distT="0" distB="0" distL="114300" distR="114300" simplePos="0" relativeHeight="251660288" behindDoc="0" locked="0" layoutInCell="1" allowOverlap="1" wp14:anchorId="0D22A32B" wp14:editId="04DA51D6">
                <wp:simplePos x="0" y="0"/>
                <wp:positionH relativeFrom="column">
                  <wp:posOffset>1866900</wp:posOffset>
                </wp:positionH>
                <wp:positionV relativeFrom="paragraph">
                  <wp:posOffset>116205</wp:posOffset>
                </wp:positionV>
                <wp:extent cx="3427730" cy="396240"/>
                <wp:effectExtent l="0" t="1905" r="1270" b="1905"/>
                <wp:wrapNone/>
                <wp:docPr id="97" name="组合 37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27730" cy="396240"/>
                          <a:chOff x="4740" y="10047"/>
                          <a:chExt cx="5398" cy="624"/>
                        </a:xfrm>
                      </wpg:grpSpPr>
                      <pic:pic xmlns:pic="http://schemas.openxmlformats.org/drawingml/2006/picture">
                        <pic:nvPicPr>
                          <pic:cNvPr id="98" name="Object 8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4740" y="10047"/>
                            <a:ext cx="2724" cy="624"/>
                          </a:xfrm>
                          <a:prstGeom prst="rect">
                            <a:avLst/>
                          </a:prstGeom>
                          <a:noFill/>
                          <a:extLst>
                            <a:ext uri="{909E8E84-426E-40DD-AFC4-6F175D3DCCD1}">
                              <a14:hiddenFill xmlns:a14="http://schemas.microsoft.com/office/drawing/2010/main">
                                <a:solidFill>
                                  <a:srgbClr val="FFFFFF"/>
                                </a:solidFill>
                              </a14:hiddenFill>
                            </a:ext>
                          </a:extLst>
                        </pic:spPr>
                      </pic:pic>
                      <wps:wsp>
                        <wps:cNvPr id="99" name="文本框 368"/>
                        <wps:cNvSpPr txBox="1">
                          <a:spLocks noChangeArrowheads="1"/>
                        </wps:cNvSpPr>
                        <wps:spPr bwMode="auto">
                          <a:xfrm>
                            <a:off x="9739" y="10212"/>
                            <a:ext cx="399" cy="312"/>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FB7B207" w14:textId="77777777" w:rsidR="00FA0FA3" w:rsidRDefault="00FA0FA3" w:rsidP="00FA0FA3">
                              <w:pPr>
                                <w:jc w:val="center"/>
                              </w:pPr>
                              <w:r>
                                <w:rPr>
                                  <w:rFonts w:hint="eastAsia"/>
                                </w:rPr>
                                <w:t>(4)</w:t>
                              </w:r>
                            </w:p>
                          </w:txbxContent>
                        </wps:txbx>
                        <wps:bodyPr rot="0" vert="horz" wrap="square" lIns="0" tIns="0" rIns="0" bIns="0" anchor="t" anchorCtr="0" upright="1">
                          <a:spAutoFit/>
                        </wps:bodyPr>
                      </wps:wsp>
                    </wpg:wgp>
                  </a:graphicData>
                </a:graphic>
                <wp14:sizeRelH relativeFrom="page">
                  <wp14:pctWidth>0</wp14:pctWidth>
                </wp14:sizeRelH>
                <wp14:sizeRelV relativeFrom="page">
                  <wp14:pctHeight>0</wp14:pctHeight>
                </wp14:sizeRelV>
              </wp:anchor>
            </w:drawing>
          </mc:Choice>
          <mc:Fallback>
            <w:pict>
              <v:group w14:anchorId="0D22A32B" id="组合 376" o:spid="_x0000_s1035" style="position:absolute;left:0;text-align:left;margin-left:147pt;margin-top:9.15pt;width:269.9pt;height:31.2pt;z-index:251660288" coordorigin="4740,10047" coordsize="5398,624" o:gfxdata="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">
                <v:shape id="Object 88" o:spid="_x0000_s1036" type="#_x0000_t75" style="position:absolute;left:4740;top:10047;width:2724;height:62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">
                  <v:imagedata r:id="rId11" o:title=""/>
                </v:shape>
                <v:shape id="文本框 368" o:spid="_x0000_s1037" type="#_x0000_t202" style="position:absolute;left:9739;top:10212;width:399;height:3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" stroked="f">
                  <v:fill opacity="0"/>
                  <v:textbox style="mso-fit-shape-to-text:t" inset="0,0,0,0">
                    <w:txbxContent>
                      <w:p w14:paraId="7FB7B207" w14:textId="77777777" w:rsidR="00FA0FA3" w:rsidRDefault="00FA0FA3" w:rsidP="00FA0FA3">
                        <w:pPr>
                          <w:jc w:val="center"/>
                        </w:pPr>
                        <w:r>
                          <w:rPr>
                            <w:rFonts w:hint="eastAsia"/>
                          </w:rPr>
                          <w:t>(4)</w:t>
                        </w:r>
                      </w:p>
                    </w:txbxContent>
                  </v:textbox>
                </v:shape>
              </v:group>
            </w:pict>
          </mc:Fallback>
        </mc:AlternateContent>
      </w:r>
    </w:p>
    <w:p w14:paraId="5ADA17A1"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 xml:space="preserve">where, </w:t>
      </w:r>
      <w:r w:rsidRPr="00685693">
        <w:rPr>
          <w:rFonts w:ascii="Arial" w:hAnsi="Arial" w:cs="Arial"/>
          <w:i/>
          <w:sz w:val="22"/>
        </w:rPr>
        <w:t>C’</w:t>
      </w:r>
      <w:r w:rsidRPr="00685693">
        <w:rPr>
          <w:rFonts w:ascii="Arial" w:hAnsi="Arial" w:cs="Arial"/>
          <w:i/>
          <w:sz w:val="22"/>
          <w:vertAlign w:val="subscript"/>
        </w:rPr>
        <w:t>SH</w:t>
      </w:r>
      <w:r w:rsidRPr="00685693">
        <w:rPr>
          <w:rFonts w:ascii="Arial" w:hAnsi="Arial" w:cs="Arial"/>
          <w:sz w:val="22"/>
        </w:rPr>
        <w:t xml:space="preserve"> was the concentration of the sulfhydryl groups from reduction of SS groups and total free thiol groups (</w:t>
      </w:r>
      <w:r w:rsidRPr="00685693">
        <w:rPr>
          <w:rFonts w:ascii="Arial" w:hAnsi="Arial" w:cs="Arial"/>
          <w:i/>
          <w:sz w:val="22"/>
        </w:rPr>
        <w:t>C</w:t>
      </w:r>
      <w:r w:rsidRPr="00685693">
        <w:rPr>
          <w:rFonts w:ascii="Arial" w:hAnsi="Arial" w:cs="Arial"/>
          <w:i/>
          <w:sz w:val="22"/>
          <w:vertAlign w:val="subscript"/>
        </w:rPr>
        <w:t>SH</w:t>
      </w:r>
      <w:r w:rsidRPr="00685693">
        <w:rPr>
          <w:rFonts w:ascii="Arial" w:hAnsi="Arial" w:cs="Arial"/>
          <w:sz w:val="22"/>
        </w:rPr>
        <w:t xml:space="preserve">). Both </w:t>
      </w:r>
      <w:r w:rsidRPr="00685693">
        <w:rPr>
          <w:rFonts w:ascii="Arial" w:hAnsi="Arial" w:cs="Arial"/>
          <w:i/>
          <w:sz w:val="22"/>
        </w:rPr>
        <w:t>C’</w:t>
      </w:r>
      <w:r w:rsidRPr="00685693">
        <w:rPr>
          <w:rFonts w:ascii="Arial" w:hAnsi="Arial" w:cs="Arial"/>
          <w:i/>
          <w:sz w:val="22"/>
          <w:vertAlign w:val="subscript"/>
        </w:rPr>
        <w:t>SH</w:t>
      </w:r>
      <w:r w:rsidRPr="00685693">
        <w:rPr>
          <w:rFonts w:ascii="Arial" w:hAnsi="Arial" w:cs="Arial"/>
          <w:sz w:val="22"/>
        </w:rPr>
        <w:t xml:space="preserve"> and </w:t>
      </w:r>
      <w:r w:rsidRPr="00685693">
        <w:rPr>
          <w:rFonts w:ascii="Arial" w:hAnsi="Arial" w:cs="Arial"/>
          <w:i/>
          <w:sz w:val="22"/>
        </w:rPr>
        <w:t>C</w:t>
      </w:r>
      <w:r w:rsidRPr="00685693">
        <w:rPr>
          <w:rFonts w:ascii="Arial" w:hAnsi="Arial" w:cs="Arial"/>
          <w:i/>
          <w:sz w:val="22"/>
          <w:vertAlign w:val="subscript"/>
        </w:rPr>
        <w:t>SH</w:t>
      </w:r>
      <w:r w:rsidRPr="00685693">
        <w:rPr>
          <w:rFonts w:ascii="Arial" w:hAnsi="Arial" w:cs="Arial"/>
          <w:sz w:val="22"/>
        </w:rPr>
        <w:t xml:space="preserve"> were determined according to Eq. (2).</w:t>
      </w:r>
    </w:p>
    <w:p w14:paraId="7BC96A87" w14:textId="77777777" w:rsidR="00FA0FA3" w:rsidRPr="00685693" w:rsidRDefault="00FA0FA3" w:rsidP="00FA0FA3">
      <w:pPr>
        <w:spacing w:line="480" w:lineRule="auto"/>
        <w:rPr>
          <w:rFonts w:ascii="Arial" w:hAnsi="Arial" w:cs="Arial"/>
          <w:b/>
          <w:sz w:val="22"/>
        </w:rPr>
      </w:pPr>
      <w:r w:rsidRPr="00685693">
        <w:rPr>
          <w:rFonts w:ascii="Arial" w:hAnsi="Arial" w:cs="Arial"/>
          <w:b/>
          <w:sz w:val="22"/>
        </w:rPr>
        <w:t xml:space="preserve">Animal procedures </w:t>
      </w:r>
    </w:p>
    <w:p w14:paraId="7908C496" w14:textId="0672C5E4"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t xml:space="preserve">60 female KM mice, weighing between 18-22 g, were randomly divided into six groups. The mice in the model group </w:t>
      </w:r>
      <w:r w:rsidRPr="00685693">
        <w:rPr>
          <w:rFonts w:ascii="Arial" w:hAnsi="Arial" w:cs="Arial"/>
          <w:sz w:val="22"/>
        </w:rPr>
        <w:fldChar w:fldCharType="begin"/>
      </w:r>
      <w:r w:rsidRPr="00685693">
        <w:rPr>
          <w:rFonts w:ascii="Arial" w:hAnsi="Arial" w:cs="Arial"/>
          <w:sz w:val="22"/>
        </w:rPr>
        <w:instrText xml:space="preserve"> = 1 \* ROMAN </w:instrText>
      </w:r>
      <w:r w:rsidRPr="00685693">
        <w:rPr>
          <w:rFonts w:ascii="Arial" w:hAnsi="Arial" w:cs="Arial"/>
          <w:sz w:val="22"/>
        </w:rPr>
        <w:fldChar w:fldCharType="separate"/>
      </w:r>
      <w:r w:rsidRPr="00685693">
        <w:rPr>
          <w:rFonts w:ascii="Arial" w:hAnsi="Arial" w:cs="Arial"/>
          <w:sz w:val="22"/>
        </w:rPr>
        <w:t>I</w:t>
      </w:r>
      <w:r w:rsidRPr="00685693">
        <w:rPr>
          <w:rFonts w:ascii="Arial" w:hAnsi="Arial" w:cs="Arial"/>
          <w:sz w:val="22"/>
        </w:rPr>
        <w:fldChar w:fldCharType="end"/>
      </w:r>
      <w:r w:rsidRPr="00685693">
        <w:rPr>
          <w:rFonts w:ascii="Arial" w:hAnsi="Arial" w:cs="Arial"/>
          <w:sz w:val="22"/>
        </w:rPr>
        <w:t xml:space="preserve"> to V were fed a protein-deficient diet containing only 1% casein, and the mice in the control group were fed a normal diet containing 20% casein. The mice were housed in a rearing cage with a temperature of 20-24</w:t>
      </w:r>
      <w:r w:rsidRPr="00685693">
        <w:rPr>
          <w:rFonts w:ascii="Arial" w:hAnsi="Arial" w:cs="Arial"/>
          <w:sz w:val="22"/>
          <w:vertAlign w:val="superscript"/>
        </w:rPr>
        <w:t>o</w:t>
      </w:r>
      <w:r w:rsidRPr="00685693">
        <w:rPr>
          <w:rFonts w:ascii="Arial" w:hAnsi="Arial" w:cs="Arial"/>
          <w:sz w:val="22"/>
        </w:rPr>
        <w:t>C, humidity of 35-60%, and a light-dark cycle of 12 h. The weight changes of mice were monitored every 5 days. Mice were considered to have established a model of moderate malnutrition when they were fed a restrictive diet (containing 2% casein) resulting in a weight loss of more than 30% [</w:t>
      </w:r>
      <w:r w:rsidR="00321E13">
        <w:rPr>
          <w:rFonts w:ascii="Arial" w:hAnsi="Arial" w:cs="Arial"/>
          <w:sz w:val="22"/>
        </w:rPr>
        <w:t>7</w:t>
      </w:r>
      <w:r w:rsidRPr="00685693">
        <w:rPr>
          <w:rFonts w:ascii="Arial" w:hAnsi="Arial" w:cs="Arial"/>
          <w:sz w:val="22"/>
        </w:rPr>
        <w:t>].</w:t>
      </w:r>
    </w:p>
    <w:p w14:paraId="606A9EF5" w14:textId="77777777" w:rsidR="00FA0FA3" w:rsidRPr="00685693" w:rsidRDefault="00FA0FA3" w:rsidP="00FA0FA3">
      <w:pPr>
        <w:autoSpaceDE w:val="0"/>
        <w:autoSpaceDN w:val="0"/>
        <w:adjustRightInd w:val="0"/>
        <w:spacing w:line="480" w:lineRule="auto"/>
        <w:ind w:firstLineChars="200" w:firstLine="440"/>
        <w:rPr>
          <w:rFonts w:ascii="Arial" w:hAnsi="Arial" w:cs="Arial"/>
          <w:sz w:val="22"/>
        </w:rPr>
      </w:pPr>
      <w:r w:rsidRPr="00685693">
        <w:rPr>
          <w:rFonts w:ascii="Arial" w:hAnsi="Arial" w:cs="Arial"/>
          <w:sz w:val="22"/>
        </w:rPr>
        <w:t xml:space="preserve">After successful modeling, the model group </w:t>
      </w:r>
      <w:r w:rsidRPr="00685693">
        <w:rPr>
          <w:rFonts w:ascii="Arial" w:hAnsi="Arial" w:cs="Arial"/>
          <w:sz w:val="22"/>
        </w:rPr>
        <w:fldChar w:fldCharType="begin"/>
      </w:r>
      <w:r w:rsidRPr="00685693">
        <w:rPr>
          <w:rFonts w:ascii="Arial" w:hAnsi="Arial" w:cs="Arial"/>
          <w:sz w:val="22"/>
        </w:rPr>
        <w:instrText xml:space="preserve"> = 1 \* ROMAN </w:instrText>
      </w:r>
      <w:r w:rsidRPr="00685693">
        <w:rPr>
          <w:rFonts w:ascii="Arial" w:hAnsi="Arial" w:cs="Arial"/>
          <w:sz w:val="22"/>
        </w:rPr>
        <w:fldChar w:fldCharType="separate"/>
      </w:r>
      <w:r w:rsidRPr="00685693">
        <w:rPr>
          <w:rFonts w:ascii="Arial" w:hAnsi="Arial" w:cs="Arial"/>
          <w:sz w:val="22"/>
        </w:rPr>
        <w:t>I</w:t>
      </w:r>
      <w:r w:rsidRPr="00685693">
        <w:rPr>
          <w:rFonts w:ascii="Arial" w:hAnsi="Arial" w:cs="Arial"/>
          <w:sz w:val="22"/>
        </w:rPr>
        <w:fldChar w:fldCharType="end"/>
      </w:r>
      <w:r w:rsidRPr="00685693">
        <w:rPr>
          <w:rFonts w:ascii="Arial" w:hAnsi="Arial" w:cs="Arial"/>
          <w:sz w:val="22"/>
        </w:rPr>
        <w:t xml:space="preserve"> was fed with ordinary diet containing 20% casein</w:t>
      </w:r>
      <w:bookmarkStart w:id="10" w:name="_Hlk2616045"/>
      <w:r w:rsidRPr="00685693">
        <w:rPr>
          <w:rFonts w:ascii="Arial" w:hAnsi="Arial" w:cs="Arial"/>
          <w:sz w:val="22"/>
        </w:rPr>
        <w:t>, and model groups II to IV were fed with different doses of APHP (5.0, 1.0 and 0.2 g/kg, respectively) and were continuously fed with protein-deficient diet to ensure the adequacy of other nutrients.</w:t>
      </w:r>
      <w:bookmarkEnd w:id="10"/>
      <w:r w:rsidRPr="00685693">
        <w:rPr>
          <w:rFonts w:ascii="Arial" w:hAnsi="Arial" w:cs="Arial"/>
          <w:sz w:val="22"/>
        </w:rPr>
        <w:t xml:space="preserve"> The body weight and nutritional recovery of the mice were recorded and analyzed every 5 days. Mouse blood samples were collected every 15 days to detect and analyze the blood phase index. The study was carried out according to the “Experimental Animal Management Ordinance of Heilongjiang Province”.</w:t>
      </w:r>
    </w:p>
    <w:p w14:paraId="75610F91" w14:textId="77777777" w:rsidR="00FA0FA3" w:rsidRPr="00685693" w:rsidRDefault="00FA0FA3" w:rsidP="00FA0FA3">
      <w:pPr>
        <w:autoSpaceDE w:val="0"/>
        <w:autoSpaceDN w:val="0"/>
        <w:adjustRightInd w:val="0"/>
        <w:spacing w:line="480" w:lineRule="auto"/>
        <w:rPr>
          <w:rFonts w:ascii="Arial" w:hAnsi="Arial" w:cs="Arial"/>
          <w:b/>
          <w:sz w:val="22"/>
        </w:rPr>
      </w:pPr>
      <w:r w:rsidRPr="00685693">
        <w:rPr>
          <w:rFonts w:ascii="Arial" w:hAnsi="Arial" w:cs="Arial"/>
          <w:b/>
          <w:sz w:val="22"/>
        </w:rPr>
        <w:lastRenderedPageBreak/>
        <w:t>Macrophages phagocytosis</w:t>
      </w:r>
    </w:p>
    <w:p w14:paraId="279F2377" w14:textId="77777777" w:rsidR="00FA0FA3" w:rsidRPr="00685693" w:rsidRDefault="00FA0FA3" w:rsidP="00FA0FA3">
      <w:pPr>
        <w:autoSpaceDE w:val="0"/>
        <w:autoSpaceDN w:val="0"/>
        <w:adjustRightInd w:val="0"/>
        <w:spacing w:line="480" w:lineRule="auto"/>
        <w:ind w:firstLineChars="200" w:firstLine="440"/>
        <w:rPr>
          <w:rFonts w:ascii="Arial" w:hAnsi="Arial" w:cs="Arial"/>
          <w:sz w:val="22"/>
        </w:rPr>
      </w:pPr>
      <w:r w:rsidRPr="00685693">
        <w:rPr>
          <w:rFonts w:ascii="Arial" w:hAnsi="Arial" w:cs="Arial"/>
          <w:sz w:val="22"/>
        </w:rPr>
        <w:t>Mouse peritoneal macrophages were induced by intraperitoneal injection of 0.5 mL 0.5% starch-saline suspension. After 48 h, 0.5 mL of 5% saline-chicken red blood cell suspension was intraperitoneally injected again. After another 12 h, the mice were dislocated from the cervical spine and 2 mL of saline was injected into the abdominal cavity of mice. The mice were gently pressed on the abdomen for 1 min, the syringe needle was inserted into the abdominal cavity, 1 mL of peritoneal fluid was aspirated, and then dropped into two glass carrier slides, placed in an enamel box with wet gauze, transferred to an incubator at 37</w:t>
      </w:r>
      <w:r w:rsidRPr="00685693">
        <w:rPr>
          <w:rFonts w:ascii="Arial" w:hAnsi="Arial" w:cs="Arial"/>
          <w:sz w:val="22"/>
          <w:vertAlign w:val="superscript"/>
        </w:rPr>
        <w:t>o</w:t>
      </w:r>
      <w:r w:rsidRPr="00685693">
        <w:rPr>
          <w:rFonts w:ascii="Arial" w:hAnsi="Arial" w:cs="Arial"/>
          <w:sz w:val="22"/>
        </w:rPr>
        <w:t>C for 30 min, rinsed with saline and dried. Cells were fixed with acetone-methanol (V/V=1:1) solution for 5 min, air-dried, stained with 4% Giemsa phosphate buffer for 30 min, washed with running water, and dried naturally. The morphology of macrophages was observed under an inverted microscope.</w:t>
      </w:r>
    </w:p>
    <w:p w14:paraId="1F205464" w14:textId="77777777" w:rsidR="00FA0FA3" w:rsidRPr="00685693" w:rsidRDefault="00FA0FA3" w:rsidP="00FA0FA3">
      <w:pPr>
        <w:autoSpaceDE w:val="0"/>
        <w:autoSpaceDN w:val="0"/>
        <w:adjustRightInd w:val="0"/>
        <w:spacing w:line="480" w:lineRule="auto"/>
        <w:rPr>
          <w:rFonts w:ascii="Arial" w:hAnsi="Arial" w:cs="Arial"/>
          <w:b/>
          <w:kern w:val="0"/>
          <w:sz w:val="22"/>
        </w:rPr>
      </w:pPr>
      <w:bookmarkStart w:id="11" w:name="OLE_LINK28"/>
      <w:bookmarkStart w:id="12" w:name="OLE_LINK27"/>
      <w:r w:rsidRPr="00685693">
        <w:rPr>
          <w:rFonts w:ascii="Arial" w:hAnsi="Arial" w:cs="Arial"/>
          <w:b/>
          <w:kern w:val="0"/>
          <w:sz w:val="22"/>
        </w:rPr>
        <w:t xml:space="preserve">SOD, CAT, MDA, </w:t>
      </w:r>
      <w:r w:rsidRPr="00685693">
        <w:rPr>
          <w:rFonts w:ascii="Arial" w:hAnsi="Arial" w:cs="Arial"/>
          <w:b/>
          <w:sz w:val="22"/>
        </w:rPr>
        <w:t>Total protein and Albumin</w:t>
      </w:r>
      <w:r w:rsidRPr="00685693">
        <w:rPr>
          <w:rFonts w:ascii="Arial" w:hAnsi="Arial" w:cs="Arial"/>
          <w:b/>
          <w:kern w:val="0"/>
          <w:sz w:val="22"/>
        </w:rPr>
        <w:t xml:space="preserve"> analysis</w:t>
      </w:r>
    </w:p>
    <w:p w14:paraId="365230BC" w14:textId="77777777" w:rsidR="00FA0FA3" w:rsidRPr="00685693" w:rsidRDefault="00FA0FA3" w:rsidP="00FA0FA3">
      <w:pPr>
        <w:autoSpaceDE w:val="0"/>
        <w:autoSpaceDN w:val="0"/>
        <w:adjustRightInd w:val="0"/>
        <w:spacing w:line="480" w:lineRule="auto"/>
        <w:ind w:firstLineChars="200" w:firstLine="440"/>
        <w:rPr>
          <w:rFonts w:ascii="Arial" w:hAnsi="Arial" w:cs="Arial"/>
          <w:kern w:val="0"/>
          <w:sz w:val="22"/>
        </w:rPr>
      </w:pPr>
      <w:bookmarkStart w:id="13" w:name="OLE_LINK33"/>
      <w:bookmarkStart w:id="14" w:name="OLE_LINK29"/>
      <w:bookmarkEnd w:id="11"/>
      <w:bookmarkEnd w:id="12"/>
      <w:r w:rsidRPr="00685693">
        <w:rPr>
          <w:rFonts w:ascii="Arial" w:hAnsi="Arial" w:cs="Arial"/>
          <w:kern w:val="0"/>
          <w:sz w:val="22"/>
        </w:rPr>
        <w:t xml:space="preserve">The contents of SOD, CAT, MDA, total protein and albumin in serum of mice collected in the above experiments were detected by kits. </w:t>
      </w:r>
    </w:p>
    <w:p w14:paraId="0A245CD0" w14:textId="77777777" w:rsidR="00FA0FA3" w:rsidRPr="00685693" w:rsidRDefault="00FA0FA3" w:rsidP="00FA0FA3">
      <w:pPr>
        <w:autoSpaceDE w:val="0"/>
        <w:autoSpaceDN w:val="0"/>
        <w:adjustRightInd w:val="0"/>
        <w:spacing w:line="480" w:lineRule="auto"/>
        <w:rPr>
          <w:rFonts w:ascii="Arial" w:hAnsi="Arial" w:cs="Arial"/>
          <w:b/>
          <w:kern w:val="0"/>
          <w:sz w:val="22"/>
        </w:rPr>
      </w:pPr>
      <w:r w:rsidRPr="00685693">
        <w:rPr>
          <w:rFonts w:ascii="Arial" w:hAnsi="Arial" w:cs="Arial"/>
          <w:b/>
          <w:kern w:val="0"/>
          <w:sz w:val="22"/>
        </w:rPr>
        <w:t>Organ morphological analysis</w:t>
      </w:r>
    </w:p>
    <w:p w14:paraId="30095A1A" w14:textId="77777777" w:rsidR="00FA0FA3" w:rsidRPr="00685693" w:rsidRDefault="00FA0FA3" w:rsidP="00FA0FA3">
      <w:pPr>
        <w:spacing w:line="480" w:lineRule="auto"/>
        <w:ind w:firstLineChars="200" w:firstLine="440"/>
        <w:rPr>
          <w:rFonts w:ascii="Arial" w:hAnsi="Arial" w:cs="Arial"/>
          <w:kern w:val="0"/>
          <w:sz w:val="22"/>
        </w:rPr>
      </w:pPr>
      <w:r w:rsidRPr="00685693">
        <w:rPr>
          <w:rFonts w:ascii="Arial" w:hAnsi="Arial" w:cs="Arial"/>
          <w:sz w:val="22"/>
        </w:rPr>
        <w:t xml:space="preserve">At the end of the experiment, the mice were sacrificed by cervical dislocation and completely autopsied after the last weighing. The organs of thymus, spleen, liver, kidney, brain and heart were weighed and stored in 4% paraformaldehyde. </w:t>
      </w:r>
      <w:r w:rsidRPr="00685693">
        <w:rPr>
          <w:rFonts w:ascii="Arial" w:hAnsi="Arial" w:cs="Arial"/>
          <w:kern w:val="0"/>
          <w:sz w:val="22"/>
        </w:rPr>
        <w:t xml:space="preserve">The tissue samples were routinely embedded in paraffin, sectioned and stained with </w:t>
      </w:r>
      <w:r w:rsidRPr="00685693">
        <w:rPr>
          <w:rFonts w:ascii="Arial" w:hAnsi="Arial" w:cs="Arial"/>
          <w:sz w:val="22"/>
        </w:rPr>
        <w:t>haematoxylin and eosin</w:t>
      </w:r>
      <w:r w:rsidRPr="00685693">
        <w:rPr>
          <w:rFonts w:ascii="Arial" w:hAnsi="Arial" w:cs="Arial"/>
          <w:kern w:val="0"/>
          <w:sz w:val="22"/>
        </w:rPr>
        <w:t>, and then observed and photographed under the microscope.</w:t>
      </w:r>
    </w:p>
    <w:bookmarkEnd w:id="13"/>
    <w:bookmarkEnd w:id="14"/>
    <w:p w14:paraId="71D2564F" w14:textId="77777777" w:rsidR="00FA0FA3" w:rsidRPr="00685693" w:rsidRDefault="00FA0FA3" w:rsidP="00FA0FA3">
      <w:pPr>
        <w:spacing w:line="480" w:lineRule="auto"/>
        <w:rPr>
          <w:rFonts w:ascii="Arial" w:hAnsi="Arial" w:cs="Arial"/>
          <w:b/>
          <w:sz w:val="22"/>
        </w:rPr>
      </w:pPr>
      <w:r w:rsidRPr="00685693">
        <w:rPr>
          <w:rFonts w:ascii="Arial" w:hAnsi="Arial" w:cs="Arial"/>
          <w:b/>
          <w:sz w:val="22"/>
        </w:rPr>
        <w:t>Statistical analysis</w:t>
      </w:r>
    </w:p>
    <w:p w14:paraId="2D45FDC0" w14:textId="77777777" w:rsidR="00FA0FA3" w:rsidRPr="00685693" w:rsidRDefault="00FA0FA3" w:rsidP="00FA0FA3">
      <w:pPr>
        <w:spacing w:line="480" w:lineRule="auto"/>
        <w:ind w:firstLineChars="200" w:firstLine="440"/>
        <w:rPr>
          <w:rFonts w:ascii="Arial" w:hAnsi="Arial" w:cs="Arial"/>
          <w:sz w:val="22"/>
        </w:rPr>
      </w:pPr>
      <w:r w:rsidRPr="00685693">
        <w:rPr>
          <w:rFonts w:ascii="Arial" w:hAnsi="Arial" w:cs="Arial"/>
          <w:sz w:val="22"/>
        </w:rPr>
        <w:lastRenderedPageBreak/>
        <w:t>All the experiments were carried out in triplicate and all data were expressed as mean ± standard deviation (SD).</w:t>
      </w:r>
    </w:p>
    <w:p w14:paraId="5CE9043C" w14:textId="3496A2EC" w:rsidR="00321E13" w:rsidRPr="00321E13" w:rsidRDefault="00321E13" w:rsidP="00321E13">
      <w:pPr>
        <w:spacing w:line="480" w:lineRule="auto"/>
        <w:rPr>
          <w:rFonts w:ascii="Arial" w:hAnsi="Arial" w:cs="Arial" w:hint="eastAsia"/>
          <w:b/>
          <w:sz w:val="22"/>
        </w:rPr>
      </w:pPr>
      <w:bookmarkStart w:id="15" w:name="_ENREF_16"/>
      <w:r w:rsidRPr="00685693">
        <w:rPr>
          <w:rFonts w:ascii="Arial" w:hAnsi="Arial" w:cs="Arial"/>
          <w:b/>
          <w:sz w:val="22"/>
        </w:rPr>
        <w:t>References</w:t>
      </w:r>
    </w:p>
    <w:p w14:paraId="3D2FC429" w14:textId="023FBF9D" w:rsidR="00321E13" w:rsidRPr="00685693" w:rsidRDefault="00321E13" w:rsidP="00321E13">
      <w:pPr>
        <w:pStyle w:val="EndNoteBibliography"/>
        <w:spacing w:line="480" w:lineRule="auto"/>
        <w:rPr>
          <w:rFonts w:ascii="Arial" w:hAnsi="Arial" w:cs="Arial"/>
          <w:sz w:val="22"/>
        </w:rPr>
      </w:pPr>
      <w:r w:rsidRPr="00685693">
        <w:rPr>
          <w:rFonts w:ascii="Arial" w:hAnsi="Arial" w:cs="Arial"/>
          <w:sz w:val="22"/>
        </w:rPr>
        <w:t>[</w:t>
      </w:r>
      <w:r>
        <w:rPr>
          <w:rFonts w:ascii="Arial" w:hAnsi="Arial" w:cs="Arial"/>
          <w:sz w:val="22"/>
        </w:rPr>
        <w:t>1</w:t>
      </w:r>
      <w:r w:rsidRPr="00685693">
        <w:rPr>
          <w:rFonts w:ascii="Arial" w:hAnsi="Arial" w:cs="Arial"/>
          <w:sz w:val="22"/>
        </w:rPr>
        <w:t>]</w:t>
      </w:r>
      <w:r w:rsidRPr="00685693">
        <w:rPr>
          <w:rFonts w:ascii="Arial" w:hAnsi="Arial" w:cs="Arial"/>
          <w:sz w:val="22"/>
        </w:rPr>
        <w:tab/>
        <w:t>F.J. Monahan, J.B. German, J.E. Kinsella. Effect of pH and temperature on protein unfolding and thiol/disulfide interchange reactions during heat-induced gelation of whey proteins. Journal of Agricultural &amp; Food Chemistry. 43 (1) (1995) 46-52.</w:t>
      </w:r>
      <w:bookmarkEnd w:id="15"/>
    </w:p>
    <w:p w14:paraId="6C851FA0" w14:textId="2AC2159D" w:rsidR="00321E13" w:rsidRPr="00685693" w:rsidRDefault="00321E13" w:rsidP="00321E13">
      <w:pPr>
        <w:pStyle w:val="EndNoteBibliography"/>
        <w:spacing w:line="480" w:lineRule="auto"/>
        <w:rPr>
          <w:rFonts w:ascii="Arial" w:hAnsi="Arial" w:cs="Arial"/>
          <w:sz w:val="22"/>
        </w:rPr>
      </w:pPr>
      <w:bookmarkStart w:id="16" w:name="_ENREF_17"/>
      <w:r w:rsidRPr="00685693">
        <w:rPr>
          <w:rFonts w:ascii="Arial" w:hAnsi="Arial" w:cs="Arial"/>
          <w:sz w:val="22"/>
        </w:rPr>
        <w:t>[</w:t>
      </w:r>
      <w:r>
        <w:rPr>
          <w:rFonts w:ascii="Arial" w:hAnsi="Arial" w:cs="Arial"/>
          <w:sz w:val="22"/>
        </w:rPr>
        <w:t>2</w:t>
      </w:r>
      <w:r w:rsidRPr="00685693">
        <w:rPr>
          <w:rFonts w:ascii="Arial" w:hAnsi="Arial" w:cs="Arial"/>
          <w:sz w:val="22"/>
        </w:rPr>
        <w:t>]</w:t>
      </w:r>
      <w:r w:rsidRPr="00685693">
        <w:rPr>
          <w:rFonts w:ascii="Arial" w:hAnsi="Arial" w:cs="Arial"/>
          <w:sz w:val="22"/>
        </w:rPr>
        <w:tab/>
        <w:t>K. Norman, C. Pichard, H. Lochs, M. Pirlich. Prognostic impact of disease-related malnutrition. Clinical Nutrition. 27 (1) (2008) 5-15.</w:t>
      </w:r>
      <w:bookmarkEnd w:id="16"/>
    </w:p>
    <w:p w14:paraId="4A1B28F2" w14:textId="627AB7B6" w:rsidR="00321E13" w:rsidRPr="00685693" w:rsidRDefault="00321E13" w:rsidP="00321E13">
      <w:pPr>
        <w:pStyle w:val="EndNoteBibliography"/>
        <w:spacing w:line="480" w:lineRule="auto"/>
        <w:rPr>
          <w:rFonts w:ascii="Arial" w:hAnsi="Arial" w:cs="Arial"/>
          <w:sz w:val="22"/>
        </w:rPr>
      </w:pPr>
      <w:bookmarkStart w:id="17" w:name="_ENREF_18"/>
      <w:r w:rsidRPr="00685693">
        <w:rPr>
          <w:rFonts w:ascii="Arial" w:hAnsi="Arial" w:cs="Arial"/>
          <w:sz w:val="22"/>
        </w:rPr>
        <w:t>[</w:t>
      </w:r>
      <w:r>
        <w:rPr>
          <w:rFonts w:ascii="Arial" w:hAnsi="Arial" w:cs="Arial"/>
          <w:sz w:val="22"/>
        </w:rPr>
        <w:t>3</w:t>
      </w:r>
      <w:r w:rsidRPr="00685693">
        <w:rPr>
          <w:rFonts w:ascii="Arial" w:hAnsi="Arial" w:cs="Arial"/>
          <w:sz w:val="22"/>
        </w:rPr>
        <w:t>]</w:t>
      </w:r>
      <w:r w:rsidRPr="00685693">
        <w:rPr>
          <w:rFonts w:ascii="Arial" w:hAnsi="Arial" w:cs="Arial"/>
          <w:sz w:val="22"/>
        </w:rPr>
        <w:tab/>
        <w:t>Ozkan, Olgun, Sa?maz, Abacio?lu, Okuyan, Cevik. Nutrition, immunity and infections: T lymphocyte subpopulations in protein--energy malnutrition. Journal of tropical pediatrics. (1993).</w:t>
      </w:r>
      <w:bookmarkEnd w:id="17"/>
    </w:p>
    <w:p w14:paraId="0EFEB471" w14:textId="658DCFBD" w:rsidR="00321E13" w:rsidRPr="00685693" w:rsidRDefault="00321E13" w:rsidP="00321E13">
      <w:pPr>
        <w:pStyle w:val="EndNoteBibliography"/>
        <w:spacing w:line="480" w:lineRule="auto"/>
        <w:rPr>
          <w:rFonts w:ascii="Arial" w:hAnsi="Arial" w:cs="Arial"/>
          <w:sz w:val="22"/>
        </w:rPr>
      </w:pPr>
      <w:bookmarkStart w:id="18" w:name="_ENREF_19"/>
      <w:r w:rsidRPr="00685693">
        <w:rPr>
          <w:rFonts w:ascii="Arial" w:hAnsi="Arial" w:cs="Arial"/>
          <w:sz w:val="22"/>
        </w:rPr>
        <w:t>[</w:t>
      </w:r>
      <w:r>
        <w:rPr>
          <w:rFonts w:ascii="Arial" w:hAnsi="Arial" w:cs="Arial"/>
          <w:sz w:val="22"/>
        </w:rPr>
        <w:t>4</w:t>
      </w:r>
      <w:r w:rsidRPr="00685693">
        <w:rPr>
          <w:rFonts w:ascii="Arial" w:hAnsi="Arial" w:cs="Arial"/>
          <w:sz w:val="22"/>
        </w:rPr>
        <w:t>]</w:t>
      </w:r>
      <w:r w:rsidRPr="00685693">
        <w:rPr>
          <w:rFonts w:ascii="Arial" w:hAnsi="Arial" w:cs="Arial"/>
          <w:sz w:val="22"/>
        </w:rPr>
        <w:tab/>
        <w:t xml:space="preserve">H. Qiao, X. Bi, Y. Zhang, M. Liu, Y. Bao. Enzymic polypeptide antioxidant activity and inhibitory activity on α-glucosidase and α-amylase from </w:t>
      </w:r>
      <w:r w:rsidRPr="00685693">
        <w:rPr>
          <w:rFonts w:ascii="Arial" w:hAnsi="Arial" w:cs="Arial"/>
          <w:i/>
          <w:iCs/>
          <w:sz w:val="22"/>
        </w:rPr>
        <w:t>Paeonia ostii</w:t>
      </w:r>
      <w:r w:rsidRPr="00685693">
        <w:rPr>
          <w:rFonts w:ascii="Arial" w:hAnsi="Arial" w:cs="Arial"/>
          <w:sz w:val="22"/>
        </w:rPr>
        <w:t xml:space="preserve"> cake. Industrial Crops and Products. 46 (31) (2020) 112158.</w:t>
      </w:r>
      <w:bookmarkEnd w:id="18"/>
    </w:p>
    <w:p w14:paraId="5C5D1570" w14:textId="76A4ADB3" w:rsidR="00321E13" w:rsidRPr="00685693" w:rsidRDefault="00321E13" w:rsidP="00321E13">
      <w:pPr>
        <w:pStyle w:val="EndNoteBibliography"/>
        <w:spacing w:line="480" w:lineRule="auto"/>
        <w:rPr>
          <w:rFonts w:ascii="Arial" w:hAnsi="Arial" w:cs="Arial"/>
          <w:sz w:val="22"/>
        </w:rPr>
      </w:pPr>
      <w:bookmarkStart w:id="19" w:name="_ENREF_20"/>
      <w:r w:rsidRPr="00685693">
        <w:rPr>
          <w:rFonts w:ascii="Arial" w:hAnsi="Arial" w:cs="Arial"/>
          <w:sz w:val="22"/>
        </w:rPr>
        <w:t>[</w:t>
      </w:r>
      <w:r>
        <w:rPr>
          <w:rFonts w:ascii="Arial" w:hAnsi="Arial" w:cs="Arial"/>
          <w:sz w:val="22"/>
        </w:rPr>
        <w:t>5</w:t>
      </w:r>
      <w:r w:rsidRPr="00685693">
        <w:rPr>
          <w:rFonts w:ascii="Arial" w:hAnsi="Arial" w:cs="Arial"/>
          <w:sz w:val="22"/>
        </w:rPr>
        <w:t>]</w:t>
      </w:r>
      <w:r w:rsidRPr="00685693">
        <w:rPr>
          <w:rFonts w:ascii="Arial" w:hAnsi="Arial" w:cs="Arial"/>
          <w:sz w:val="22"/>
        </w:rPr>
        <w:tab/>
        <w:t>W. Qu, H. Ma, B. Liu, R. He, Z. Pan, E.E. Abano. Enzymolysis reaction kinetics and thermodynamics of defatted wheat germ protein with ultrasonic pretreatment. Ultrasonics Sonochemistry. 20 (6) (2013) 1408-1413.</w:t>
      </w:r>
      <w:bookmarkEnd w:id="19"/>
    </w:p>
    <w:p w14:paraId="7A0C40FA" w14:textId="30CA1AD6" w:rsidR="00321E13" w:rsidRPr="00685693" w:rsidRDefault="00321E13" w:rsidP="00321E13">
      <w:pPr>
        <w:pStyle w:val="EndNoteBibliography"/>
        <w:spacing w:line="480" w:lineRule="auto"/>
        <w:rPr>
          <w:rFonts w:ascii="Arial" w:hAnsi="Arial" w:cs="Arial"/>
          <w:sz w:val="22"/>
        </w:rPr>
      </w:pPr>
      <w:bookmarkStart w:id="20" w:name="_ENREF_21"/>
      <w:r w:rsidRPr="00685693">
        <w:rPr>
          <w:rFonts w:ascii="Arial" w:hAnsi="Arial" w:cs="Arial"/>
          <w:sz w:val="22"/>
        </w:rPr>
        <w:t>[</w:t>
      </w:r>
      <w:r>
        <w:rPr>
          <w:rFonts w:ascii="Arial" w:hAnsi="Arial" w:cs="Arial"/>
          <w:sz w:val="22"/>
        </w:rPr>
        <w:t>6</w:t>
      </w:r>
      <w:r w:rsidRPr="00685693">
        <w:rPr>
          <w:rFonts w:ascii="Arial" w:hAnsi="Arial" w:cs="Arial"/>
          <w:sz w:val="22"/>
        </w:rPr>
        <w:t>]</w:t>
      </w:r>
      <w:r w:rsidRPr="00685693">
        <w:rPr>
          <w:rFonts w:ascii="Arial" w:hAnsi="Arial" w:cs="Arial"/>
          <w:sz w:val="22"/>
        </w:rPr>
        <w:tab/>
        <w:t>H.P. Redmond, P. Leon, M.D. Lieberman, K. Hofmann, J. Shou, J.V. Reynolds, et al. Impaired macrophage function in severe protein-energy malnutrition. Archives of surgery (Chicago, Ill : 1960). 126 (2) (1991) 192-196.</w:t>
      </w:r>
      <w:bookmarkEnd w:id="20"/>
    </w:p>
    <w:p w14:paraId="4325A81D" w14:textId="0CC72ADE" w:rsidR="00321E13" w:rsidRPr="00685693" w:rsidRDefault="00321E13" w:rsidP="00321E13">
      <w:pPr>
        <w:pStyle w:val="EndNoteBibliography"/>
        <w:spacing w:line="480" w:lineRule="auto"/>
        <w:rPr>
          <w:rFonts w:ascii="Arial" w:hAnsi="Arial" w:cs="Arial"/>
          <w:sz w:val="22"/>
        </w:rPr>
      </w:pPr>
      <w:bookmarkStart w:id="21" w:name="_ENREF_22"/>
      <w:r w:rsidRPr="00685693">
        <w:rPr>
          <w:rFonts w:ascii="Arial" w:hAnsi="Arial" w:cs="Arial"/>
          <w:sz w:val="22"/>
        </w:rPr>
        <w:t>[</w:t>
      </w:r>
      <w:r>
        <w:rPr>
          <w:rFonts w:ascii="Arial" w:hAnsi="Arial" w:cs="Arial"/>
          <w:sz w:val="22"/>
        </w:rPr>
        <w:t>7</w:t>
      </w:r>
      <w:r w:rsidRPr="00685693">
        <w:rPr>
          <w:rFonts w:ascii="Arial" w:hAnsi="Arial" w:cs="Arial"/>
          <w:sz w:val="22"/>
        </w:rPr>
        <w:t>]</w:t>
      </w:r>
      <w:r w:rsidRPr="00685693">
        <w:rPr>
          <w:rFonts w:ascii="Arial" w:hAnsi="Arial" w:cs="Arial"/>
          <w:sz w:val="22"/>
        </w:rPr>
        <w:tab/>
        <w:t xml:space="preserve">S.R. Trevino, J.M. Scholtz, C.N. Pace. Amino acid contribution to protein solubility: Asp, Glu, and Ser contribute more favorably than the other hydrophilic amino acids in </w:t>
      </w:r>
      <w:r w:rsidRPr="00685693">
        <w:rPr>
          <w:rFonts w:ascii="Arial" w:hAnsi="Arial" w:cs="Arial"/>
          <w:sz w:val="22"/>
        </w:rPr>
        <w:lastRenderedPageBreak/>
        <w:t>RNase Sa. Journal of Molecular Biology. 366 (2) (2007) 449-460.</w:t>
      </w:r>
      <w:bookmarkEnd w:id="21"/>
    </w:p>
    <w:p w14:paraId="408316EA" w14:textId="77777777" w:rsidR="001E1E13" w:rsidRPr="00FA0FA3" w:rsidRDefault="001E1E13"/>
    <w:sectPr w:rsidR="001E1E13" w:rsidRPr="00FA0FA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0FA3"/>
    <w:rsid w:val="001E1E13"/>
    <w:rsid w:val="00321E13"/>
    <w:rsid w:val="00FA0F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BD9004"/>
  <w15:chartTrackingRefBased/>
  <w15:docId w15:val="{057AF834-2A9F-4861-AAA5-9977CC29F1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A0FA3"/>
    <w:pPr>
      <w:widowControl w:val="0"/>
      <w:jc w:val="both"/>
    </w:pPr>
    <w:rPr>
      <w:rFonts w:ascii="Times New Roman" w:eastAsia="宋体" w:hAnsi="Times New Roman"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ndNoteBibliography">
    <w:name w:val="EndNote Bibliography"/>
    <w:basedOn w:val="a"/>
    <w:link w:val="EndNoteBibliographyChar"/>
    <w:rsid w:val="00321E13"/>
    <w:rPr>
      <w:rFonts w:ascii="等线" w:eastAsia="等线" w:hAnsi="等线"/>
      <w:noProof/>
      <w:sz w:val="20"/>
    </w:rPr>
  </w:style>
  <w:style w:type="character" w:customStyle="1" w:styleId="EndNoteBibliographyChar">
    <w:name w:val="EndNote Bibliography Char"/>
    <w:basedOn w:val="a0"/>
    <w:link w:val="EndNoteBibliography"/>
    <w:rsid w:val="00321E13"/>
    <w:rPr>
      <w:rFonts w:ascii="等线" w:eastAsia="等线" w:hAnsi="等线" w:cs="Times New Roman"/>
      <w:noProof/>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4.wmf"/><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wmf"/><Relationship Id="rId11" Type="http://schemas.openxmlformats.org/officeDocument/2006/relationships/image" Target="media/image8.wmf"/><Relationship Id="rId5" Type="http://schemas.openxmlformats.org/officeDocument/2006/relationships/image" Target="media/image2.wmf"/><Relationship Id="rId10" Type="http://schemas.openxmlformats.org/officeDocument/2006/relationships/image" Target="media/image7.wmf"/><Relationship Id="rId4" Type="http://schemas.openxmlformats.org/officeDocument/2006/relationships/image" Target="media/image1.wmf"/><Relationship Id="rId9" Type="http://schemas.openxmlformats.org/officeDocument/2006/relationships/image" Target="media/image6.wm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8</Pages>
  <Words>1618</Words>
  <Characters>9223</Characters>
  <Application>Microsoft Office Word</Application>
  <DocSecurity>0</DocSecurity>
  <Lines>76</Lines>
  <Paragraphs>21</Paragraphs>
  <ScaleCrop>false</ScaleCrop>
  <Company/>
  <LinksUpToDate>false</LinksUpToDate>
  <CharactersWithSpaces>10820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魏 亮</dc:creator>
  <cp:keywords/>
  <dc:description/>
  <cp:lastModifiedBy>魏 亮</cp:lastModifiedBy>
  <cp:revision>2</cp:revision>
  <dcterms:created xsi:type="dcterms:W3CDTF">2022-08-31T10:40:00Z</dcterms:created>
  <dcterms:modified xsi:type="dcterms:W3CDTF">2022-08-31T10:44:00Z</dcterms:modified>
</cp:coreProperties>
</file>