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" w:hanging="6"/>
        <w:jc w:val="both"/>
        <w:rPr>
          <w:rFonts w:ascii="Times New Roman" w:eastAsia="新細明體" w:hAnsi="Times New Roman" w:cs="Times New Roman"/>
          <w:color w:val="auto"/>
          <w:shd w:val="clear" w:color="auto" w:fill="FFFFFF"/>
        </w:rPr>
      </w:pPr>
      <w:r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  <w:t>Supplementary t</w:t>
      </w:r>
      <w:r w:rsidRPr="00F00256"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  <w:t>able 1:</w:t>
      </w:r>
      <w:r w:rsidRPr="00F00256">
        <w:rPr>
          <w:rFonts w:ascii="Times New Roman" w:eastAsia="新細明體" w:hAnsi="Times New Roman" w:cs="Times New Roman"/>
          <w:color w:val="auto"/>
          <w:shd w:val="clear" w:color="auto" w:fill="FFFFFF"/>
        </w:rPr>
        <w:t xml:space="preserve"> </w:t>
      </w:r>
      <w:r w:rsidRPr="00F00256"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  <w:t>Keywords and/or ICD codes used for recruiting patients through CDARS</w:t>
      </w:r>
    </w:p>
    <w:tbl>
      <w:tblPr>
        <w:tblStyle w:val="TableGrid"/>
        <w:tblW w:w="0" w:type="auto"/>
        <w:tblInd w:w="6" w:type="dxa"/>
        <w:tblLook w:val="04A0" w:firstRow="1" w:lastRow="0" w:firstColumn="1" w:lastColumn="0" w:noHBand="0" w:noVBand="1"/>
      </w:tblPr>
      <w:tblGrid>
        <w:gridCol w:w="1549"/>
        <w:gridCol w:w="7461"/>
      </w:tblGrid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b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b/>
                <w:color w:val="auto"/>
                <w:shd w:val="clear" w:color="auto" w:fill="FFFFFF"/>
              </w:rPr>
              <w:t>CDARS code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b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b/>
                <w:color w:val="auto"/>
                <w:shd w:val="clear" w:color="auto" w:fill="FFFFFF"/>
              </w:rPr>
              <w:t>Keywords/ICD code</w:t>
            </w:r>
          </w:p>
        </w:tc>
      </w:tr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277.8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Pearson syndrome, Kearns Sayre syndrome, Mitochondrial Complex I deficiency, Mitochondrial complex IV deficiency</w:t>
            </w:r>
          </w:p>
        </w:tc>
      </w:tr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330.4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 xml:space="preserve">Mitochondrial cytopathy, Myoclonus epilepsy and ragged red fiber, Juvenile Myopathy Encephalopathy Lactic acidosis and Stroke, Mitochondrial myoencephalopathy </w:t>
            </w:r>
          </w:p>
        </w:tc>
      </w:tr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330.8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Leigh’s disease, Alpers-Huttenlocher syndrome</w:t>
            </w:r>
          </w:p>
        </w:tc>
      </w:tr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359.8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Mitochondrial disease, Mitochondrial cytopathy, Mitochondrial lipid glycogen storage myopathy</w:t>
            </w:r>
          </w:p>
        </w:tc>
      </w:tr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377.16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Leber’s optic atrophy</w:t>
            </w:r>
          </w:p>
        </w:tc>
      </w:tr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378.72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Progressive external ophthalmoplegia</w:t>
            </w:r>
          </w:p>
        </w:tc>
      </w:tr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277.9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  <w:vertAlign w:val="superscript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Inborn error of metabolism</w:t>
            </w: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  <w:vertAlign w:val="superscript"/>
              </w:rPr>
              <w:t>*</w:t>
            </w:r>
          </w:p>
        </w:tc>
      </w:tr>
      <w:tr w:rsidR="00491BCD" w:rsidRPr="00F00256" w:rsidTr="00793A6B">
        <w:tc>
          <w:tcPr>
            <w:tcW w:w="1549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330.9</w:t>
            </w:r>
          </w:p>
        </w:tc>
        <w:tc>
          <w:tcPr>
            <w:tcW w:w="7461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Theme="minorEastAsia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Neurodegenerative disease</w:t>
            </w: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  <w:vertAlign w:val="superscript"/>
              </w:rPr>
              <w:t>*</w:t>
            </w:r>
          </w:p>
        </w:tc>
      </w:tr>
    </w:tbl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" w:hanging="6"/>
        <w:jc w:val="both"/>
        <w:rPr>
          <w:rFonts w:ascii="Times New Roman" w:eastAsia="新細明體" w:hAnsi="Times New Roman" w:cs="Times New Roman"/>
          <w:i/>
          <w:iCs/>
          <w:color w:val="auto"/>
          <w:sz w:val="20"/>
          <w:szCs w:val="20"/>
          <w:shd w:val="clear" w:color="auto" w:fill="FFFFFF"/>
        </w:rPr>
      </w:pPr>
      <w:r w:rsidRPr="00F00256">
        <w:rPr>
          <w:rFonts w:ascii="Times New Roman" w:eastAsia="新細明體" w:hAnsi="Times New Roman" w:cs="Times New Roman"/>
          <w:i/>
          <w:iCs/>
          <w:color w:val="auto"/>
          <w:sz w:val="20"/>
          <w:szCs w:val="20"/>
          <w:shd w:val="clear" w:color="auto" w:fill="FFFFFF"/>
          <w:vertAlign w:val="superscript"/>
        </w:rPr>
        <w:t xml:space="preserve">* </w:t>
      </w:r>
      <w:r w:rsidRPr="00F00256">
        <w:rPr>
          <w:rFonts w:ascii="Times New Roman" w:eastAsia="新細明體" w:hAnsi="Times New Roman" w:cs="Times New Roman"/>
          <w:i/>
          <w:iCs/>
          <w:color w:val="auto"/>
          <w:sz w:val="20"/>
          <w:szCs w:val="20"/>
          <w:shd w:val="clear" w:color="auto" w:fill="FFFFFF"/>
        </w:rPr>
        <w:t>The investigator had to be stringent to ensure the final diagnosis of the patient was MD.</w:t>
      </w: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" w:hanging="6"/>
        <w:jc w:val="both"/>
        <w:rPr>
          <w:rFonts w:ascii="Times New Roman" w:eastAsia="新細明體" w:hAnsi="Times New Roman" w:cs="Times New Roman"/>
          <w:i/>
          <w:iCs/>
          <w:color w:val="auto"/>
          <w:sz w:val="20"/>
          <w:szCs w:val="20"/>
          <w:shd w:val="clear" w:color="auto" w:fill="FFFFFF"/>
        </w:rPr>
      </w:pPr>
      <w:r w:rsidRPr="00F00256">
        <w:rPr>
          <w:rFonts w:ascii="Times New Roman" w:eastAsia="新細明體" w:hAnsi="Times New Roman" w:cs="Times New Roman"/>
          <w:i/>
          <w:iCs/>
          <w:color w:val="auto"/>
          <w:sz w:val="20"/>
          <w:szCs w:val="20"/>
          <w:shd w:val="clear" w:color="auto" w:fill="FFFFFF"/>
        </w:rPr>
        <w:t>Abbreviation: CDARS = Clinical Analysis and Reporting System; ICD = International Classification of Diseases</w:t>
      </w: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" w:hanging="6"/>
        <w:jc w:val="both"/>
        <w:rPr>
          <w:rFonts w:ascii="Times New Roman" w:hAnsi="Times New Roman" w:cs="Times New Roman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" w:hanging="6"/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</w:p>
    <w:p w:rsidR="00491BCD" w:rsidRPr="00F00256" w:rsidRDefault="00491BCD" w:rsidP="00491BCD">
      <w:pPr>
        <w:pStyle w:val="Body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</w:pPr>
      <w:r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  <w:t>Supplementary t</w:t>
      </w:r>
      <w:r w:rsidRPr="00F00256"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  <w:t xml:space="preserve">able 2: </w:t>
      </w:r>
      <w:r w:rsidRPr="00F00256">
        <w:rPr>
          <w:rFonts w:ascii="Times New Roman" w:eastAsia="新細明體" w:hAnsi="Times New Roman" w:cs="Times New Roman"/>
          <w:b/>
          <w:color w:val="auto"/>
          <w:shd w:val="clear" w:color="auto" w:fill="FFFFFF"/>
        </w:rPr>
        <w:t>Institutional Review Board (IRB)</w:t>
      </w:r>
      <w:r w:rsidRPr="00F00256">
        <w:rPr>
          <w:rFonts w:ascii="Times New Roman" w:eastAsia="新細明體" w:hAnsi="Times New Roman" w:cs="Times New Roman"/>
          <w:b/>
          <w:bCs/>
          <w:color w:val="auto"/>
          <w:shd w:val="clear" w:color="auto" w:fill="FFFFFF"/>
        </w:rPr>
        <w:t xml:space="preserve"> numbers of involved hospitals in Hong Kong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3918"/>
      </w:tblGrid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b/>
                <w:bCs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Times New Roman" w:hAnsi="Times New Roman" w:cs="Times New Roman"/>
                <w:b/>
                <w:bCs/>
              </w:rPr>
              <w:t>Hospital  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b/>
                <w:bCs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b/>
                <w:bCs/>
                <w:color w:val="auto"/>
                <w:shd w:val="clear" w:color="auto" w:fill="FFFFFF"/>
              </w:rPr>
              <w:t>IRB number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>Alice Ho Miu Ling Nethersole Hospital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shd w:val="clear" w:color="auto" w:fill="FFFFFF"/>
              <w:rPr>
                <w:rFonts w:ascii="Times New Roman" w:eastAsia="新細明體" w:hAnsi="Times New Roman" w:cs="Times New Roman"/>
                <w:shd w:val="clear" w:color="auto" w:fill="FFFFFF"/>
              </w:rPr>
            </w:pPr>
            <w:r w:rsidRPr="00F00256">
              <w:rPr>
                <w:rFonts w:ascii="Times New Roman" w:eastAsia="Times New Roman" w:hAnsi="Times New Roman" w:cs="Times New Roman"/>
                <w:color w:val="000000"/>
              </w:rPr>
              <w:t>2019.018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 xml:space="preserve">Hong Kong Children’s Hospital 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00256">
              <w:rPr>
                <w:rFonts w:ascii="Times New Roman" w:eastAsia="Times New Roman" w:hAnsi="Times New Roman" w:cs="Times New Roman"/>
                <w:color w:val="000000"/>
              </w:rPr>
              <w:t>HKCH-REC-2019-030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Kowloon West Cluster (Princess Margaret Hospital, Yan Chai Hospital, and Caritas Medical Centre)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127-06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 xml:space="preserve">Kwong Wah Hospital 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>REC(KC/KE)-19-0011/ER-2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North District Hospital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2018.311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Prince of Wales Hospital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F00256">
              <w:rPr>
                <w:rFonts w:ascii="Times New Roman" w:eastAsia="Times New Roman" w:hAnsi="Times New Roman" w:cs="Times New Roman"/>
                <w:color w:val="000000"/>
              </w:rPr>
              <w:t>2019.464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Pamela Youde Nethersole Eastern Hospital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>HKECREC-2018-071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 xml:space="preserve">Queen Elizabeth Hospital 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>KC/KE-18-0206/ER-2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 xml:space="preserve">Queen Mary Hospital 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>UW 18-130 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Ruttonjee and Tang Shiu Kin Hospitals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>HKECREC-2018-058</w:t>
            </w:r>
          </w:p>
        </w:tc>
      </w:tr>
      <w:tr w:rsidR="00491BCD" w:rsidRPr="00F00256" w:rsidTr="00793A6B"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>Tseung Kwan O Hospital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>REC(KC/KE)-18-0257/ER-4</w:t>
            </w:r>
          </w:p>
        </w:tc>
      </w:tr>
      <w:tr w:rsidR="00491BCD" w:rsidRPr="00F00256" w:rsidTr="00793A6B">
        <w:trPr>
          <w:trHeight w:val="54"/>
        </w:trPr>
        <w:tc>
          <w:tcPr>
            <w:tcW w:w="509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</w:pPr>
            <w:r w:rsidRPr="00F00256">
              <w:rPr>
                <w:rFonts w:ascii="Times New Roman" w:eastAsia="新細明體" w:hAnsi="Times New Roman" w:cs="Times New Roman"/>
                <w:color w:val="auto"/>
                <w:shd w:val="clear" w:color="auto" w:fill="FFFFFF"/>
              </w:rPr>
              <w:t xml:space="preserve">United Christian Hospital </w:t>
            </w:r>
          </w:p>
        </w:tc>
        <w:tc>
          <w:tcPr>
            <w:tcW w:w="3918" w:type="dxa"/>
          </w:tcPr>
          <w:p w:rsidR="00491BCD" w:rsidRPr="00F00256" w:rsidRDefault="00491BCD" w:rsidP="00793A6B">
            <w:pPr>
              <w:pStyle w:val="BodyA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F00256">
              <w:rPr>
                <w:rFonts w:ascii="Times New Roman" w:eastAsia="Times New Roman" w:hAnsi="Times New Roman" w:cs="Times New Roman"/>
              </w:rPr>
              <w:t>REC/KE)-19-0012/ER-2</w:t>
            </w:r>
          </w:p>
        </w:tc>
      </w:tr>
    </w:tbl>
    <w:p w:rsidR="00491BCD" w:rsidRDefault="00491BCD" w:rsidP="00491BCD">
      <w:pPr>
        <w:rPr>
          <w:rFonts w:ascii="Times New Roman" w:hAnsi="Times New Roman" w:cs="Times New Roman"/>
          <w:b/>
          <w:bCs/>
          <w:lang w:val="en-US"/>
        </w:rPr>
      </w:pPr>
    </w:p>
    <w:p w:rsidR="00491BCD" w:rsidRDefault="00491BCD" w:rsidP="00491BCD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br w:type="page"/>
      </w:r>
    </w:p>
    <w:p w:rsidR="00491BCD" w:rsidRPr="00F00256" w:rsidRDefault="00491BCD" w:rsidP="00491BC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t</w:t>
      </w:r>
      <w:r w:rsidRPr="00F00256">
        <w:rPr>
          <w:rFonts w:ascii="Times New Roman" w:hAnsi="Times New Roman" w:cs="Times New Roman"/>
          <w:b/>
          <w:bCs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lang w:val="en-US"/>
        </w:rPr>
        <w:t>3</w:t>
      </w:r>
      <w:r w:rsidRPr="00F00256">
        <w:rPr>
          <w:rFonts w:ascii="Times New Roman" w:hAnsi="Times New Roman" w:cs="Times New Roman"/>
          <w:b/>
          <w:bCs/>
          <w:lang w:val="en-US"/>
        </w:rPr>
        <w:t>: Types of tissue samples obtained by invasive procedures (total 47 patients) and the examination performed</w:t>
      </w: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047"/>
        <w:gridCol w:w="3477"/>
        <w:gridCol w:w="3260"/>
      </w:tblGrid>
      <w:tr w:rsidR="00491BCD" w:rsidRPr="00F00256" w:rsidTr="00793A6B">
        <w:tc>
          <w:tcPr>
            <w:tcW w:w="5524" w:type="dxa"/>
            <w:gridSpan w:val="2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00256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Characteristics 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00256">
              <w:rPr>
                <w:rFonts w:ascii="Times New Roman" w:hAnsi="Times New Roman" w:cs="Times New Roman"/>
                <w:b/>
                <w:bCs/>
                <w:lang w:val="en-US"/>
              </w:rPr>
              <w:t>Number of patients (% of total)</w:t>
            </w:r>
          </w:p>
        </w:tc>
      </w:tr>
      <w:tr w:rsidR="00491BCD" w:rsidRPr="00F00256" w:rsidTr="00793A6B">
        <w:tc>
          <w:tcPr>
            <w:tcW w:w="2047" w:type="dxa"/>
            <w:vMerge w:val="restart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Tissues samples obtained</w:t>
            </w: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Muscle only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 (44.7)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Skin only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(8.5)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Renal tissue only </w:t>
            </w:r>
            <w:r w:rsidRPr="00F00256">
              <w:rPr>
                <w:rFonts w:ascii="Times New Roman" w:hAnsi="Times New Roman" w:cs="Times New Roman"/>
                <w:vertAlign w:val="superscript"/>
                <w:lang w:val="en-US"/>
              </w:rPr>
              <w:t>a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1 (2.1)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Myocardial tissue only </w:t>
            </w:r>
            <w:r w:rsidRPr="00F00256">
              <w:rPr>
                <w:rFonts w:ascii="Times New Roman" w:hAnsi="Times New Roman" w:cs="Times New Roman"/>
                <w:vertAlign w:val="superscript"/>
                <w:lang w:val="en-US"/>
              </w:rPr>
              <w:t>b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1 (2.1)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Muscle and skin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 (3.4)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vertAlign w:val="superscript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Muscle and kidney</w:t>
            </w:r>
            <w:r w:rsidRPr="00F00256">
              <w:rPr>
                <w:rFonts w:ascii="Times New Roman" w:hAnsi="Times New Roman" w:cs="Times New Roman"/>
                <w:vertAlign w:val="superscript"/>
                <w:lang w:val="en-US"/>
              </w:rPr>
              <w:t xml:space="preserve"> c, d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2 (4.3)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vertAlign w:val="superscript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Muscle and liver </w:t>
            </w:r>
            <w:r w:rsidRPr="00F00256">
              <w:rPr>
                <w:rFonts w:ascii="Times New Roman" w:hAnsi="Times New Roman" w:cs="Times New Roman"/>
                <w:vertAlign w:val="superscript"/>
                <w:lang w:val="en-US"/>
              </w:rPr>
              <w:t>e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1 (2.1)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Muscle, skin and liver </w:t>
            </w:r>
            <w:r w:rsidRPr="00F00256">
              <w:rPr>
                <w:rFonts w:ascii="Times New Roman" w:hAnsi="Times New Roman" w:cs="Times New Roman"/>
                <w:vertAlign w:val="superscript"/>
                <w:lang w:val="en-US"/>
              </w:rPr>
              <w:t>f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1 (2.1)</w:t>
            </w:r>
          </w:p>
        </w:tc>
      </w:tr>
      <w:tr w:rsidR="00491BCD" w:rsidRPr="00F00256" w:rsidTr="00793A6B">
        <w:tc>
          <w:tcPr>
            <w:tcW w:w="2047" w:type="dxa"/>
            <w:vMerge w:val="restart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Examination performed using the tissue samples </w:t>
            </w: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OXPHOS only 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 (19.1)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Histological only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(25.5)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Molecular only 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4 (8.5)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OXPHOS and molecular 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 (31.9)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Histological and molecular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(8.5)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Histological and OXPHOS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3 (6.4)</w:t>
            </w: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</w:p>
        </w:tc>
      </w:tr>
      <w:tr w:rsidR="00491BCD" w:rsidRPr="00F00256" w:rsidTr="00793A6B">
        <w:tc>
          <w:tcPr>
            <w:tcW w:w="2047" w:type="dxa"/>
            <w:vMerge w:val="restart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OXPHOS enzymatic defects (done on total 27 patients)</w:t>
            </w: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Complex I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6 (22.2)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Complex II and III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3 (11.1)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Complex IV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8 (29.6) 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Complex I and IV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5 (18.5)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Complex I, III, and IV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1 (3.7)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Complex II and III, coenzyme Q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1 (3.7)</w:t>
            </w:r>
          </w:p>
        </w:tc>
      </w:tr>
      <w:tr w:rsidR="00491BCD" w:rsidRPr="00F00256" w:rsidTr="00793A6B">
        <w:tc>
          <w:tcPr>
            <w:tcW w:w="2047" w:type="dxa"/>
            <w:vMerge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77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 xml:space="preserve">Normal </w:t>
            </w:r>
          </w:p>
        </w:tc>
        <w:tc>
          <w:tcPr>
            <w:tcW w:w="3260" w:type="dxa"/>
          </w:tcPr>
          <w:p w:rsidR="00491BCD" w:rsidRPr="00F00256" w:rsidRDefault="00491BCD" w:rsidP="00793A6B">
            <w:pPr>
              <w:rPr>
                <w:rFonts w:ascii="Times New Roman" w:hAnsi="Times New Roman" w:cs="Times New Roman"/>
                <w:lang w:val="en-US"/>
              </w:rPr>
            </w:pPr>
            <w:r w:rsidRPr="00F00256">
              <w:rPr>
                <w:rFonts w:ascii="Times New Roman" w:hAnsi="Times New Roman" w:cs="Times New Roman"/>
                <w:lang w:val="en-US"/>
              </w:rPr>
              <w:t>3 (11.1)</w:t>
            </w:r>
          </w:p>
        </w:tc>
      </w:tr>
    </w:tbl>
    <w:p w:rsidR="00491BCD" w:rsidRPr="00F00256" w:rsidRDefault="00491BCD" w:rsidP="00491B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00256">
        <w:rPr>
          <w:rFonts w:ascii="Times New Roman" w:hAnsi="Times New Roman" w:cs="Times New Roman"/>
          <w:i/>
          <w:iCs/>
          <w:sz w:val="20"/>
          <w:szCs w:val="20"/>
          <w:lang w:val="en-US"/>
        </w:rPr>
        <w:t>Case of Kearns Sayre syndrome with Fanconi syndrome, histology showed abnormal mitochondria.</w:t>
      </w:r>
    </w:p>
    <w:p w:rsidR="00491BCD" w:rsidRPr="00F00256" w:rsidRDefault="00491BCD" w:rsidP="00491B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00256">
        <w:rPr>
          <w:rFonts w:ascii="Times New Roman" w:hAnsi="Times New Roman" w:cs="Times New Roman"/>
          <w:i/>
          <w:iCs/>
          <w:sz w:val="20"/>
          <w:szCs w:val="20"/>
          <w:lang w:val="en-US"/>
        </w:rPr>
        <w:t>Case of dilated cardiomyopathy. Endomyocardial biopsy taken but was unsatisfactory for evaluation due to poor yield. Patient was diagnosed later by molecular testing in peripheral blood as TAZ-related cardiomyopathy.</w:t>
      </w:r>
    </w:p>
    <w:p w:rsidR="00491BCD" w:rsidRPr="00F00256" w:rsidRDefault="00491BCD" w:rsidP="00491B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0025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Case of non-syndromic mitochondrial disease with nephrotic range proteinuria; renal biopsy showed chronic changes only.  Molecular testing of muscle detected a pathogenic variant of m.13513G&gt;A. </w:t>
      </w:r>
    </w:p>
    <w:p w:rsidR="00491BCD" w:rsidRPr="00F00256" w:rsidRDefault="00491BCD" w:rsidP="00491B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0025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Case of non-syndromic mitochondrial disease with Fanconi syndrome; renal biopsy showed focal segmental glomerulosclerosis. Molecular testing of muscle and peripheral blood detected a likely pathogenic variant of m.8622delC. </w:t>
      </w:r>
    </w:p>
    <w:p w:rsidR="00491BCD" w:rsidRPr="00F00256" w:rsidRDefault="00491BCD" w:rsidP="00491BC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F00256">
        <w:rPr>
          <w:rFonts w:ascii="Times New Roman" w:hAnsi="Times New Roman" w:cs="Times New Roman"/>
          <w:i/>
          <w:iCs/>
          <w:sz w:val="20"/>
          <w:szCs w:val="20"/>
          <w:lang w:val="en-US"/>
        </w:rPr>
        <w:t>Case of MEGDEL with negative yield of histological examination in muscle and liver. Patient was diagnosed by whole exome sequencing with peripheral blood, detecting compound heterozygous pathogenic variants of SERAC1.</w:t>
      </w:r>
    </w:p>
    <w:p w:rsidR="00D2513F" w:rsidRPr="00491BCD" w:rsidRDefault="00491BCD" w:rsidP="0043428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491BC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Case of non-syndromic complex IV deficiency with unknown molecular basis. OXPHOS enzymology analysis of liver tissue showed mild complex IV deficiency. </w:t>
      </w:r>
      <w:bookmarkStart w:id="0" w:name="_GoBack"/>
      <w:bookmarkEnd w:id="0"/>
    </w:p>
    <w:sectPr w:rsidR="00D2513F" w:rsidRPr="00491BCD" w:rsidSect="00A958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A507E"/>
    <w:multiLevelType w:val="hybridMultilevel"/>
    <w:tmpl w:val="034262B2"/>
    <w:lvl w:ilvl="0" w:tplc="3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CD"/>
    <w:rsid w:val="00011E50"/>
    <w:rsid w:val="00491BCD"/>
    <w:rsid w:val="00D2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59677E-24D7-4FA5-A76C-2288F54D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CD"/>
    <w:pPr>
      <w:spacing w:after="160" w:line="259" w:lineRule="auto"/>
    </w:pPr>
    <w:rPr>
      <w:kern w:val="0"/>
      <w:sz w:val="22"/>
      <w:lang w:val="en-HK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491B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u w:color="000000"/>
      <w:bdr w:val="nil"/>
    </w:rPr>
  </w:style>
  <w:style w:type="table" w:styleId="TableGrid">
    <w:name w:val="Table Grid"/>
    <w:basedOn w:val="TableNormal"/>
    <w:uiPriority w:val="39"/>
    <w:rsid w:val="00491BCD"/>
    <w:rPr>
      <w:kern w:val="0"/>
      <w:sz w:val="22"/>
      <w:lang w:val="en-HK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1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2022-08-30T06:52:00Z</dcterms:created>
  <dcterms:modified xsi:type="dcterms:W3CDTF">2022-08-30T06:52:00Z</dcterms:modified>
</cp:coreProperties>
</file>