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9C3EB" w14:textId="175597C2" w:rsidR="00915CEB" w:rsidRPr="00875A94" w:rsidRDefault="00875A94">
      <w:pPr>
        <w:rPr>
          <w:rFonts w:ascii="Arial" w:hAnsi="Arial" w:cs="Arial"/>
          <w:b/>
          <w:bCs/>
          <w:sz w:val="20"/>
          <w:szCs w:val="20"/>
        </w:rPr>
      </w:pPr>
      <w:r w:rsidRPr="007F314E">
        <w:rPr>
          <w:rFonts w:ascii="Arial" w:hAnsi="Arial" w:cs="Arial"/>
          <w:b/>
          <w:bCs/>
          <w:sz w:val="20"/>
          <w:szCs w:val="20"/>
        </w:rPr>
        <w:t>Supplementary Table 2</w:t>
      </w:r>
      <w:r>
        <w:rPr>
          <w:rFonts w:ascii="Arial" w:hAnsi="Arial" w:cs="Arial"/>
          <w:b/>
          <w:bCs/>
          <w:sz w:val="20"/>
          <w:szCs w:val="20"/>
        </w:rPr>
        <w:t>. Comparison of AE incidence rates across all vaccines.</w:t>
      </w:r>
    </w:p>
    <w:tbl>
      <w:tblPr>
        <w:tblW w:w="16085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4450"/>
        <w:gridCol w:w="1534"/>
        <w:gridCol w:w="1701"/>
        <w:gridCol w:w="1559"/>
        <w:gridCol w:w="1559"/>
        <w:gridCol w:w="1418"/>
        <w:gridCol w:w="1884"/>
        <w:gridCol w:w="1980"/>
      </w:tblGrid>
      <w:tr w:rsidR="00875A94" w14:paraId="4A417087" w14:textId="77777777" w:rsidTr="00785947">
        <w:tblPrEx>
          <w:tblCellMar>
            <w:top w:w="0" w:type="dxa"/>
            <w:bottom w:w="0" w:type="dxa"/>
          </w:tblCellMar>
        </w:tblPrEx>
        <w:trPr>
          <w:trHeight w:val="323"/>
        </w:trPr>
        <w:tc>
          <w:tcPr>
            <w:tcW w:w="445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2E78E53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AESI</w:t>
            </w:r>
          </w:p>
        </w:tc>
        <w:tc>
          <w:tcPr>
            <w:tcW w:w="15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4BB01E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AZD1222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B01796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BNT162b2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85B82A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mRNA-1273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F6F648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Ad26.COV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2.S</w:t>
            </w:r>
            <w:proofErr w:type="gramEnd"/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52E585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CoronaVac</w:t>
            </w:r>
          </w:p>
        </w:tc>
        <w:tc>
          <w:tcPr>
            <w:tcW w:w="18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3C1674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SARS-CoV-2</w:t>
            </w:r>
          </w:p>
        </w:tc>
        <w:tc>
          <w:tcPr>
            <w:tcW w:w="19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03632A3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val="en-GB"/>
              </w:rPr>
              <w:t>References</w:t>
            </w:r>
          </w:p>
        </w:tc>
      </w:tr>
      <w:tr w:rsidR="00875A94" w14:paraId="144A4130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4B86D8AA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Myocarditis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F32C1A2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293B2F75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5E98598B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5B012A0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EC73189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5AC40B17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FF" w:fill="auto"/>
          </w:tcPr>
          <w:p w14:paraId="2DEA65A5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</w:p>
        </w:tc>
      </w:tr>
      <w:tr w:rsidR="00875A94" w14:paraId="03AF13AC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FB38488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1–28 days: first dose/positive test IRR (95% CI) 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F05B28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1.29 (1.05, 1.58)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E5C9D9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1.31 (1.03, 1.66)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7D6C24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2.97 (1.34, 6.58)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A608C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468892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F1F4DF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9.76 (7.51, 12.69)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34BF2D1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>Patone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 xml:space="preserve"> et al 2021</w:t>
            </w:r>
          </w:p>
        </w:tc>
      </w:tr>
      <w:tr w:rsidR="00875A94" w14:paraId="3405D280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E92557E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1–28 days: second dose IRR (95% CI) 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E6C2D3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1.00 (0.78, 1.27)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D02D3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1.30 (0.98, 1.72)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24154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9.84 (2.69, 36.03)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C103E9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FFE07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811A1A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ED31CD4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>Patone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 xml:space="preserve"> et al 2021</w:t>
            </w:r>
          </w:p>
        </w:tc>
      </w:tr>
      <w:tr w:rsidR="00875A94" w14:paraId="05FDC7E7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E69381D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1-21 days: Either dose IRR (95% CI) 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9A928C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F4A874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1.51 (0.75, 3.05)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EF2854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EB1594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A79A4B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1.42 (0.42, 4.75)</w:t>
            </w: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70CAE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40E5C76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 xml:space="preserve">Ab </w:t>
            </w: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>Rahmen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 xml:space="preserve"> 2022</w:t>
            </w:r>
          </w:p>
        </w:tc>
      </w:tr>
      <w:tr w:rsidR="00875A94" w14:paraId="7653F0DD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3EAA2C3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Pooled IRR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adj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random  (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95% CI) 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72F560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0.87 (0.44,1.69)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3C11F4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1.09 (0.69,1.71)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89B2AE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2.86 (0.90,9.05)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988C6A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3.21 (0.45,23.10)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4F71C1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CC029C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68CE5AD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>Sturkenboom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 xml:space="preserve"> et al 2022</w:t>
            </w:r>
          </w:p>
        </w:tc>
      </w:tr>
      <w:tr w:rsidR="00875A94" w14:paraId="7B4D9AA4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D4C5862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Adjusted HR (95% CI)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E75216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4EF74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A330B2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900ABB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8A19E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5D03A4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1.08 (0.45, 2.56)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3616ADD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>Tuvali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 xml:space="preserve"> et al 2022</w:t>
            </w:r>
          </w:p>
        </w:tc>
      </w:tr>
      <w:tr w:rsidR="00875A94" w14:paraId="07443FB6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6B32773E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Thrombocytopenia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A15747F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7422E00F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78FA9AEE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4116837D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7BF22F6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AACF4F6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FF" w:fill="auto"/>
          </w:tcPr>
          <w:p w14:paraId="783E40AE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</w:p>
        </w:tc>
      </w:tr>
      <w:tr w:rsidR="00875A94" w14:paraId="6AED9B32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04CDD31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Any thrombocytopenia (&lt;70 years) 1-28 days HRs (95% CIs)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CE83DA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1.71 (1.35–2.16)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A54758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1.00 (0.75–1.34)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ECC44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DF299C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4C4EDE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A649B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B724C7F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>Whitely et al 2021</w:t>
            </w:r>
          </w:p>
        </w:tc>
      </w:tr>
      <w:tr w:rsidR="00875A94" w14:paraId="01063340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867BF21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Thrombocytopenia 1-21 days: Either dose IRR (95% CI) 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1C3977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2.67 (1.21, 5.89)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57A52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1.18 (0.95, 1.46)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291CD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60429C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82C0C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0.86 (0.62, 1.2)</w:t>
            </w: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E85DF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892C117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 xml:space="preserve">Ab </w:t>
            </w: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>Rahmen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 xml:space="preserve"> 2022</w:t>
            </w:r>
          </w:p>
        </w:tc>
      </w:tr>
      <w:tr w:rsidR="00875A94" w14:paraId="40A6EB80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5E8D1F3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Thrombocytopenia Pooled IRR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adj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random  (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95% CI) 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CB3DDB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1.68 (0.57,4.97)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10D30D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1.21 (0.71,2.07)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7D610E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1.84 (1.07,3.17)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012CEF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2.27 (1.25,4.10)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256DF1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F79B54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C0ED8FB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>Sturkenboom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 xml:space="preserve"> et al 2022</w:t>
            </w:r>
          </w:p>
        </w:tc>
      </w:tr>
      <w:tr w:rsidR="00875A94" w14:paraId="29B19C38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EA570EE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Immune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thrombocytopenia  SIR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 (95% CI) 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EA35BA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2.01 (1.27 to 3.19)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BDD30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1.74 (1.05 to 2.89)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015241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BD5CF6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A3F892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83E383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2.83 (1.18 to 6.80)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ABC0250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>Burn et al 2021 (UK)</w:t>
            </w:r>
          </w:p>
        </w:tc>
      </w:tr>
      <w:tr w:rsidR="00875A94" w14:paraId="74B0B920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DC2CC10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TTS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551B52BC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441D6BC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3CD79502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357C35BC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79263620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49F758BE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FF" w:fill="auto"/>
          </w:tcPr>
          <w:p w14:paraId="31145940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</w:p>
        </w:tc>
      </w:tr>
      <w:tr w:rsidR="00875A94" w14:paraId="6768D4FD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ABAE867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Venous thromboembolism with thrombocytopenia (42 days pre to 14 days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post)  SIR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 (95% CI) 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7280ED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1.13 (0.67 to 1.92)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C8BED7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0.75 (0.41 to 1.40)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E2787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4F55B0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970D4A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5AD3E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3.56 (1.60 to 7.93)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03409CE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>Burn et al 2021 (UK)</w:t>
            </w:r>
          </w:p>
        </w:tc>
      </w:tr>
      <w:tr w:rsidR="00875A94" w14:paraId="4947B904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BBFCDBF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Thrombotic Thrombocytopenia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syndrome  Pooled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 IRR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adj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 random  (95% CI) 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44E676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2.98 (1.67,5.31)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A210D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0.72 (0.26,1.99)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29D94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2.19 (0.30,15.83)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C416E5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AF511F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7C48A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3CBB766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>Sturkenboom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 xml:space="preserve"> et al 2022</w:t>
            </w:r>
          </w:p>
        </w:tc>
      </w:tr>
      <w:tr w:rsidR="00875A94" w14:paraId="73090F67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5F91BD0C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Pulmonary embolism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750E5317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4196A279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4AE3E561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23E3A9E2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6FF90F4D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40CCF2C3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FF" w:fill="auto"/>
          </w:tcPr>
          <w:p w14:paraId="1189EB00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</w:p>
        </w:tc>
      </w:tr>
      <w:tr w:rsidR="00875A94" w14:paraId="08652192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DA0C94C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Pulmonary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embolism  SIR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 (95% CI) 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72B38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1.23 (1.09 to 1.39)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21EF8B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1.21 (1.07 to 1.36)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EF6611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2B40FC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690732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45E88D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15.31 (14.08 to 16.65)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4F72577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>Burn et al 2021 (UK)</w:t>
            </w:r>
          </w:p>
        </w:tc>
      </w:tr>
      <w:tr w:rsidR="00875A94" w14:paraId="7E4210DC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AC5A1A0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Pulmonary embolism (&lt;70 years) 1-28 days HRs (95% CIs)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D64AD1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0.95 (0.85–1.05)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13003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0.78 (0.69–0.88)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9B8EC5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C117CC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BACD18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5ADF6C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439F392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>Whitely et al 2021</w:t>
            </w:r>
          </w:p>
        </w:tc>
      </w:tr>
      <w:tr w:rsidR="00875A94" w14:paraId="35B8F078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478DCC8B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GBS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25ECDDD2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B06754B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1CE73F9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3843D400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D28D4DA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427A624C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FF" w:fill="auto"/>
          </w:tcPr>
          <w:p w14:paraId="6C19D2CD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</w:p>
        </w:tc>
      </w:tr>
      <w:tr w:rsidR="00875A94" w14:paraId="3A241768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2EDF7F3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GBS Pooled IRR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adj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random  (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95% CI) 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4DDC46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1.43 (0.85,2.40)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084FB6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1.10 (0.56,2.15)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E6AA46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EF8E5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5.65 (1.40,22.83)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3F759C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FA46F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2A40A19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>Sturkenboom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 xml:space="preserve"> et al 2022</w:t>
            </w:r>
          </w:p>
        </w:tc>
      </w:tr>
      <w:tr w:rsidR="00875A94" w14:paraId="74F6A090" w14:textId="77777777" w:rsidTr="00785947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45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15A2BEB6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GBS 1-28 days IRR (95% CI) </w:t>
            </w:r>
          </w:p>
        </w:tc>
        <w:tc>
          <w:tcPr>
            <w:tcW w:w="15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F7AFC00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2.04 (1.60,2.60)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C224219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0.86 (0.54, 1.36)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94E9877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73BEFD6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16CC015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411A938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5.25 (3.00, 9.18)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049576AE" w14:textId="77777777" w:rsidR="00875A94" w:rsidRDefault="00875A94" w:rsidP="007859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>Patone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val="en-GB"/>
              </w:rPr>
              <w:t xml:space="preserve"> et al 2021</w:t>
            </w:r>
          </w:p>
        </w:tc>
      </w:tr>
    </w:tbl>
    <w:p w14:paraId="1ABBFD64" w14:textId="77777777" w:rsidR="00875A94" w:rsidRDefault="00875A94" w:rsidP="00875A94">
      <w:pPr>
        <w:rPr>
          <w:rFonts w:ascii="Arial" w:hAnsi="Arial" w:cs="Arial"/>
          <w:sz w:val="16"/>
          <w:szCs w:val="16"/>
        </w:rPr>
      </w:pPr>
    </w:p>
    <w:p w14:paraId="3F061BFB" w14:textId="686C3862" w:rsidR="00875A94" w:rsidRPr="005A2FAD" w:rsidRDefault="00875A94" w:rsidP="00875A94">
      <w:pPr>
        <w:rPr>
          <w:rFonts w:ascii="Arial" w:hAnsi="Arial" w:cs="Arial"/>
          <w:sz w:val="16"/>
          <w:szCs w:val="16"/>
        </w:rPr>
      </w:pPr>
      <w:r w:rsidRPr="005A2FAD">
        <w:rPr>
          <w:rFonts w:ascii="Arial" w:hAnsi="Arial" w:cs="Arial"/>
          <w:sz w:val="16"/>
          <w:szCs w:val="16"/>
        </w:rPr>
        <w:t xml:space="preserve">Abbreviations: </w:t>
      </w:r>
      <w:r>
        <w:rPr>
          <w:rFonts w:ascii="Arial" w:hAnsi="Arial" w:cs="Arial"/>
          <w:sz w:val="16"/>
          <w:szCs w:val="16"/>
        </w:rPr>
        <w:t xml:space="preserve">TTS: thrombosis with thrombocytopenia syndrome; GBS: </w:t>
      </w:r>
      <w:r w:rsidRPr="00362947">
        <w:rPr>
          <w:rFonts w:ascii="Arial" w:hAnsi="Arial" w:cs="Arial"/>
          <w:sz w:val="16"/>
          <w:szCs w:val="16"/>
        </w:rPr>
        <w:t>Guillain-Barré syndrome</w:t>
      </w:r>
      <w:r>
        <w:rPr>
          <w:rFonts w:ascii="Arial" w:hAnsi="Arial" w:cs="Arial"/>
          <w:sz w:val="16"/>
          <w:szCs w:val="16"/>
        </w:rPr>
        <w:t>;</w:t>
      </w:r>
      <w:r w:rsidRPr="00362947">
        <w:rPr>
          <w:rFonts w:ascii="Arial" w:hAnsi="Arial" w:cs="Arial"/>
          <w:sz w:val="16"/>
          <w:szCs w:val="16"/>
        </w:rPr>
        <w:t xml:space="preserve"> </w:t>
      </w:r>
      <w:r w:rsidRPr="005A2FAD">
        <w:rPr>
          <w:rFonts w:ascii="Arial" w:hAnsi="Arial" w:cs="Arial"/>
          <w:sz w:val="16"/>
          <w:szCs w:val="16"/>
        </w:rPr>
        <w:t xml:space="preserve">IRR: incidence rate ratio; </w:t>
      </w:r>
      <w:proofErr w:type="spellStart"/>
      <w:r w:rsidRPr="005A2FAD">
        <w:rPr>
          <w:rFonts w:ascii="Arial" w:hAnsi="Arial" w:cs="Arial"/>
          <w:sz w:val="16"/>
          <w:szCs w:val="16"/>
        </w:rPr>
        <w:t>adj</w:t>
      </w:r>
      <w:proofErr w:type="spellEnd"/>
      <w:r w:rsidRPr="005A2FAD">
        <w:rPr>
          <w:rFonts w:ascii="Arial" w:hAnsi="Arial" w:cs="Arial"/>
          <w:sz w:val="16"/>
          <w:szCs w:val="16"/>
        </w:rPr>
        <w:t>: adjusted; CI: confidence interval; HR: hazard ratio; SIR: standardized incidence ratio</w:t>
      </w:r>
      <w:r>
        <w:rPr>
          <w:rFonts w:ascii="Arial" w:hAnsi="Arial" w:cs="Arial"/>
          <w:sz w:val="16"/>
          <w:szCs w:val="16"/>
        </w:rPr>
        <w:t>.</w:t>
      </w:r>
    </w:p>
    <w:p w14:paraId="0EF90954" w14:textId="49ABB6FB" w:rsidR="00875A94" w:rsidRDefault="00875A94"/>
    <w:p w14:paraId="5B979C4A" w14:textId="77777777" w:rsidR="00875A94" w:rsidRDefault="00875A94"/>
    <w:sectPr w:rsidR="00875A94" w:rsidSect="00875A94">
      <w:pgSz w:w="16838" w:h="11906" w:orient="landscape"/>
      <w:pgMar w:top="1440" w:right="1440" w:bottom="144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A94"/>
    <w:rsid w:val="00875A94"/>
    <w:rsid w:val="00915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5E490"/>
  <w15:chartTrackingRefBased/>
  <w15:docId w15:val="{8FD2F872-8895-45AD-8AC1-34F7A7B82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346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Halliwell, Glen</dc:creator>
  <cp:keywords/>
  <dc:description/>
  <cp:lastModifiedBy>Halliwell, Glen</cp:lastModifiedBy>
  <cp:revision>1</cp:revision>
  <dcterms:created xsi:type="dcterms:W3CDTF">2022-09-02T09:31:00Z</dcterms:created>
  <dcterms:modified xsi:type="dcterms:W3CDTF">2022-09-02T09:33:00Z</dcterms:modified>
</cp:coreProperties>
</file>