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D80E" w14:textId="77777777" w:rsidR="00707196" w:rsidRPr="00497B8F" w:rsidRDefault="00707196" w:rsidP="00707196">
      <w:pPr>
        <w:pStyle w:val="NoSpacing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27-gene </w:t>
      </w:r>
      <w:r w:rsidRPr="00497B8F">
        <w:rPr>
          <w:sz w:val="24"/>
          <w:szCs w:val="24"/>
        </w:rPr>
        <w:t xml:space="preserve">IO score is associated with </w:t>
      </w:r>
      <w:r>
        <w:rPr>
          <w:sz w:val="24"/>
          <w:szCs w:val="24"/>
        </w:rPr>
        <w:t>efficacy</w:t>
      </w:r>
      <w:r w:rsidRPr="00497B8F">
        <w:rPr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 w:rsidRPr="00497B8F">
        <w:rPr>
          <w:sz w:val="24"/>
          <w:szCs w:val="24"/>
        </w:rPr>
        <w:t xml:space="preserve"> </w:t>
      </w:r>
      <w:r>
        <w:rPr>
          <w:sz w:val="24"/>
          <w:szCs w:val="24"/>
        </w:rPr>
        <w:t>PD-1/L1</w:t>
      </w:r>
      <w:r w:rsidRPr="00497B8F">
        <w:rPr>
          <w:sz w:val="24"/>
          <w:szCs w:val="24"/>
        </w:rPr>
        <w:t xml:space="preserve"> inhibitors independent of FGFR expression in a real-world metastatic urothelial carcinoma</w:t>
      </w:r>
      <w:r w:rsidRPr="00760015">
        <w:rPr>
          <w:sz w:val="24"/>
          <w:szCs w:val="24"/>
        </w:rPr>
        <w:t xml:space="preserve"> </w:t>
      </w:r>
      <w:r w:rsidRPr="00497B8F">
        <w:rPr>
          <w:sz w:val="24"/>
          <w:szCs w:val="24"/>
        </w:rPr>
        <w:t>cohort.</w:t>
      </w:r>
    </w:p>
    <w:p w14:paraId="6115EE15" w14:textId="77777777" w:rsidR="00707196" w:rsidRDefault="00707196" w:rsidP="00707196">
      <w:pPr>
        <w:pStyle w:val="NoSpacing"/>
        <w:jc w:val="both"/>
        <w:rPr>
          <w:b/>
          <w:bCs/>
        </w:rPr>
      </w:pPr>
    </w:p>
    <w:p w14:paraId="4CCA6D5C" w14:textId="77777777" w:rsidR="00707196" w:rsidRDefault="00707196" w:rsidP="00707196">
      <w:pPr>
        <w:pStyle w:val="NoSpacing"/>
        <w:jc w:val="both"/>
        <w:rPr>
          <w:b/>
          <w:bCs/>
        </w:rPr>
      </w:pPr>
    </w:p>
    <w:p w14:paraId="486A1A5B" w14:textId="215B75FF" w:rsidR="00707196" w:rsidRDefault="00707196" w:rsidP="00707196">
      <w:pPr>
        <w:pStyle w:val="NoSpacing"/>
        <w:jc w:val="both"/>
      </w:pPr>
      <w:r>
        <w:rPr>
          <w:b/>
          <w:bCs/>
        </w:rPr>
        <w:t>Supplemental Data</w:t>
      </w:r>
      <w:r>
        <w:t>:</w:t>
      </w:r>
    </w:p>
    <w:p w14:paraId="2982006F" w14:textId="77777777" w:rsidR="00707196" w:rsidRDefault="00707196" w:rsidP="00707196">
      <w:pPr>
        <w:pStyle w:val="NoSpacing"/>
        <w:jc w:val="both"/>
      </w:pPr>
      <w:r>
        <w:t xml:space="preserve">Among the </w:t>
      </w:r>
      <w:r>
        <w:rPr>
          <w:rFonts w:ascii="Calibri" w:eastAsia="Calibri" w:hAnsi="Calibri" w:cs="Arial"/>
        </w:rPr>
        <w:t xml:space="preserve">108 patients with FGFR aberration </w:t>
      </w:r>
      <w:r>
        <w:t>UNC (n=14)</w:t>
      </w:r>
      <w:r>
        <w:rPr>
          <w:rFonts w:ascii="Calibri" w:eastAsia="Calibri" w:hAnsi="Calibri" w:cs="Arial"/>
        </w:rPr>
        <w:t>,</w:t>
      </w:r>
      <w:r>
        <w:t xml:space="preserve"> we observed a clinically meaningful response for IO positivity despite the small cohort size.</w:t>
      </w:r>
    </w:p>
    <w:p w14:paraId="7B5760F6" w14:textId="77777777" w:rsidR="00707196" w:rsidRDefault="00707196" w:rsidP="00707196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707196" w14:paraId="5BADE59D" w14:textId="77777777" w:rsidTr="00E839B6">
        <w:tc>
          <w:tcPr>
            <w:tcW w:w="7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B7E0" w14:textId="77777777" w:rsidR="00707196" w:rsidRDefault="00707196" w:rsidP="00E839B6">
            <w:pPr>
              <w:pStyle w:val="NoSpacing"/>
              <w:jc w:val="both"/>
            </w:pPr>
            <w:r w:rsidRPr="0063603C">
              <w:rPr>
                <w:b/>
                <w:bCs/>
              </w:rPr>
              <w:t>Table S1</w:t>
            </w:r>
            <w:r>
              <w:t>. TCGA-BLAD analysis with and without the gene ITM2A.</w:t>
            </w:r>
          </w:p>
        </w:tc>
      </w:tr>
      <w:tr w:rsidR="00707196" w14:paraId="3560310E" w14:textId="77777777" w:rsidTr="00E839B6">
        <w:tc>
          <w:tcPr>
            <w:tcW w:w="1870" w:type="dxa"/>
            <w:tcBorders>
              <w:top w:val="single" w:sz="4" w:space="0" w:color="auto"/>
            </w:tcBorders>
          </w:tcPr>
          <w:p w14:paraId="394E9EB0" w14:textId="77777777" w:rsidR="00707196" w:rsidRDefault="00707196" w:rsidP="00E839B6">
            <w:pPr>
              <w:pStyle w:val="NoSpacing"/>
              <w:jc w:val="center"/>
            </w:pPr>
            <w:r>
              <w:t xml:space="preserve">Cohen’s </w:t>
            </w:r>
            <w:r>
              <w:rPr>
                <w:rFonts w:cstheme="minorHAnsi"/>
              </w:rPr>
              <w:t>κ</w:t>
            </w:r>
            <w:r>
              <w:t xml:space="preserve"> = 0.99</w:t>
            </w:r>
          </w:p>
        </w:tc>
        <w:tc>
          <w:tcPr>
            <w:tcW w:w="5610" w:type="dxa"/>
            <w:gridSpan w:val="3"/>
            <w:tcBorders>
              <w:top w:val="single" w:sz="4" w:space="0" w:color="auto"/>
            </w:tcBorders>
            <w:vAlign w:val="center"/>
          </w:tcPr>
          <w:p w14:paraId="182A99EF" w14:textId="77777777" w:rsidR="00707196" w:rsidRDefault="00707196" w:rsidP="00E839B6">
            <w:pPr>
              <w:pStyle w:val="NoSpacing"/>
              <w:jc w:val="center"/>
            </w:pPr>
            <w:r>
              <w:t>26-genes IO score</w:t>
            </w:r>
          </w:p>
        </w:tc>
      </w:tr>
      <w:tr w:rsidR="00707196" w14:paraId="3FDEC6A2" w14:textId="77777777" w:rsidTr="00E839B6">
        <w:tc>
          <w:tcPr>
            <w:tcW w:w="1870" w:type="dxa"/>
            <w:vMerge w:val="restart"/>
            <w:vAlign w:val="center"/>
          </w:tcPr>
          <w:p w14:paraId="4646A7A6" w14:textId="77777777" w:rsidR="00707196" w:rsidRDefault="00707196" w:rsidP="00E839B6">
            <w:pPr>
              <w:pStyle w:val="NoSpacing"/>
              <w:jc w:val="center"/>
            </w:pPr>
            <w:r>
              <w:t>27-genes IO score</w:t>
            </w:r>
          </w:p>
        </w:tc>
        <w:tc>
          <w:tcPr>
            <w:tcW w:w="1870" w:type="dxa"/>
          </w:tcPr>
          <w:p w14:paraId="1F9A62AC" w14:textId="77777777" w:rsidR="00707196" w:rsidRDefault="00707196" w:rsidP="00E839B6">
            <w:pPr>
              <w:pStyle w:val="NoSpacing"/>
              <w:jc w:val="both"/>
            </w:pPr>
            <w:r>
              <w:t>IO Score</w:t>
            </w:r>
          </w:p>
        </w:tc>
        <w:tc>
          <w:tcPr>
            <w:tcW w:w="1870" w:type="dxa"/>
          </w:tcPr>
          <w:p w14:paraId="00C83263" w14:textId="77777777" w:rsidR="00707196" w:rsidRDefault="00707196" w:rsidP="00E839B6">
            <w:pPr>
              <w:pStyle w:val="NoSpacing"/>
              <w:jc w:val="both"/>
            </w:pPr>
            <w:r>
              <w:t>IO+</w:t>
            </w:r>
          </w:p>
        </w:tc>
        <w:tc>
          <w:tcPr>
            <w:tcW w:w="1870" w:type="dxa"/>
          </w:tcPr>
          <w:p w14:paraId="1B41A189" w14:textId="77777777" w:rsidR="00707196" w:rsidRDefault="00707196" w:rsidP="00E839B6">
            <w:pPr>
              <w:pStyle w:val="NoSpacing"/>
              <w:jc w:val="both"/>
            </w:pPr>
            <w:r>
              <w:t>IO-</w:t>
            </w:r>
          </w:p>
        </w:tc>
      </w:tr>
      <w:tr w:rsidR="00707196" w14:paraId="4C29F48E" w14:textId="77777777" w:rsidTr="00E839B6">
        <w:tc>
          <w:tcPr>
            <w:tcW w:w="1870" w:type="dxa"/>
            <w:vMerge/>
            <w:vAlign w:val="center"/>
          </w:tcPr>
          <w:p w14:paraId="60770D3A" w14:textId="77777777" w:rsidR="00707196" w:rsidRDefault="00707196" w:rsidP="00E839B6">
            <w:pPr>
              <w:pStyle w:val="NoSpacing"/>
              <w:jc w:val="center"/>
            </w:pPr>
          </w:p>
        </w:tc>
        <w:tc>
          <w:tcPr>
            <w:tcW w:w="1870" w:type="dxa"/>
          </w:tcPr>
          <w:p w14:paraId="52436075" w14:textId="77777777" w:rsidR="00707196" w:rsidRDefault="00707196" w:rsidP="00E839B6">
            <w:pPr>
              <w:pStyle w:val="NoSpacing"/>
              <w:jc w:val="both"/>
            </w:pPr>
            <w:r>
              <w:t>IO+</w:t>
            </w:r>
          </w:p>
        </w:tc>
        <w:tc>
          <w:tcPr>
            <w:tcW w:w="1870" w:type="dxa"/>
          </w:tcPr>
          <w:p w14:paraId="7DD8420A" w14:textId="77777777" w:rsidR="00707196" w:rsidRDefault="00707196" w:rsidP="00E839B6">
            <w:pPr>
              <w:pStyle w:val="NoSpacing"/>
              <w:jc w:val="both"/>
            </w:pPr>
            <w:r>
              <w:t>175</w:t>
            </w:r>
          </w:p>
        </w:tc>
        <w:tc>
          <w:tcPr>
            <w:tcW w:w="1870" w:type="dxa"/>
          </w:tcPr>
          <w:p w14:paraId="6C6A7C28" w14:textId="77777777" w:rsidR="00707196" w:rsidRDefault="00707196" w:rsidP="00E839B6">
            <w:pPr>
              <w:pStyle w:val="NoSpacing"/>
              <w:jc w:val="both"/>
            </w:pPr>
            <w:r>
              <w:t>1</w:t>
            </w:r>
          </w:p>
        </w:tc>
      </w:tr>
      <w:tr w:rsidR="00707196" w14:paraId="1A0D3C68" w14:textId="77777777" w:rsidTr="00E839B6">
        <w:tc>
          <w:tcPr>
            <w:tcW w:w="1870" w:type="dxa"/>
            <w:vMerge/>
          </w:tcPr>
          <w:p w14:paraId="0097C654" w14:textId="77777777" w:rsidR="00707196" w:rsidRDefault="00707196" w:rsidP="00E839B6">
            <w:pPr>
              <w:pStyle w:val="NoSpacing"/>
              <w:jc w:val="both"/>
            </w:pPr>
          </w:p>
        </w:tc>
        <w:tc>
          <w:tcPr>
            <w:tcW w:w="1870" w:type="dxa"/>
          </w:tcPr>
          <w:p w14:paraId="59A036B7" w14:textId="77777777" w:rsidR="00707196" w:rsidRDefault="00707196" w:rsidP="00E839B6">
            <w:pPr>
              <w:pStyle w:val="NoSpacing"/>
              <w:jc w:val="both"/>
            </w:pPr>
            <w:r>
              <w:t>IO-</w:t>
            </w:r>
          </w:p>
        </w:tc>
        <w:tc>
          <w:tcPr>
            <w:tcW w:w="1870" w:type="dxa"/>
          </w:tcPr>
          <w:p w14:paraId="725FFF24" w14:textId="77777777" w:rsidR="00707196" w:rsidRDefault="00707196" w:rsidP="00E839B6">
            <w:pPr>
              <w:pStyle w:val="NoSpacing"/>
              <w:jc w:val="both"/>
            </w:pPr>
            <w:r>
              <w:t>2</w:t>
            </w:r>
          </w:p>
        </w:tc>
        <w:tc>
          <w:tcPr>
            <w:tcW w:w="1870" w:type="dxa"/>
          </w:tcPr>
          <w:p w14:paraId="67CC0CA0" w14:textId="77777777" w:rsidR="00707196" w:rsidRDefault="00707196" w:rsidP="00E839B6">
            <w:pPr>
              <w:pStyle w:val="NoSpacing"/>
              <w:jc w:val="both"/>
            </w:pPr>
            <w:r>
              <w:t>255</w:t>
            </w:r>
          </w:p>
        </w:tc>
      </w:tr>
    </w:tbl>
    <w:p w14:paraId="08D312F0" w14:textId="6C9A2A52" w:rsidR="00707196" w:rsidRDefault="00707196" w:rsidP="00707196">
      <w:pPr>
        <w:pStyle w:val="NoSpacing"/>
        <w:jc w:val="both"/>
      </w:pPr>
    </w:p>
    <w:p w14:paraId="7156767C" w14:textId="420B5D3D" w:rsidR="00707196" w:rsidRDefault="00707196" w:rsidP="00707196">
      <w:pPr>
        <w:pStyle w:val="NoSpacing"/>
        <w:jc w:val="both"/>
      </w:pPr>
    </w:p>
    <w:p w14:paraId="4904C234" w14:textId="77777777" w:rsidR="00707196" w:rsidRDefault="00707196" w:rsidP="00707196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7196" w14:paraId="65F92515" w14:textId="77777777" w:rsidTr="00E839B6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A3AA9" w14:textId="77777777" w:rsidR="00707196" w:rsidRPr="003F6BA4" w:rsidRDefault="00707196" w:rsidP="00E839B6">
            <w:pPr>
              <w:pStyle w:val="Caption"/>
              <w:keepNext/>
              <w:spacing w:after="0"/>
              <w:rPr>
                <w:i w:val="0"/>
                <w:iCs w:val="0"/>
              </w:rPr>
            </w:pPr>
            <w:bookmarkStart w:id="0" w:name="_Ref93479031"/>
            <w:r w:rsidRPr="0063603C">
              <w:rPr>
                <w:b/>
                <w:bCs/>
                <w:i w:val="0"/>
                <w:iCs w:val="0"/>
                <w:color w:val="auto"/>
                <w:sz w:val="22"/>
                <w:szCs w:val="22"/>
              </w:rPr>
              <w:t>Fig</w:t>
            </w:r>
            <w:bookmarkEnd w:id="0"/>
            <w:r>
              <w:rPr>
                <w:b/>
                <w:bCs/>
                <w:i w:val="0"/>
                <w:iCs w:val="0"/>
                <w:color w:val="auto"/>
                <w:sz w:val="22"/>
                <w:szCs w:val="22"/>
              </w:rPr>
              <w:t>ure S1</w:t>
            </w:r>
            <w:r>
              <w:rPr>
                <w:i w:val="0"/>
                <w:iCs w:val="0"/>
                <w:color w:val="auto"/>
                <w:sz w:val="22"/>
                <w:szCs w:val="22"/>
              </w:rPr>
              <w:t>. Forest plot representing Cox proportional hazards for clinical characteristics of the cohort (n=73) from 1-year progression-free survival or 2-year overall survival.</w:t>
            </w:r>
          </w:p>
        </w:tc>
      </w:tr>
      <w:tr w:rsidR="00707196" w14:paraId="6DFC2324" w14:textId="77777777" w:rsidTr="00E839B6">
        <w:tc>
          <w:tcPr>
            <w:tcW w:w="9350" w:type="dxa"/>
            <w:tcBorders>
              <w:top w:val="single" w:sz="4" w:space="0" w:color="auto"/>
            </w:tcBorders>
          </w:tcPr>
          <w:p w14:paraId="22107F9B" w14:textId="77777777" w:rsidR="00707196" w:rsidRDefault="00707196" w:rsidP="00E839B6">
            <w:pPr>
              <w:pStyle w:val="NoSpacing"/>
              <w:keepNext/>
              <w:jc w:val="center"/>
            </w:pPr>
            <w:r w:rsidRPr="00436C4A">
              <w:rPr>
                <w:noProof/>
              </w:rPr>
              <w:drawing>
                <wp:inline distT="0" distB="0" distL="0" distR="0" wp14:anchorId="0DA87B9D" wp14:editId="139AFE0B">
                  <wp:extent cx="4023360" cy="3667005"/>
                  <wp:effectExtent l="0" t="0" r="0" b="0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70D29E-26A8-A99A-0228-D0E518300E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1270D29E-26A8-A99A-0228-D0E518300E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360" cy="36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DD0101" w14:textId="77777777" w:rsidR="00707196" w:rsidRDefault="00707196" w:rsidP="00707196">
      <w:pPr>
        <w:pStyle w:val="NoSpacing"/>
        <w:jc w:val="both"/>
      </w:pPr>
    </w:p>
    <w:p w14:paraId="457C76FA" w14:textId="3FE67E64" w:rsidR="00707196" w:rsidRDefault="00707196" w:rsidP="00707196">
      <w:pPr>
        <w:pStyle w:val="NoSpacing"/>
        <w:jc w:val="both"/>
      </w:pPr>
      <w:r>
        <w:t xml:space="preserve"> </w:t>
      </w:r>
    </w:p>
    <w:p w14:paraId="088B8C83" w14:textId="77777777" w:rsidR="00707196" w:rsidRDefault="00707196">
      <w:r>
        <w:br w:type="page"/>
      </w:r>
    </w:p>
    <w:p w14:paraId="41E31697" w14:textId="77777777" w:rsidR="00707196" w:rsidRDefault="00707196" w:rsidP="00707196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07196" w14:paraId="71B648F5" w14:textId="77777777" w:rsidTr="00E839B6">
        <w:trPr>
          <w:trHeight w:val="247"/>
        </w:trPr>
        <w:tc>
          <w:tcPr>
            <w:tcW w:w="9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D3926" w14:textId="77777777" w:rsidR="00707196" w:rsidRDefault="00707196" w:rsidP="00E839B6">
            <w:pPr>
              <w:pStyle w:val="NoSpacing"/>
              <w:jc w:val="both"/>
            </w:pPr>
            <w:bookmarkStart w:id="1" w:name="_Ref95311094"/>
            <w:r w:rsidRPr="00385249">
              <w:rPr>
                <w:b/>
                <w:bCs/>
              </w:rPr>
              <w:t>Figure S</w:t>
            </w:r>
            <w:r>
              <w:rPr>
                <w:b/>
                <w:bCs/>
              </w:rPr>
              <w:t>2</w:t>
            </w:r>
            <w:r>
              <w:t>. Kaplan-Meier estimates of IO score from patients with FGFR mutations or fusions.</w:t>
            </w:r>
            <w:bookmarkEnd w:id="1"/>
            <w:r>
              <w:t xml:space="preserve"> A) HR = 0.3001; 95%CI 0.08 – 1.17; p=0.082 B) HR = 0.6162; 95%CI 0.20 – 1.91; p=0.40</w:t>
            </w:r>
          </w:p>
        </w:tc>
      </w:tr>
      <w:tr w:rsidR="00707196" w14:paraId="63560D46" w14:textId="77777777" w:rsidTr="00E839B6">
        <w:trPr>
          <w:trHeight w:val="4496"/>
        </w:trPr>
        <w:tc>
          <w:tcPr>
            <w:tcW w:w="9304" w:type="dxa"/>
            <w:tcBorders>
              <w:top w:val="single" w:sz="4" w:space="0" w:color="auto"/>
            </w:tcBorders>
          </w:tcPr>
          <w:p w14:paraId="7919DD41" w14:textId="77777777" w:rsidR="00707196" w:rsidRDefault="00707196" w:rsidP="00E839B6">
            <w:pPr>
              <w:pStyle w:val="NoSpacing"/>
              <w:jc w:val="both"/>
            </w:pPr>
          </w:p>
          <w:p w14:paraId="704A095C" w14:textId="77777777" w:rsidR="00707196" w:rsidRDefault="00707196" w:rsidP="00E839B6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3C10B4D4" wp14:editId="67F5F1C5">
                  <wp:extent cx="5835650" cy="2736470"/>
                  <wp:effectExtent l="0" t="0" r="0" b="6985"/>
                  <wp:docPr id="17" name="Picture 17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9615" cy="2743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482432" w14:textId="77777777" w:rsidR="00707196" w:rsidRDefault="00707196" w:rsidP="00707196">
      <w:pPr>
        <w:pStyle w:val="NoSpacing"/>
        <w:jc w:val="both"/>
      </w:pPr>
    </w:p>
    <w:p w14:paraId="25A19657" w14:textId="77777777" w:rsidR="00707196" w:rsidRDefault="00707196" w:rsidP="00707196">
      <w:r>
        <w:br w:type="page"/>
      </w:r>
    </w:p>
    <w:p w14:paraId="43114AF7" w14:textId="77777777" w:rsidR="00707196" w:rsidRDefault="00707196" w:rsidP="00707196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90"/>
      </w:tblGrid>
      <w:tr w:rsidR="00707196" w14:paraId="06F52230" w14:textId="77777777" w:rsidTr="00E839B6"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5CAE3" w14:textId="77777777" w:rsidR="00707196" w:rsidRDefault="00707196" w:rsidP="00E839B6">
            <w:r w:rsidRPr="00385249">
              <w:rPr>
                <w:b/>
                <w:bCs/>
              </w:rPr>
              <w:t>Figure S</w:t>
            </w:r>
            <w:r>
              <w:rPr>
                <w:b/>
                <w:bCs/>
              </w:rPr>
              <w:t>3</w:t>
            </w:r>
            <w:r w:rsidRPr="00385249">
              <w:rPr>
                <w:b/>
                <w:bCs/>
              </w:rPr>
              <w:t>.</w:t>
            </w:r>
            <w:r>
              <w:t xml:space="preserve"> 1-yr PFS ECOG 2 from UNC cohort (n=11) median PFS IO- = 52 days; IO+ = 196.5 days; HR = 0.3156; 95%CI 0.06 – 1.55; p=0.156</w:t>
            </w:r>
          </w:p>
        </w:tc>
      </w:tr>
      <w:tr w:rsidR="00707196" w14:paraId="327D5812" w14:textId="77777777" w:rsidTr="00E839B6">
        <w:tc>
          <w:tcPr>
            <w:tcW w:w="7290" w:type="dxa"/>
            <w:tcBorders>
              <w:top w:val="single" w:sz="4" w:space="0" w:color="auto"/>
            </w:tcBorders>
          </w:tcPr>
          <w:p w14:paraId="052D3600" w14:textId="77777777" w:rsidR="00707196" w:rsidRDefault="00707196" w:rsidP="00E839B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48FAB7" wp14:editId="47C72AC0">
                  <wp:extent cx="3987165" cy="3335020"/>
                  <wp:effectExtent l="0" t="0" r="0" b="0"/>
                  <wp:docPr id="16" name="Picture 16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picture containing 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165" cy="333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493658" w14:textId="77777777" w:rsidR="002F5A98" w:rsidRPr="00707196" w:rsidRDefault="002F5A98" w:rsidP="00707196"/>
    <w:sectPr w:rsidR="002F5A98" w:rsidRPr="00707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98"/>
    <w:rsid w:val="000540FF"/>
    <w:rsid w:val="00144C7E"/>
    <w:rsid w:val="0017233A"/>
    <w:rsid w:val="002F5A98"/>
    <w:rsid w:val="0070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B4B48"/>
  <w15:chartTrackingRefBased/>
  <w15:docId w15:val="{1AB0E630-C6EF-436F-85D6-2A580913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07196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7071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0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707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emf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23E87AD6AAA41B944EC8D8EFFC120" ma:contentTypeVersion="17" ma:contentTypeDescription="Create a new document." ma:contentTypeScope="" ma:versionID="c33f9c1c98538794acaef2c487fb1eb6">
  <xsd:schema xmlns:xsd="http://www.w3.org/2001/XMLSchema" xmlns:xs="http://www.w3.org/2001/XMLSchema" xmlns:p="http://schemas.microsoft.com/office/2006/metadata/properties" xmlns:ns2="199ef553-adf7-4ef5-afa7-948ade836699" xmlns:ns3="bbdacbc2-5bfd-4e30-9cb4-cf9f054e4950" targetNamespace="http://schemas.microsoft.com/office/2006/metadata/properties" ma:root="true" ma:fieldsID="206a38522a0a36d5be79d02310b687ae" ns2:_="" ns3:_="">
    <xsd:import namespace="199ef553-adf7-4ef5-afa7-948ade836699"/>
    <xsd:import namespace="bbdacbc2-5bfd-4e30-9cb4-cf9f054e4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ef553-adf7-4ef5-afa7-948ade836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771886c-622a-429b-bc23-821d0f50a7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acbc2-5bfd-4e30-9cb4-cf9f054e4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2d32f1-5ffb-4f06-a381-897d06cf38a8}" ma:internalName="TaxCatchAll" ma:showField="CatchAllData" ma:web="bbdacbc2-5bfd-4e30-9cb4-cf9f054e4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dacbc2-5bfd-4e30-9cb4-cf9f054e4950" xsi:nil="true"/>
    <lcf76f155ced4ddcb4097134ff3c332f xmlns="199ef553-adf7-4ef5-afa7-948ade8366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6E004A-5352-4645-BC58-6BF71B3092EC}"/>
</file>

<file path=customXml/itemProps2.xml><?xml version="1.0" encoding="utf-8"?>
<ds:datastoreItem xmlns:ds="http://schemas.openxmlformats.org/officeDocument/2006/customXml" ds:itemID="{A10BE9FD-A486-41A3-9609-7C5A810B4F13}"/>
</file>

<file path=customXml/itemProps3.xml><?xml version="1.0" encoding="utf-8"?>
<ds:datastoreItem xmlns:ds="http://schemas.openxmlformats.org/officeDocument/2006/customXml" ds:itemID="{61361B27-5C65-4F53-B379-9925E4F9BD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OncoCyte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Nielsen</dc:creator>
  <cp:keywords/>
  <dc:description/>
  <cp:lastModifiedBy>Tyler Nielsen</cp:lastModifiedBy>
  <cp:revision>1</cp:revision>
  <dcterms:created xsi:type="dcterms:W3CDTF">2022-08-22T15:39:00Z</dcterms:created>
  <dcterms:modified xsi:type="dcterms:W3CDTF">2022-08-22T18:21:00Z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21a6e9-493e-4ca6-902b-cd26fa928728_Enabled">
    <vt:lpwstr>true</vt:lpwstr>
  </property>
  <property fmtid="{D5CDD505-2E9C-101B-9397-08002B2CF9AE}" pid="3" name="MSIP_Label_b621a6e9-493e-4ca6-902b-cd26fa928728_SetDate">
    <vt:lpwstr>2022-08-22T15:39:37Z</vt:lpwstr>
  </property>
  <property fmtid="{D5CDD505-2E9C-101B-9397-08002B2CF9AE}" pid="4" name="MSIP_Label_b621a6e9-493e-4ca6-902b-cd26fa928728_Method">
    <vt:lpwstr>Standard</vt:lpwstr>
  </property>
  <property fmtid="{D5CDD505-2E9C-101B-9397-08002B2CF9AE}" pid="5" name="MSIP_Label_b621a6e9-493e-4ca6-902b-cd26fa928728_Name">
    <vt:lpwstr>defa4170-0d19-0005-0004-bc88714345d2</vt:lpwstr>
  </property>
  <property fmtid="{D5CDD505-2E9C-101B-9397-08002B2CF9AE}" pid="6" name="MSIP_Label_b621a6e9-493e-4ca6-902b-cd26fa928728_SiteId">
    <vt:lpwstr>7cbabda5-a02d-48fa-95d8-61740297a749</vt:lpwstr>
  </property>
  <property fmtid="{D5CDD505-2E9C-101B-9397-08002B2CF9AE}" pid="7" name="MSIP_Label_b621a6e9-493e-4ca6-902b-cd26fa928728_ActionId">
    <vt:lpwstr>3dd5c527-d6e4-440d-9ee7-ca89f2877fc6</vt:lpwstr>
  </property>
  <property fmtid="{D5CDD505-2E9C-101B-9397-08002B2CF9AE}" pid="8" name="MSIP_Label_b621a6e9-493e-4ca6-902b-cd26fa928728_ContentBits">
    <vt:lpwstr>0</vt:lpwstr>
  </property>
  <property fmtid="{D5CDD505-2E9C-101B-9397-08002B2CF9AE}" pid="9" name="ContentTypeId">
    <vt:lpwstr>0x010100BBE23E87AD6AAA41B944EC8D8EFFC120</vt:lpwstr>
  </property>
  <property fmtid="{D5CDD505-2E9C-101B-9397-08002B2CF9AE}" pid="10" name="MediaServiceImageTags">
    <vt:lpwstr/>
  </property>
</Properties>
</file>