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hint="default" w:ascii="Times New Roman" w:hAnsi="Times New Roman" w:cs="Times New Roman"/>
          <w:b/>
          <w:color w:val="000000" w:themeColor="text1"/>
          <w:sz w:val="20"/>
          <w:szCs w:val="20"/>
          <w:lang w:val="en-GB"/>
          <w14:textFill>
            <w14:solidFill>
              <w14:schemeClr w14:val="tx1"/>
            </w14:solidFill>
          </w14:textFill>
        </w:rPr>
      </w:pPr>
    </w:p>
    <w:p>
      <w:pPr>
        <w:adjustRightInd w:val="0"/>
        <w:snapToGrid w:val="0"/>
        <w:spacing w:line="360" w:lineRule="auto"/>
        <w:jc w:val="left"/>
        <w:rPr>
          <w:rFonts w:hint="default" w:ascii="Times New Roman" w:hAnsi="Times New Roman" w:cs="Times New Roman"/>
          <w:b/>
          <w:color w:val="000000" w:themeColor="text1"/>
          <w:sz w:val="20"/>
          <w:szCs w:val="20"/>
          <w:lang w:val="en-GB"/>
          <w14:textFill>
            <w14:solidFill>
              <w14:schemeClr w14:val="tx1"/>
            </w14:solidFill>
          </w14:textFill>
        </w:rPr>
      </w:pPr>
      <w:r>
        <w:rPr>
          <w:rFonts w:hint="default" w:ascii="Times New Roman" w:hAnsi="Times New Roman" w:cs="Times New Roman"/>
          <w:b/>
          <w:color w:val="000000" w:themeColor="text1"/>
          <w:sz w:val="20"/>
          <w:szCs w:val="20"/>
          <w:lang w:val="en-GB"/>
          <w14:textFill>
            <w14:solidFill>
              <w14:schemeClr w14:val="tx1"/>
            </w14:solidFill>
          </w14:textFill>
        </w:rPr>
        <w:t>Supporting information</w:t>
      </w:r>
    </w:p>
    <w:p>
      <w:pPr>
        <w:adjustRightInd w:val="0"/>
        <w:snapToGrid w:val="0"/>
        <w:spacing w:before="120" w:beforeLines="50"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before="120" w:beforeLines="50"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Table </w:t>
      </w:r>
      <w:r>
        <w:rPr>
          <w:rFonts w:hint="default" w:ascii="Times New Roman" w:hAnsi="Times New Roman" w:cs="Times New Roman" w:eastAsiaTheme="minorEastAsia"/>
          <w:b/>
          <w:bCs/>
          <w:color w:val="000000" w:themeColor="text1"/>
          <w:sz w:val="20"/>
          <w:szCs w:val="20"/>
          <w14:textFill>
            <w14:solidFill>
              <w14:schemeClr w14:val="tx1"/>
            </w14:solidFill>
          </w14:textFill>
        </w:rPr>
        <w:t>S1</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Summary of the analysis of variance testing the independent and interactive effects of ground cover and sampling date on natural enemy abundance, piercing-sucking herbivory abundance and boring percentage.</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0"/>
        <w:gridCol w:w="1265"/>
        <w:gridCol w:w="1331"/>
        <w:gridCol w:w="1298"/>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tcBorders>
              <w:top w:val="single" w:color="auto" w:sz="12" w:space="0"/>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Specific indicator</w:t>
            </w:r>
          </w:p>
        </w:tc>
        <w:tc>
          <w:tcPr>
            <w:tcW w:w="1265" w:type="dxa"/>
            <w:tcBorders>
              <w:top w:val="single" w:color="auto" w:sz="12" w:space="0"/>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Statistical value</w:t>
            </w:r>
          </w:p>
        </w:tc>
        <w:tc>
          <w:tcPr>
            <w:tcW w:w="1331" w:type="dxa"/>
            <w:tcBorders>
              <w:top w:val="single" w:color="auto" w:sz="12" w:space="0"/>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Ground cover</w:t>
            </w:r>
          </w:p>
        </w:tc>
        <w:tc>
          <w:tcPr>
            <w:tcW w:w="1298" w:type="dxa"/>
            <w:tcBorders>
              <w:top w:val="single" w:color="auto" w:sz="12" w:space="0"/>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Sampling date</w:t>
            </w:r>
          </w:p>
        </w:tc>
        <w:tc>
          <w:tcPr>
            <w:tcW w:w="1997" w:type="dxa"/>
            <w:tcBorders>
              <w:top w:val="single" w:color="auto" w:sz="12" w:space="0"/>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Gound cover × Sampling Date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vMerge w:val="restart"/>
            <w:tcBorders>
              <w:top w:val="single" w:color="auto" w:sz="12" w:space="0"/>
              <w:left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Abundance of natural enemies</w:t>
            </w:r>
          </w:p>
        </w:tc>
        <w:tc>
          <w:tcPr>
            <w:tcW w:w="1265" w:type="dxa"/>
            <w:tcBorders>
              <w:top w:val="single" w:color="auto" w:sz="12" w:space="0"/>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t>F</w:t>
            </w:r>
          </w:p>
        </w:tc>
        <w:tc>
          <w:tcPr>
            <w:tcW w:w="1331" w:type="dxa"/>
            <w:tcBorders>
              <w:top w:val="single" w:color="auto" w:sz="12" w:space="0"/>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208.39</w:t>
            </w:r>
          </w:p>
        </w:tc>
        <w:tc>
          <w:tcPr>
            <w:tcW w:w="1298" w:type="dxa"/>
            <w:tcBorders>
              <w:top w:val="single" w:color="auto" w:sz="12" w:space="0"/>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12.52</w:t>
            </w:r>
          </w:p>
        </w:tc>
        <w:tc>
          <w:tcPr>
            <w:tcW w:w="1997" w:type="dxa"/>
            <w:tcBorders>
              <w:top w:val="single" w:color="auto" w:sz="12" w:space="0"/>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7.59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vMerge w:val="continue"/>
            <w:tcBorders>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tc>
        <w:tc>
          <w:tcPr>
            <w:tcW w:w="1265"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t>p</w:t>
            </w:r>
          </w:p>
        </w:tc>
        <w:tc>
          <w:tcPr>
            <w:tcW w:w="1331"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c>
          <w:tcPr>
            <w:tcW w:w="1298"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c>
          <w:tcPr>
            <w:tcW w:w="1997"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vMerge w:val="restart"/>
            <w:tcBorders>
              <w:top w:val="nil"/>
              <w:left w:val="nil"/>
              <w:bottom w:val="nil"/>
              <w:right w:val="nil"/>
            </w:tcBorders>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Abundance of piercing sucking herbivores</w:t>
            </w:r>
          </w:p>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tc>
        <w:tc>
          <w:tcPr>
            <w:tcW w:w="1265"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t>F</w:t>
            </w:r>
          </w:p>
        </w:tc>
        <w:tc>
          <w:tcPr>
            <w:tcW w:w="1331"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70.38</w:t>
            </w:r>
          </w:p>
        </w:tc>
        <w:tc>
          <w:tcPr>
            <w:tcW w:w="1298"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177.38</w:t>
            </w:r>
          </w:p>
        </w:tc>
        <w:tc>
          <w:tcPr>
            <w:tcW w:w="1997"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vMerge w:val="continue"/>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tc>
        <w:tc>
          <w:tcPr>
            <w:tcW w:w="1265"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t>p</w:t>
            </w:r>
          </w:p>
        </w:tc>
        <w:tc>
          <w:tcPr>
            <w:tcW w:w="1331"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c>
          <w:tcPr>
            <w:tcW w:w="1298"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c>
          <w:tcPr>
            <w:tcW w:w="1997"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vMerge w:val="restart"/>
            <w:tcBorders>
              <w:top w:val="nil"/>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Boring percentages (%)</w:t>
            </w:r>
          </w:p>
        </w:tc>
        <w:tc>
          <w:tcPr>
            <w:tcW w:w="1265"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t>F</w:t>
            </w:r>
          </w:p>
        </w:tc>
        <w:tc>
          <w:tcPr>
            <w:tcW w:w="1331"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161.65</w:t>
            </w:r>
          </w:p>
        </w:tc>
        <w:tc>
          <w:tcPr>
            <w:tcW w:w="1298"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40.33</w:t>
            </w:r>
          </w:p>
        </w:tc>
        <w:tc>
          <w:tcPr>
            <w:tcW w:w="1997" w:type="dxa"/>
            <w:tcBorders>
              <w:top w:val="nil"/>
              <w:left w:val="nil"/>
              <w:bottom w:val="nil"/>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0" w:type="dxa"/>
            <w:vMerge w:val="continue"/>
            <w:tcBorders>
              <w:top w:val="single" w:color="auto" w:sz="12" w:space="0"/>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tc>
        <w:tc>
          <w:tcPr>
            <w:tcW w:w="1265" w:type="dxa"/>
            <w:tcBorders>
              <w:top w:val="nil"/>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i/>
                <w:iCs/>
                <w:color w:val="000000" w:themeColor="text1"/>
                <w:sz w:val="20"/>
                <w:szCs w:val="20"/>
                <w:lang w:val="en-GB"/>
                <w14:textFill>
                  <w14:solidFill>
                    <w14:schemeClr w14:val="tx1"/>
                  </w14:solidFill>
                </w14:textFill>
              </w:rPr>
              <w:t>p</w:t>
            </w:r>
          </w:p>
        </w:tc>
        <w:tc>
          <w:tcPr>
            <w:tcW w:w="1331" w:type="dxa"/>
            <w:tcBorders>
              <w:top w:val="nil"/>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c>
          <w:tcPr>
            <w:tcW w:w="1298" w:type="dxa"/>
            <w:tcBorders>
              <w:top w:val="nil"/>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c>
          <w:tcPr>
            <w:tcW w:w="1997" w:type="dxa"/>
            <w:tcBorders>
              <w:top w:val="nil"/>
              <w:left w:val="nil"/>
              <w:bottom w:val="single" w:color="auto" w:sz="12" w:space="0"/>
              <w:right w:val="nil"/>
            </w:tcBorders>
          </w:tcPr>
          <w:p>
            <w:pPr>
              <w:adjustRightInd w:val="0"/>
              <w:snapToGrid w:val="0"/>
              <w:spacing w:line="360" w:lineRule="auto"/>
              <w:ind w:right="-50" w:rightChars="-24"/>
              <w:jc w:val="center"/>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&lt; 0.01</w:t>
            </w:r>
          </w:p>
        </w:tc>
      </w:tr>
    </w:tbl>
    <w:p>
      <w:pPr>
        <w:adjustRightInd w:val="0"/>
        <w:snapToGrid w:val="0"/>
        <w:spacing w:before="120" w:beforeLines="50"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br w:type="page"/>
      </w:r>
    </w:p>
    <w:p>
      <w:pPr>
        <w:adjustRightInd w:val="0"/>
        <w:snapToGrid w:val="0"/>
        <w:spacing w:before="120" w:beforeLines="50"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Table </w:t>
      </w:r>
      <w:r>
        <w:rPr>
          <w:rFonts w:hint="default" w:ascii="Times New Roman" w:hAnsi="Times New Roman" w:cs="Times New Roman" w:eastAsiaTheme="minorEastAsia"/>
          <w:b/>
          <w:bCs/>
          <w:color w:val="000000" w:themeColor="text1"/>
          <w:sz w:val="20"/>
          <w:szCs w:val="20"/>
          <w14:textFill>
            <w14:solidFill>
              <w14:schemeClr w14:val="tx1"/>
            </w14:solidFill>
          </w14:textFill>
        </w:rPr>
        <w:t>S</w:t>
      </w:r>
      <w:r>
        <w:rPr>
          <w:rFonts w:hint="default" w:ascii="Times New Roman" w:hAnsi="Times New Roman" w:cs="Times New Roman" w:eastAsiaTheme="minorEastAsia"/>
          <w:b/>
          <w:bCs/>
          <w:color w:val="000000" w:themeColor="text1"/>
          <w:sz w:val="20"/>
          <w:szCs w:val="20"/>
          <w14:textFill>
            <w14:solidFill>
              <w14:schemeClr w14:val="tx1"/>
            </w14:solidFill>
          </w14:textFill>
        </w:rPr>
        <w:t>2</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Summary of the analysis of variance testing the independent and interactive effects of ground cover and year on amount of commercial pesticides, amount of active ingredient in pesticide and fruit yield</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 respectively</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w:t>
      </w:r>
    </w:p>
    <w:tbl>
      <w:tblPr>
        <w:tblStyle w:val="5"/>
        <w:tblW w:w="8188" w:type="dxa"/>
        <w:tblInd w:w="0" w:type="dxa"/>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69"/>
        <w:gridCol w:w="1134"/>
        <w:gridCol w:w="992"/>
        <w:gridCol w:w="992"/>
        <w:gridCol w:w="1701"/>
      </w:tblGrid>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69" w:type="dxa"/>
            <w:tcBorders>
              <w:top w:val="single" w:color="000000" w:themeColor="text1" w:sz="12" w:space="0"/>
              <w:bottom w:val="single" w:color="000000" w:themeColor="text1" w:sz="12" w:space="0"/>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Specific indicator</w:t>
            </w:r>
          </w:p>
        </w:tc>
        <w:tc>
          <w:tcPr>
            <w:tcW w:w="1134" w:type="dxa"/>
            <w:tcBorders>
              <w:top w:val="single" w:color="000000" w:themeColor="text1" w:sz="12" w:space="0"/>
              <w:bottom w:val="single" w:color="000000" w:themeColor="text1" w:sz="12" w:space="0"/>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Statistical value</w:t>
            </w:r>
          </w:p>
        </w:tc>
        <w:tc>
          <w:tcPr>
            <w:tcW w:w="992" w:type="dxa"/>
            <w:tcBorders>
              <w:top w:val="single" w:color="000000" w:themeColor="text1" w:sz="12" w:space="0"/>
              <w:bottom w:val="single" w:color="000000" w:themeColor="text1" w:sz="12" w:space="0"/>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Ground cover</w:t>
            </w:r>
          </w:p>
        </w:tc>
        <w:tc>
          <w:tcPr>
            <w:tcW w:w="992" w:type="dxa"/>
            <w:tcBorders>
              <w:top w:val="single" w:color="000000" w:themeColor="text1" w:sz="12" w:space="0"/>
              <w:bottom w:val="single" w:color="000000" w:themeColor="text1" w:sz="12" w:space="0"/>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Year</w:t>
            </w:r>
          </w:p>
        </w:tc>
        <w:tc>
          <w:tcPr>
            <w:tcW w:w="1701" w:type="dxa"/>
            <w:tcBorders>
              <w:top w:val="single" w:color="000000" w:themeColor="text1" w:sz="12" w:space="0"/>
              <w:bottom w:val="single" w:color="000000" w:themeColor="text1" w:sz="12" w:space="0"/>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b/>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Ground cover × Year</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69" w:type="dxa"/>
            <w:vMerge w:val="restart"/>
            <w:tcBorders>
              <w:top w:val="single" w:color="000000" w:themeColor="text1" w:sz="12" w:space="0"/>
              <w:bottom w:val="nil"/>
            </w:tcBorders>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A</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mount of commercial pesticides</w:t>
            </w:r>
          </w:p>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(kg•ha</w:t>
            </w:r>
            <w:r>
              <w:rPr>
                <w:rFonts w:hint="default" w:ascii="Times New Roman" w:hAnsi="Times New Roman" w:eastAsia="微软雅黑" w:cs="Times New Roman"/>
                <w:color w:val="000000" w:themeColor="text1"/>
                <w:kern w:val="0"/>
                <w:sz w:val="20"/>
                <w:szCs w:val="20"/>
                <w:vertAlign w:val="superscript"/>
                <w:lang w:val="en-GB"/>
                <w14:textFill>
                  <w14:solidFill>
                    <w14:schemeClr w14:val="tx1"/>
                  </w14:solidFill>
                </w14:textFill>
              </w:rPr>
              <w:t>-1</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w:t>
            </w:r>
          </w:p>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A</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mount of active ingredient in pesticide</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 xml:space="preserve"> </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(kg•ha</w:t>
            </w:r>
            <w:r>
              <w:rPr>
                <w:rFonts w:hint="default" w:ascii="Times New Roman" w:hAnsi="Times New Roman" w:eastAsia="微软雅黑" w:cs="Times New Roman"/>
                <w:color w:val="000000" w:themeColor="text1"/>
                <w:kern w:val="0"/>
                <w:sz w:val="20"/>
                <w:szCs w:val="20"/>
                <w:vertAlign w:val="superscript"/>
                <w:lang w:val="en-GB"/>
                <w14:textFill>
                  <w14:solidFill>
                    <w14:schemeClr w14:val="tx1"/>
                  </w14:solidFill>
                </w14:textFill>
              </w:rPr>
              <w:t>-1</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w:t>
            </w:r>
          </w:p>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F</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ruit yield</w:t>
            </w:r>
          </w:p>
        </w:tc>
        <w:tc>
          <w:tcPr>
            <w:tcW w:w="1134" w:type="dxa"/>
            <w:tcBorders>
              <w:top w:val="single" w:color="000000" w:themeColor="text1" w:sz="12" w:space="0"/>
              <w:bottom w:val="nil"/>
            </w:tcBorders>
            <w:shd w:val="clear" w:color="auto" w:fill="auto"/>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t>F</w:t>
            </w:r>
          </w:p>
        </w:tc>
        <w:tc>
          <w:tcPr>
            <w:tcW w:w="992" w:type="dxa"/>
            <w:tcBorders>
              <w:top w:val="single" w:color="000000" w:themeColor="text1" w:sz="12" w:space="0"/>
              <w:bottom w:val="nil"/>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286.03</w:t>
            </w:r>
          </w:p>
        </w:tc>
        <w:tc>
          <w:tcPr>
            <w:tcW w:w="992" w:type="dxa"/>
            <w:tcBorders>
              <w:top w:val="single" w:color="000000" w:themeColor="text1" w:sz="12" w:space="0"/>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4.54</w:t>
            </w:r>
          </w:p>
        </w:tc>
        <w:tc>
          <w:tcPr>
            <w:tcW w:w="1701" w:type="dxa"/>
            <w:tcBorders>
              <w:top w:val="single" w:color="000000" w:themeColor="text1" w:sz="12" w:space="0"/>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1.85</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69" w:type="dxa"/>
            <w:vMerge w:val="continue"/>
            <w:tcBorders>
              <w:top w:val="nil"/>
              <w:bottom w:val="nil"/>
            </w:tcBorders>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p>
        </w:tc>
        <w:tc>
          <w:tcPr>
            <w:tcW w:w="1134" w:type="dxa"/>
            <w:tcBorders>
              <w:top w:val="nil"/>
              <w:bottom w:val="nil"/>
            </w:tcBorders>
            <w:shd w:val="clear" w:color="auto" w:fill="auto"/>
          </w:tcPr>
          <w:p>
            <w:pPr>
              <w:widowControl/>
              <w:adjustRightInd w:val="0"/>
              <w:snapToGrid w:val="0"/>
              <w:spacing w:line="360" w:lineRule="auto"/>
              <w:jc w:val="cente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t>Sig.</w:t>
            </w:r>
          </w:p>
        </w:tc>
        <w:tc>
          <w:tcPr>
            <w:tcW w:w="992" w:type="dxa"/>
            <w:tcBorders>
              <w:top w:val="nil"/>
              <w:bottom w:val="nil"/>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&lt; 0.001</w:t>
            </w:r>
          </w:p>
        </w:tc>
        <w:tc>
          <w:tcPr>
            <w:tcW w:w="992" w:type="dxa"/>
            <w:tcBorders>
              <w:top w:val="nil"/>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052</w:t>
            </w:r>
          </w:p>
        </w:tc>
        <w:tc>
          <w:tcPr>
            <w:tcW w:w="1701" w:type="dxa"/>
            <w:tcBorders>
              <w:top w:val="nil"/>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185</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3369" w:type="dxa"/>
            <w:vMerge w:val="continue"/>
            <w:tcBorders>
              <w:top w:val="nil"/>
              <w:bottom w:val="nil"/>
            </w:tcBorders>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p>
        </w:tc>
        <w:tc>
          <w:tcPr>
            <w:tcW w:w="1134" w:type="dxa"/>
            <w:tcBorders>
              <w:top w:val="nil"/>
              <w:bottom w:val="nil"/>
            </w:tcBorders>
            <w:shd w:val="clear" w:color="auto" w:fill="auto"/>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t>F</w:t>
            </w:r>
          </w:p>
        </w:tc>
        <w:tc>
          <w:tcPr>
            <w:tcW w:w="992" w:type="dxa"/>
            <w:tcBorders>
              <w:top w:val="nil"/>
              <w:bottom w:val="nil"/>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213.28</w:t>
            </w:r>
          </w:p>
        </w:tc>
        <w:tc>
          <w:tcPr>
            <w:tcW w:w="992" w:type="dxa"/>
            <w:tcBorders>
              <w:top w:val="nil"/>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0.70</w:t>
            </w:r>
          </w:p>
        </w:tc>
        <w:tc>
          <w:tcPr>
            <w:tcW w:w="1701" w:type="dxa"/>
            <w:tcBorders>
              <w:top w:val="nil"/>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0.90</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 w:hRule="atLeast"/>
        </w:trPr>
        <w:tc>
          <w:tcPr>
            <w:tcW w:w="3369" w:type="dxa"/>
            <w:vMerge w:val="continue"/>
            <w:tcBorders>
              <w:top w:val="nil"/>
              <w:bottom w:val="nil"/>
            </w:tcBorders>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p>
        </w:tc>
        <w:tc>
          <w:tcPr>
            <w:tcW w:w="1134" w:type="dxa"/>
            <w:tcBorders>
              <w:top w:val="nil"/>
              <w:bottom w:val="nil"/>
            </w:tcBorders>
            <w:shd w:val="clear" w:color="auto" w:fill="auto"/>
          </w:tcPr>
          <w:p>
            <w:pPr>
              <w:widowControl/>
              <w:adjustRightInd w:val="0"/>
              <w:snapToGrid w:val="0"/>
              <w:spacing w:line="360" w:lineRule="auto"/>
              <w:jc w:val="cente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t>Sig.</w:t>
            </w:r>
          </w:p>
          <w:p>
            <w:pPr>
              <w:widowControl/>
              <w:adjustRightInd w:val="0"/>
              <w:snapToGrid w:val="0"/>
              <w:spacing w:line="360" w:lineRule="auto"/>
              <w:jc w:val="cente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t>F</w:t>
            </w:r>
          </w:p>
        </w:tc>
        <w:tc>
          <w:tcPr>
            <w:tcW w:w="992" w:type="dxa"/>
            <w:tcBorders>
              <w:top w:val="nil"/>
              <w:bottom w:val="nil"/>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&lt; 0.001</w:t>
            </w:r>
          </w:p>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32.64</w:t>
            </w:r>
          </w:p>
        </w:tc>
        <w:tc>
          <w:tcPr>
            <w:tcW w:w="992" w:type="dxa"/>
            <w:tcBorders>
              <w:top w:val="nil"/>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416</w:t>
            </w:r>
          </w:p>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2.31</w:t>
            </w:r>
          </w:p>
        </w:tc>
        <w:tc>
          <w:tcPr>
            <w:tcW w:w="1701" w:type="dxa"/>
            <w:tcBorders>
              <w:top w:val="nil"/>
              <w:bottom w:val="nil"/>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470</w:t>
            </w:r>
          </w:p>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0.66</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 w:hRule="atLeast"/>
        </w:trPr>
        <w:tc>
          <w:tcPr>
            <w:tcW w:w="3369" w:type="dxa"/>
            <w:tcBorders>
              <w:top w:val="nil"/>
              <w:bottom w:val="single" w:color="auto" w:sz="12" w:space="0"/>
            </w:tcBorders>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(t•ha</w:t>
            </w:r>
            <w:r>
              <w:rPr>
                <w:rFonts w:hint="default" w:ascii="Times New Roman" w:hAnsi="Times New Roman" w:eastAsia="微软雅黑" w:cs="Times New Roman"/>
                <w:color w:val="000000" w:themeColor="text1"/>
                <w:kern w:val="0"/>
                <w:sz w:val="20"/>
                <w:szCs w:val="20"/>
                <w:vertAlign w:val="superscript"/>
                <w:lang w:val="en-GB"/>
                <w14:textFill>
                  <w14:solidFill>
                    <w14:schemeClr w14:val="tx1"/>
                  </w14:solidFill>
                </w14:textFill>
              </w:rPr>
              <w:t>-1</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w:t>
            </w:r>
          </w:p>
        </w:tc>
        <w:tc>
          <w:tcPr>
            <w:tcW w:w="1134" w:type="dxa"/>
            <w:tcBorders>
              <w:top w:val="nil"/>
              <w:bottom w:val="single" w:color="auto" w:sz="12" w:space="0"/>
            </w:tcBorders>
            <w:shd w:val="clear" w:color="auto" w:fill="auto"/>
          </w:tcPr>
          <w:p>
            <w:pPr>
              <w:widowControl/>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i/>
                <w:color w:val="000000" w:themeColor="text1"/>
                <w:kern w:val="0"/>
                <w:sz w:val="20"/>
                <w:szCs w:val="20"/>
                <w:lang w:val="en-GB"/>
                <w14:textFill>
                  <w14:solidFill>
                    <w14:schemeClr w14:val="tx1"/>
                  </w14:solidFill>
                </w14:textFill>
              </w:rPr>
              <w:t>Sig.</w:t>
            </w:r>
          </w:p>
        </w:tc>
        <w:tc>
          <w:tcPr>
            <w:tcW w:w="992" w:type="dxa"/>
            <w:tcBorders>
              <w:top w:val="nil"/>
              <w:bottom w:val="single" w:color="auto" w:sz="12" w:space="0"/>
            </w:tcBorders>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&lt; 0.001</w:t>
            </w:r>
          </w:p>
        </w:tc>
        <w:tc>
          <w:tcPr>
            <w:tcW w:w="992" w:type="dxa"/>
            <w:tcBorders>
              <w:top w:val="nil"/>
              <w:bottom w:val="single" w:color="auto" w:sz="12" w:space="0"/>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0.1</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50</w:t>
            </w:r>
          </w:p>
        </w:tc>
        <w:tc>
          <w:tcPr>
            <w:tcW w:w="1701" w:type="dxa"/>
            <w:tcBorders>
              <w:top w:val="nil"/>
              <w:bottom w:val="single" w:color="auto" w:sz="12" w:space="0"/>
            </w:tcBorders>
            <w:shd w:val="clear" w:color="auto" w:fill="auto"/>
          </w:tcPr>
          <w:p>
            <w:pPr>
              <w:widowControl/>
              <w:autoSpaceDE w:val="0"/>
              <w:autoSpaceDN w:val="0"/>
              <w:adjustRightInd w:val="0"/>
              <w:snapToGrid w:val="0"/>
              <w:spacing w:line="360" w:lineRule="auto"/>
              <w:jc w:val="center"/>
              <w:rPr>
                <w:rFonts w:hint="default" w:ascii="Times New Roman" w:hAnsi="Times New Roman" w:eastAsia="微软雅黑" w:cs="Times New Roman"/>
                <w:color w:val="000000" w:themeColor="text1"/>
                <w:kern w:val="0"/>
                <w:sz w:val="20"/>
                <w:szCs w:val="20"/>
                <w:lang w:val="en-GB"/>
                <w14:textFill>
                  <w14:solidFill>
                    <w14:schemeClr w14:val="tx1"/>
                  </w14:solidFill>
                </w14:textFill>
              </w:rPr>
            </w:pP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0.</w:t>
            </w:r>
            <w:r>
              <w:rPr>
                <w:rFonts w:hint="default" w:ascii="Times New Roman" w:hAnsi="Times New Roman" w:eastAsia="微软雅黑" w:cs="Times New Roman"/>
                <w:color w:val="000000" w:themeColor="text1"/>
                <w:kern w:val="0"/>
                <w:sz w:val="20"/>
                <w:szCs w:val="20"/>
                <w:lang w:val="en-GB"/>
                <w14:textFill>
                  <w14:solidFill>
                    <w14:schemeClr w14:val="tx1"/>
                  </w14:solidFill>
                </w14:textFill>
              </w:rPr>
              <w:t>590</w:t>
            </w:r>
          </w:p>
        </w:tc>
      </w:tr>
    </w:tbl>
    <w:p>
      <w:pPr>
        <w:adjustRightInd w:val="0"/>
        <w:snapToGrid w:val="0"/>
        <w:spacing w:line="360" w:lineRule="auto"/>
        <w:ind w:right="-783" w:rightChars="-373"/>
        <w:rPr>
          <w:rFonts w:hint="default" w:ascii="Times New Roman" w:hAnsi="Times New Roman" w:cs="Times New Roman"/>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r>
        <w:rPr>
          <w:rFonts w:hint="default" w:ascii="Times New Roman" w:hAnsi="Times New Roman" w:cs="Times New Roman"/>
          <w:color w:val="000000" w:themeColor="text1"/>
          <w:sz w:val="20"/>
          <w:szCs w:val="20"/>
          <w:lang w:val="en-GB"/>
          <w14:textFill>
            <w14:solidFill>
              <w14:schemeClr w14:val="tx1"/>
            </w14:solidFill>
          </w14:textFill>
        </w:rPr>
        <w:br w:type="page"/>
      </w: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p>
    <w:p>
      <w:pPr>
        <w:adjustRightInd w:val="0"/>
        <w:snapToGrid w:val="0"/>
        <w:spacing w:line="360" w:lineRule="auto"/>
        <w:ind w:right="-783" w:rightChars="-373"/>
        <w:rPr>
          <w:rFonts w:hint="default" w:ascii="Times New Roman" w:hAnsi="Times New Roman" w:cs="Times New Roman"/>
          <w:color w:val="000000" w:themeColor="text1"/>
          <w:sz w:val="20"/>
          <w:szCs w:val="20"/>
          <w:lang w:val="en-GB"/>
          <w14:textFill>
            <w14:solidFill>
              <w14:schemeClr w14:val="tx1"/>
            </w14:solidFill>
          </w14:textFill>
        </w:rPr>
      </w:pPr>
      <w:r>
        <w:rPr>
          <w:rFonts w:hint="default" w:ascii="Times New Roman" w:hAnsi="Times New Roman" w:cs="Times New Roman"/>
          <w:sz w:val="20"/>
          <w:szCs w:val="20"/>
        </w:rPr>
        <mc:AlternateContent>
          <mc:Choice Requires="wps">
            <w:drawing>
              <wp:anchor distT="0" distB="0" distL="114300" distR="114300" simplePos="0" relativeHeight="251659264" behindDoc="0" locked="0" layoutInCell="1" allowOverlap="1">
                <wp:simplePos x="0" y="0"/>
                <wp:positionH relativeFrom="column">
                  <wp:posOffset>1790065</wp:posOffset>
                </wp:positionH>
                <wp:positionV relativeFrom="paragraph">
                  <wp:posOffset>4919345</wp:posOffset>
                </wp:positionV>
                <wp:extent cx="1939290" cy="235585"/>
                <wp:effectExtent l="0" t="0" r="11430" b="8255"/>
                <wp:wrapNone/>
                <wp:docPr id="8" name="文本框 8"/>
                <wp:cNvGraphicFramePr/>
                <a:graphic xmlns:a="http://schemas.openxmlformats.org/drawingml/2006/main">
                  <a:graphicData uri="http://schemas.microsoft.com/office/word/2010/wordprocessingShape">
                    <wps:wsp>
                      <wps:cNvSpPr txBox="1"/>
                      <wps:spPr>
                        <a:xfrm>
                          <a:off x="4455795" y="6968490"/>
                          <a:ext cx="1939290" cy="2355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Arial" w:hAnsi="Arial" w:eastAsia="宋体" w:cs="Arial"/>
                                <w:sz w:val="18"/>
                                <w:szCs w:val="18"/>
                                <w:lang w:val="en-US" w:eastAsia="zh-CN"/>
                              </w:rPr>
                            </w:pPr>
                            <w:r>
                              <w:rPr>
                                <w:rFonts w:hint="default" w:ascii="Arial" w:hAnsi="Arial" w:cs="Arial"/>
                                <w:sz w:val="18"/>
                                <w:szCs w:val="18"/>
                                <w:lang w:val="en-US" w:eastAsia="zh-CN"/>
                              </w:rPr>
                              <w:t>Natural enemy abundance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95pt;margin-top:387.35pt;height:18.55pt;width:152.7pt;z-index:251659264;mso-width-relative:page;mso-height-relative:page;" fillcolor="#FFFFFF [3201]" filled="t" stroked="f" coordsize="21600,21600" o:gfxdata="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HGJvw9YA&#10;AAALAQAADwAAAAAAAAABACAAAAAiAAAAZHJzL2Rvd25yZXYueG1sUEsBAhQAFAAAAAgAh07iQG+e&#10;W8BaAgAAmwQAAA4AAAAAAAAAAQAgAAAAJQEAAGRycy9lMm9Eb2MueG1sUEsFBgAAAAAGAAYAWQEA&#10;APEFAAAAAA==&#10;">
                <v:fill on="t" focussize="0,0"/>
                <v:stroke on="f" weight="0.5pt"/>
                <v:imagedata o:title=""/>
                <o:lock v:ext="edit" aspectratio="f"/>
                <v:textbox>
                  <w:txbxContent>
                    <w:p>
                      <w:pPr>
                        <w:jc w:val="center"/>
                        <w:rPr>
                          <w:rFonts w:hint="default" w:ascii="Arial" w:hAnsi="Arial" w:eastAsia="宋体" w:cs="Arial"/>
                          <w:sz w:val="18"/>
                          <w:szCs w:val="18"/>
                          <w:lang w:val="en-US" w:eastAsia="zh-CN"/>
                        </w:rPr>
                      </w:pPr>
                      <w:r>
                        <w:rPr>
                          <w:rFonts w:hint="default" w:ascii="Arial" w:hAnsi="Arial" w:cs="Arial"/>
                          <w:sz w:val="18"/>
                          <w:szCs w:val="18"/>
                          <w:lang w:val="en-US" w:eastAsia="zh-CN"/>
                        </w:rPr>
                        <w:t>Natural enemy abundance</w:t>
                      </w:r>
                    </w:p>
                  </w:txbxContent>
                </v:textbox>
              </v:shape>
            </w:pict>
          </mc:Fallback>
        </mc:AlternateContent>
      </w:r>
      <w:r>
        <w:rPr>
          <w:rFonts w:hint="default" w:ascii="Times New Roman" w:hAnsi="Times New Roman" w:cs="Times New Roman"/>
          <w:sz w:val="20"/>
          <w:szCs w:val="20"/>
        </w:rPr>
        <w:drawing>
          <wp:inline distT="0" distB="0" distL="0" distR="0">
            <wp:extent cx="5278120" cy="50946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4"/>
                    <a:stretch>
                      <a:fillRect/>
                    </a:stretch>
                  </pic:blipFill>
                  <pic:spPr>
                    <a:xfrm>
                      <a:off x="0" y="0"/>
                      <a:ext cx="5278120" cy="5094605"/>
                    </a:xfrm>
                    <a:prstGeom prst="rect">
                      <a:avLst/>
                    </a:prstGeom>
                  </pic:spPr>
                </pic:pic>
              </a:graphicData>
            </a:graphic>
          </wp:inline>
        </w:drawing>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Figure S1</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 w:val="0"/>
          <w:bCs w:val="0"/>
          <w:color w:val="000000" w:themeColor="text1"/>
          <w:sz w:val="20"/>
          <w:szCs w:val="20"/>
          <w:lang w:val="en-GB"/>
          <w14:textFill>
            <w14:solidFill>
              <w14:schemeClr w14:val="tx1"/>
            </w14:solidFill>
          </w14:textFill>
        </w:rPr>
        <w:t>Graphical comparison</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of the interactive effect of ground cover (vet, hairy vetch; rye, ryegrass; con, control plot; clo, white colver) and sampling date on natural enemy abund</w:t>
      </w:r>
      <w:bookmarkStart w:id="0" w:name="_GoBack"/>
      <w:bookmarkEnd w:id="0"/>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ance.</w:t>
      </w:r>
      <w:r>
        <w:rPr>
          <w:rFonts w:hint="default" w:ascii="Times New Roman" w:hAnsi="Times New Roman" w:cs="Times New Roman"/>
          <w:sz w:val="20"/>
          <w:szCs w:val="20"/>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The blue bars are confidence intervals for the EMMs, and the red arrows are for the comparisons among them. If an arrow from one mean overlaps an arrow from another group, the difference is not “significant,” based on the adjust setting (Tukey) and the value of alpha (0.05).</w:t>
      </w: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r>
        <w:rPr>
          <w:rFonts w:hint="default" w:ascii="Times New Roman" w:hAnsi="Times New Roman" w:cs="Times New Roman"/>
          <w:color w:val="000000" w:themeColor="text1"/>
          <w:sz w:val="20"/>
          <w:szCs w:val="20"/>
          <w:lang w:val="en-GB"/>
          <w14:textFill>
            <w14:solidFill>
              <w14:schemeClr w14:val="tx1"/>
            </w14:solidFill>
          </w14:textFill>
        </w:rPr>
        <w:br w:type="page"/>
      </w: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color w:val="000000" w:themeColor="text1"/>
          <w:sz w:val="20"/>
          <w:szCs w:val="20"/>
          <w:lang w:val="en-GB"/>
          <w14:textFill>
            <w14:solidFill>
              <w14:schemeClr w14:val="tx1"/>
            </w14:solidFill>
          </w14:textFill>
        </w:rPr>
      </w:pPr>
    </w:p>
    <w:p>
      <w:pPr>
        <w:adjustRightInd w:val="0"/>
        <w:snapToGrid w:val="0"/>
        <w:spacing w:line="360" w:lineRule="auto"/>
        <w:ind w:right="-783" w:rightChars="-373"/>
        <w:rPr>
          <w:rFonts w:hint="default" w:ascii="Times New Roman" w:hAnsi="Times New Roman" w:cs="Times New Roman"/>
          <w:color w:val="000000" w:themeColor="text1"/>
          <w:sz w:val="20"/>
          <w:szCs w:val="20"/>
          <w:lang w:val="en-GB"/>
          <w14:textFill>
            <w14:solidFill>
              <w14:schemeClr w14:val="tx1"/>
            </w14:solidFill>
          </w14:textFill>
        </w:rPr>
      </w:pPr>
      <w:r>
        <w:rPr>
          <w:rFonts w:hint="default" w:ascii="Times New Roman" w:hAnsi="Times New Roman" w:cs="Times New Roman"/>
          <w:sz w:val="20"/>
          <w:szCs w:val="20"/>
        </w:rPr>
        <w:drawing>
          <wp:inline distT="0" distB="0" distL="0" distR="0">
            <wp:extent cx="5278120" cy="50946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5"/>
                    <a:stretch>
                      <a:fillRect/>
                    </a:stretch>
                  </pic:blipFill>
                  <pic:spPr>
                    <a:xfrm>
                      <a:off x="0" y="0"/>
                      <a:ext cx="5278120" cy="5094605"/>
                    </a:xfrm>
                    <a:prstGeom prst="rect">
                      <a:avLst/>
                    </a:prstGeom>
                  </pic:spPr>
                </pic:pic>
              </a:graphicData>
            </a:graphic>
          </wp:inline>
        </w:drawing>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Figure S2</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color w:val="000000" w:themeColor="text1"/>
          <w:sz w:val="20"/>
          <w:szCs w:val="20"/>
          <w:lang w:val="en-GB"/>
          <w14:textFill>
            <w14:solidFill>
              <w14:schemeClr w14:val="tx1"/>
            </w14:solidFill>
          </w14:textFill>
        </w:rPr>
        <w:t>Graphical comparison</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 xml:space="preserve">of the interactive effect of ground cover (vet, hairy vetch; rye, </w:t>
      </w:r>
      <w:r>
        <w:rPr>
          <w:rFonts w:hint="default" w:ascii="Times New Roman" w:hAnsi="Times New Roman" w:cs="Times New Roman"/>
          <w:sz w:val="20"/>
          <w:szCs w:val="20"/>
        </w:rPr>
        <mc:AlternateContent>
          <mc:Choice Requires="wps">
            <w:drawing>
              <wp:anchor distT="0" distB="0" distL="114300" distR="114300" simplePos="0" relativeHeight="251661312" behindDoc="0" locked="0" layoutInCell="1" allowOverlap="1">
                <wp:simplePos x="0" y="0"/>
                <wp:positionH relativeFrom="column">
                  <wp:posOffset>1790065</wp:posOffset>
                </wp:positionH>
                <wp:positionV relativeFrom="paragraph">
                  <wp:posOffset>-349885</wp:posOffset>
                </wp:positionV>
                <wp:extent cx="2174240" cy="235585"/>
                <wp:effectExtent l="0" t="0" r="5080" b="8255"/>
                <wp:wrapNone/>
                <wp:docPr id="9" name="文本框 9"/>
                <wp:cNvGraphicFramePr/>
                <a:graphic xmlns:a="http://schemas.openxmlformats.org/drawingml/2006/main">
                  <a:graphicData uri="http://schemas.microsoft.com/office/word/2010/wordprocessingShape">
                    <wps:wsp>
                      <wps:cNvSpPr txBox="1"/>
                      <wps:spPr>
                        <a:xfrm>
                          <a:off x="0" y="0"/>
                          <a:ext cx="2174240" cy="2355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Arial" w:hAnsi="Arial" w:cs="Arial"/>
                                <w:sz w:val="18"/>
                                <w:szCs w:val="18"/>
                                <w:lang w:val="en-US" w:eastAsia="zh-CN"/>
                              </w:rPr>
                            </w:pPr>
                            <w:r>
                              <w:rPr>
                                <w:rFonts w:hint="eastAsia" w:ascii="Arial" w:hAnsi="Arial" w:cs="Arial"/>
                                <w:sz w:val="18"/>
                                <w:szCs w:val="18"/>
                                <w:lang w:val="en-US" w:eastAsia="zh-CN"/>
                              </w:rPr>
                              <w:t>P</w:t>
                            </w:r>
                            <w:r>
                              <w:rPr>
                                <w:rFonts w:hint="default" w:ascii="Arial" w:hAnsi="Arial" w:cs="Arial"/>
                                <w:sz w:val="18"/>
                                <w:szCs w:val="18"/>
                                <w:lang w:val="en-US" w:eastAsia="zh-CN"/>
                              </w:rPr>
                              <w:t>iercing-sucking</w:t>
                            </w:r>
                            <w:r>
                              <w:rPr>
                                <w:rFonts w:hint="eastAsia" w:ascii="Arial" w:hAnsi="Arial" w:cs="Arial"/>
                                <w:sz w:val="18"/>
                                <w:szCs w:val="18"/>
                                <w:lang w:val="en-US" w:eastAsia="zh-CN"/>
                              </w:rPr>
                              <w:t xml:space="preserve"> </w:t>
                            </w:r>
                            <w:r>
                              <w:rPr>
                                <w:rFonts w:hint="default" w:ascii="Arial" w:hAnsi="Arial" w:cs="Arial"/>
                                <w:sz w:val="18"/>
                                <w:szCs w:val="18"/>
                                <w:lang w:val="en-US" w:eastAsia="zh-CN"/>
                              </w:rPr>
                              <w:t>herbivory abundance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95pt;margin-top:-27.55pt;height:18.55pt;width:171.2pt;z-index:251661312;mso-width-relative:page;mso-height-relative:page;" fillcolor="#FFFFFF [3201]" filled="t" stroked="f" coordsize="21600,21600" o:gfxdata="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XJGvidcAAAALAQAADwAA&#10;AAAAAAABACAAAAAiAAAAZHJzL2Rvd25yZXYueG1sUEsBAhQAFAAAAAgAh07iQAVxpjpQAgAAjwQA&#10;AA4AAAAAAAAAAQAgAAAAJgEAAGRycy9lMm9Eb2MueG1sUEsFBgAAAAAGAAYAWQEAAOgFAAAAAA==&#10;">
                <v:fill on="t" focussize="0,0"/>
                <v:stroke on="f" weight="0.5pt"/>
                <v:imagedata o:title=""/>
                <o:lock v:ext="edit" aspectratio="f"/>
                <v:textbox>
                  <w:txbxContent>
                    <w:p>
                      <w:pPr>
                        <w:rPr>
                          <w:rFonts w:hint="default" w:ascii="Arial" w:hAnsi="Arial" w:cs="Arial"/>
                          <w:sz w:val="18"/>
                          <w:szCs w:val="18"/>
                          <w:lang w:val="en-US" w:eastAsia="zh-CN"/>
                        </w:rPr>
                      </w:pPr>
                      <w:r>
                        <w:rPr>
                          <w:rFonts w:hint="eastAsia" w:ascii="Arial" w:hAnsi="Arial" w:cs="Arial"/>
                          <w:sz w:val="18"/>
                          <w:szCs w:val="18"/>
                          <w:lang w:val="en-US" w:eastAsia="zh-CN"/>
                        </w:rPr>
                        <w:t>P</w:t>
                      </w:r>
                      <w:r>
                        <w:rPr>
                          <w:rFonts w:hint="default" w:ascii="Arial" w:hAnsi="Arial" w:cs="Arial"/>
                          <w:sz w:val="18"/>
                          <w:szCs w:val="18"/>
                          <w:lang w:val="en-US" w:eastAsia="zh-CN"/>
                        </w:rPr>
                        <w:t>iercing-sucking</w:t>
                      </w:r>
                      <w:r>
                        <w:rPr>
                          <w:rFonts w:hint="eastAsia" w:ascii="Arial" w:hAnsi="Arial" w:cs="Arial"/>
                          <w:sz w:val="18"/>
                          <w:szCs w:val="18"/>
                          <w:lang w:val="en-US" w:eastAsia="zh-CN"/>
                        </w:rPr>
                        <w:t xml:space="preserve"> </w:t>
                      </w:r>
                      <w:r>
                        <w:rPr>
                          <w:rFonts w:hint="default" w:ascii="Arial" w:hAnsi="Arial" w:cs="Arial"/>
                          <w:sz w:val="18"/>
                          <w:szCs w:val="18"/>
                          <w:lang w:val="en-US" w:eastAsia="zh-CN"/>
                        </w:rPr>
                        <w:t>herbivory abundance</w:t>
                      </w:r>
                    </w:p>
                  </w:txbxContent>
                </v:textbox>
              </v:shape>
            </w:pict>
          </mc:Fallback>
        </mc:AlternateConten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ryegrass; con, control plot; clo, white colver) and sampling date on piercing-sucking herbivory abundance.</w:t>
      </w:r>
      <w:r>
        <w:rPr>
          <w:rFonts w:hint="default" w:ascii="Times New Roman" w:hAnsi="Times New Roman" w:cs="Times New Roman"/>
          <w:sz w:val="20"/>
          <w:szCs w:val="20"/>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The blue bars are confidence intervals for the EMMs, and the red arrows are for the comparisons among them. If an arrow from one mean overlaps an arrow from another group, the difference is not “significant,” based on the adjust setting (Tukey) and the value of alpha (0.05).</w:t>
      </w: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br w:type="page"/>
      </w: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before="120" w:beforeLines="50"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sz w:val="20"/>
          <w:szCs w:val="20"/>
        </w:rPr>
        <w:drawing>
          <wp:inline distT="0" distB="0" distL="0" distR="0">
            <wp:extent cx="5278120" cy="50946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6"/>
                    <a:stretch>
                      <a:fillRect/>
                    </a:stretch>
                  </pic:blipFill>
                  <pic:spPr>
                    <a:xfrm>
                      <a:off x="0" y="0"/>
                      <a:ext cx="5278120" cy="5094605"/>
                    </a:xfrm>
                    <a:prstGeom prst="rect">
                      <a:avLst/>
                    </a:prstGeom>
                  </pic:spPr>
                </pic:pic>
              </a:graphicData>
            </a:graphic>
          </wp:inline>
        </w:drawing>
      </w:r>
      <w:r>
        <w:rPr>
          <w:rFonts w:hint="default" w:ascii="Times New Roman" w:hAnsi="Times New Roman" w:cs="Times New Roman"/>
          <w:sz w:val="20"/>
          <w:szCs w:val="20"/>
        </w:rPr>
        <mc:AlternateContent>
          <mc:Choice Requires="wps">
            <w:drawing>
              <wp:anchor distT="0" distB="0" distL="114300" distR="114300" simplePos="0" relativeHeight="251665408" behindDoc="0" locked="0" layoutInCell="1" allowOverlap="1">
                <wp:simplePos x="0" y="0"/>
                <wp:positionH relativeFrom="column">
                  <wp:posOffset>1790065</wp:posOffset>
                </wp:positionH>
                <wp:positionV relativeFrom="paragraph">
                  <wp:posOffset>4919345</wp:posOffset>
                </wp:positionV>
                <wp:extent cx="1939290" cy="235585"/>
                <wp:effectExtent l="0" t="0" r="11430" b="8255"/>
                <wp:wrapNone/>
                <wp:docPr id="10" name="文本框 10"/>
                <wp:cNvGraphicFramePr/>
                <a:graphic xmlns:a="http://schemas.openxmlformats.org/drawingml/2006/main">
                  <a:graphicData uri="http://schemas.microsoft.com/office/word/2010/wordprocessingShape">
                    <wps:wsp>
                      <wps:cNvSpPr txBox="1"/>
                      <wps:spPr>
                        <a:xfrm>
                          <a:off x="0" y="0"/>
                          <a:ext cx="1939290" cy="2355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Arial" w:hAnsi="Arial" w:cs="Arial"/>
                                <w:sz w:val="18"/>
                                <w:szCs w:val="18"/>
                                <w:lang w:val="en-US" w:eastAsia="zh-CN"/>
                              </w:rPr>
                            </w:pPr>
                            <w:r>
                              <w:rPr>
                                <w:rFonts w:hint="eastAsia" w:ascii="Arial" w:hAnsi="Arial" w:cs="Arial"/>
                                <w:sz w:val="18"/>
                                <w:szCs w:val="18"/>
                                <w:lang w:val="en-US" w:eastAsia="zh-CN"/>
                              </w:rPr>
                              <w:t>B</w:t>
                            </w:r>
                            <w:r>
                              <w:rPr>
                                <w:rFonts w:hint="default" w:ascii="Arial" w:hAnsi="Arial" w:cs="Arial"/>
                                <w:sz w:val="18"/>
                                <w:szCs w:val="18"/>
                                <w:lang w:val="en-US" w:eastAsia="zh-CN"/>
                              </w:rPr>
                              <w:t>oring percentage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95pt;margin-top:387.35pt;height:18.55pt;width:152.7pt;z-index:251665408;mso-width-relative:page;mso-height-relative:page;" fillcolor="#FFFFFF [3201]" filled="t" stroked="f" coordsize="21600,21600" o:gfxdata="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xib8PWAAAACwEAAA8AAAAA&#10;AAAAAQAgAAAAIgAAAGRycy9kb3ducmV2LnhtbFBLAQIUABQAAAAIAIdO4kBIPbpkTwIAAJEEAAAO&#10;AAAAAAAAAAEAIAAAACUBAABkcnMvZTJvRG9jLnhtbFBLBQYAAAAABgAGAFkBAADmBQAAAAA=&#10;">
                <v:fill on="t" focussize="0,0"/>
                <v:stroke on="f" weight="0.5pt"/>
                <v:imagedata o:title=""/>
                <o:lock v:ext="edit" aspectratio="f"/>
                <v:textbox>
                  <w:txbxContent>
                    <w:p>
                      <w:pPr>
                        <w:jc w:val="center"/>
                        <w:rPr>
                          <w:rFonts w:hint="default" w:ascii="Arial" w:hAnsi="Arial" w:cs="Arial"/>
                          <w:sz w:val="18"/>
                          <w:szCs w:val="18"/>
                          <w:lang w:val="en-US" w:eastAsia="zh-CN"/>
                        </w:rPr>
                      </w:pPr>
                      <w:r>
                        <w:rPr>
                          <w:rFonts w:hint="eastAsia" w:ascii="Arial" w:hAnsi="Arial" w:cs="Arial"/>
                          <w:sz w:val="18"/>
                          <w:szCs w:val="18"/>
                          <w:lang w:val="en-US" w:eastAsia="zh-CN"/>
                        </w:rPr>
                        <w:t>B</w:t>
                      </w:r>
                      <w:r>
                        <w:rPr>
                          <w:rFonts w:hint="default" w:ascii="Arial" w:hAnsi="Arial" w:cs="Arial"/>
                          <w:sz w:val="18"/>
                          <w:szCs w:val="18"/>
                          <w:lang w:val="en-US" w:eastAsia="zh-CN"/>
                        </w:rPr>
                        <w:t>oring percentage</w:t>
                      </w:r>
                    </w:p>
                  </w:txbxContent>
                </v:textbox>
              </v:shape>
            </w:pict>
          </mc:Fallback>
        </mc:AlternateContent>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Figure S3</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color w:val="000000" w:themeColor="text1"/>
          <w:sz w:val="20"/>
          <w:szCs w:val="20"/>
          <w:lang w:val="en-GB"/>
          <w14:textFill>
            <w14:solidFill>
              <w14:schemeClr w14:val="tx1"/>
            </w14:solidFill>
          </w14:textFill>
        </w:rPr>
        <w:t>Graphical comparison</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of the interactive effect of ground cover (vet, hairy vetch; rye, ryegrass; con, control plot; clo, white colver) and sampling date on boring percentage.</w:t>
      </w:r>
      <w:r>
        <w:rPr>
          <w:rFonts w:hint="default" w:ascii="Times New Roman" w:hAnsi="Times New Roman" w:cs="Times New Roman"/>
          <w:sz w:val="20"/>
          <w:szCs w:val="20"/>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The blue bars are confidence intervals for the EMMs, and the red arrows are for the comparisons among them. If an arrow from one mean overlaps an arrow from another group, the difference is not “significant,” based on the adjust setting (Tukey) and the value of alpha (0.05).</w:t>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sz w:val="20"/>
          <w:szCs w:val="20"/>
        </w:rPr>
        <mc:AlternateContent>
          <mc:Choice Requires="wps">
            <w:drawing>
              <wp:anchor distT="0" distB="0" distL="114300" distR="114300" simplePos="0" relativeHeight="251673600" behindDoc="0" locked="0" layoutInCell="1" allowOverlap="1">
                <wp:simplePos x="0" y="0"/>
                <wp:positionH relativeFrom="column">
                  <wp:posOffset>1769745</wp:posOffset>
                </wp:positionH>
                <wp:positionV relativeFrom="paragraph">
                  <wp:posOffset>4510405</wp:posOffset>
                </wp:positionV>
                <wp:extent cx="1939290" cy="235585"/>
                <wp:effectExtent l="0" t="0" r="11430" b="8255"/>
                <wp:wrapNone/>
                <wp:docPr id="11" name="文本框 11"/>
                <wp:cNvGraphicFramePr/>
                <a:graphic xmlns:a="http://schemas.openxmlformats.org/drawingml/2006/main">
                  <a:graphicData uri="http://schemas.microsoft.com/office/word/2010/wordprocessingShape">
                    <wps:wsp>
                      <wps:cNvSpPr txBox="1"/>
                      <wps:spPr>
                        <a:xfrm>
                          <a:off x="0" y="0"/>
                          <a:ext cx="1939290" cy="2355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Arial" w:hAnsi="Arial" w:cs="Arial"/>
                                <w:sz w:val="18"/>
                                <w:szCs w:val="18"/>
                                <w:lang w:val="en-US" w:eastAsia="zh-CN"/>
                              </w:rPr>
                            </w:pPr>
                            <w:r>
                              <w:rPr>
                                <w:rFonts w:hint="eastAsia" w:ascii="Arial" w:hAnsi="Arial" w:cs="Arial"/>
                                <w:sz w:val="18"/>
                                <w:szCs w:val="18"/>
                                <w:lang w:val="en-US" w:eastAsia="zh-CN"/>
                              </w:rPr>
                              <w:t>Amount of commercial pesticide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9.35pt;margin-top:355.15pt;height:18.55pt;width:152.7pt;z-index:251673600;mso-width-relative:page;mso-height-relative:page;" fillcolor="#FFFFFF [3201]" filled="t" stroked="f" coordsize="21600,21600" o:gfxdata="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VAKZjWAAAACwEAAA8AAAAA&#10;AAAAAQAgAAAAIgAAAGRycy9kb3ducmV2LnhtbFBLAQIUABQAAAAIAIdO4kAdf3FfTwIAAJEEAAAO&#10;AAAAAAAAAAEAIAAAACUBAABkcnMvZTJvRG9jLnhtbFBLBQYAAAAABgAGAFkBAADmBQAAAAA=&#10;">
                <v:fill on="t" focussize="0,0"/>
                <v:stroke on="f" weight="0.5pt"/>
                <v:imagedata o:title=""/>
                <o:lock v:ext="edit" aspectratio="f"/>
                <v:textbox>
                  <w:txbxContent>
                    <w:p>
                      <w:pPr>
                        <w:rPr>
                          <w:rFonts w:hint="eastAsia" w:ascii="Arial" w:hAnsi="Arial" w:cs="Arial"/>
                          <w:sz w:val="18"/>
                          <w:szCs w:val="18"/>
                          <w:lang w:val="en-US" w:eastAsia="zh-CN"/>
                        </w:rPr>
                      </w:pPr>
                      <w:r>
                        <w:rPr>
                          <w:rFonts w:hint="eastAsia" w:ascii="Arial" w:hAnsi="Arial" w:cs="Arial"/>
                          <w:sz w:val="18"/>
                          <w:szCs w:val="18"/>
                          <w:lang w:val="en-US" w:eastAsia="zh-CN"/>
                        </w:rPr>
                        <w:t>Amount of commercial pesticide</w:t>
                      </w:r>
                    </w:p>
                  </w:txbxContent>
                </v:textbox>
              </v:shape>
            </w:pict>
          </mc:Fallback>
        </mc:AlternateContent>
      </w:r>
      <w:r>
        <w:rPr>
          <w:rFonts w:hint="default" w:ascii="Times New Roman" w:hAnsi="Times New Roman" w:cs="Times New Roman"/>
          <w:sz w:val="20"/>
          <w:szCs w:val="20"/>
        </w:rPr>
        <w:drawing>
          <wp:inline distT="0" distB="0" distL="0" distR="0">
            <wp:extent cx="4811395" cy="4789805"/>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7"/>
                    <a:stretch>
                      <a:fillRect/>
                    </a:stretch>
                  </pic:blipFill>
                  <pic:spPr>
                    <a:xfrm>
                      <a:off x="0" y="0"/>
                      <a:ext cx="4811612" cy="4789840"/>
                    </a:xfrm>
                    <a:prstGeom prst="rect">
                      <a:avLst/>
                    </a:prstGeom>
                  </pic:spPr>
                </pic:pic>
              </a:graphicData>
            </a:graphic>
          </wp:inline>
        </w:drawing>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Figure S4</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color w:val="000000" w:themeColor="text1"/>
          <w:sz w:val="20"/>
          <w:szCs w:val="20"/>
          <w:lang w:val="en-GB"/>
          <w14:textFill>
            <w14:solidFill>
              <w14:schemeClr w14:val="tx1"/>
            </w14:solidFill>
          </w14:textFill>
        </w:rPr>
        <w:t>Graphical comparison</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of the effect of ground cover (vet, hairy vetch; rye, ryegrass; con, control plot; clo, white colver) on amount of commercial pesticide.</w:t>
      </w:r>
      <w:r>
        <w:rPr>
          <w:rFonts w:hint="default" w:ascii="Times New Roman" w:hAnsi="Times New Roman" w:cs="Times New Roman"/>
          <w:sz w:val="20"/>
          <w:szCs w:val="20"/>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The blue bars are confidence intervals for the EMMs, and the red arrows are for the comparisons among them. If an arrow from one mean overlaps an arrow from another group, the difference is not “significant,” based on the adjust setting (Tukey) and the value of alpha (0.05).</w:t>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sz w:val="20"/>
          <w:szCs w:val="20"/>
        </w:rPr>
        <mc:AlternateContent>
          <mc:Choice Requires="wps">
            <w:drawing>
              <wp:anchor distT="0" distB="0" distL="114300" distR="114300" simplePos="0" relativeHeight="251689984" behindDoc="0" locked="0" layoutInCell="1" allowOverlap="1">
                <wp:simplePos x="0" y="0"/>
                <wp:positionH relativeFrom="column">
                  <wp:posOffset>1700530</wp:posOffset>
                </wp:positionH>
                <wp:positionV relativeFrom="paragraph">
                  <wp:posOffset>4547235</wp:posOffset>
                </wp:positionV>
                <wp:extent cx="2395855" cy="235585"/>
                <wp:effectExtent l="0" t="0" r="12065" b="8255"/>
                <wp:wrapNone/>
                <wp:docPr id="12" name="文本框 12"/>
                <wp:cNvGraphicFramePr/>
                <a:graphic xmlns:a="http://schemas.openxmlformats.org/drawingml/2006/main">
                  <a:graphicData uri="http://schemas.microsoft.com/office/word/2010/wordprocessingShape">
                    <wps:wsp>
                      <wps:cNvSpPr txBox="1"/>
                      <wps:spPr>
                        <a:xfrm>
                          <a:off x="0" y="0"/>
                          <a:ext cx="2395855" cy="2355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Arial" w:hAnsi="Arial" w:cs="Arial"/>
                                <w:sz w:val="18"/>
                                <w:szCs w:val="18"/>
                                <w:lang w:val="en-US" w:eastAsia="zh-CN"/>
                              </w:rPr>
                            </w:pPr>
                            <w:r>
                              <w:rPr>
                                <w:rFonts w:hint="eastAsia" w:ascii="Arial" w:hAnsi="Arial" w:cs="Arial"/>
                                <w:sz w:val="18"/>
                                <w:szCs w:val="18"/>
                                <w:lang w:val="en-US" w:eastAsia="zh-CN"/>
                              </w:rPr>
                              <w:t>Amount of active ingredient in pesticide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9pt;margin-top:358.05pt;height:18.55pt;width:188.65pt;z-index:251689984;mso-width-relative:page;mso-height-relative:page;" fillcolor="#FFFFFF [3201]" filled="t" stroked="f" coordsize="21600,21600" o:gfxdata="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jgf8XWAAAACwEAAA8AAAAA&#10;AAAAAQAgAAAAIgAAAGRycy9kb3ducmV2LnhtbFBLAQIUABQAAAAIAIdO4kBAFjbXTwIAAJEEAAAO&#10;AAAAAAAAAAEAIAAAACUBAABkcnMvZTJvRG9jLnhtbFBLBQYAAAAABgAGAFkBAADmBQAAAAA=&#10;">
                <v:fill on="t" focussize="0,0"/>
                <v:stroke on="f" weight="0.5pt"/>
                <v:imagedata o:title=""/>
                <o:lock v:ext="edit" aspectratio="f"/>
                <v:textbox>
                  <w:txbxContent>
                    <w:p>
                      <w:pPr>
                        <w:rPr>
                          <w:rFonts w:hint="eastAsia" w:ascii="Arial" w:hAnsi="Arial" w:cs="Arial"/>
                          <w:sz w:val="18"/>
                          <w:szCs w:val="18"/>
                          <w:lang w:val="en-US" w:eastAsia="zh-CN"/>
                        </w:rPr>
                      </w:pPr>
                      <w:r>
                        <w:rPr>
                          <w:rFonts w:hint="eastAsia" w:ascii="Arial" w:hAnsi="Arial" w:cs="Arial"/>
                          <w:sz w:val="18"/>
                          <w:szCs w:val="18"/>
                          <w:lang w:val="en-US" w:eastAsia="zh-CN"/>
                        </w:rPr>
                        <w:t>Amount of active ingredient in pesticide</w:t>
                      </w:r>
                    </w:p>
                  </w:txbxContent>
                </v:textbox>
              </v:shape>
            </w:pict>
          </mc:Fallback>
        </mc:AlternateContent>
      </w:r>
      <w:r>
        <w:rPr>
          <w:rFonts w:hint="default" w:ascii="Times New Roman" w:hAnsi="Times New Roman" w:cs="Times New Roman"/>
          <w:sz w:val="20"/>
          <w:szCs w:val="20"/>
        </w:rPr>
        <w:drawing>
          <wp:inline distT="0" distB="0" distL="0" distR="0">
            <wp:extent cx="4811395" cy="4789805"/>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8"/>
                    <a:stretch>
                      <a:fillRect/>
                    </a:stretch>
                  </pic:blipFill>
                  <pic:spPr>
                    <a:xfrm>
                      <a:off x="0" y="0"/>
                      <a:ext cx="4811612" cy="4789840"/>
                    </a:xfrm>
                    <a:prstGeom prst="rect">
                      <a:avLst/>
                    </a:prstGeom>
                  </pic:spPr>
                </pic:pic>
              </a:graphicData>
            </a:graphic>
          </wp:inline>
        </w:drawing>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Figure S5</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color w:val="000000" w:themeColor="text1"/>
          <w:sz w:val="20"/>
          <w:szCs w:val="20"/>
          <w:lang w:val="en-GB"/>
          <w14:textFill>
            <w14:solidFill>
              <w14:schemeClr w14:val="tx1"/>
            </w14:solidFill>
          </w14:textFill>
        </w:rPr>
        <w:t>Graphical comparison</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of the effect of ground cover (vet, hairy vetch; rye, ryegrass; con, control plot; clo, white colver) on amount of active ingredient in pesticide.</w:t>
      </w:r>
      <w:r>
        <w:rPr>
          <w:rFonts w:hint="default" w:ascii="Times New Roman" w:hAnsi="Times New Roman" w:cs="Times New Roman"/>
          <w:sz w:val="20"/>
          <w:szCs w:val="20"/>
        </w:rPr>
        <w:t xml:space="preserve"> </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The blue bars are confidence intervals for the EMMs, and the red arrows are for the comparisons among them. If an arrow from one mean overlaps an arrow from another group, the difference is not “significant,” based on the adjust setting (Tukey) and the value of alpha (0.05).</w:t>
      </w: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widowControl/>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p>
    <w:p>
      <w:pPr>
        <w:adjustRightInd w:val="0"/>
        <w:snapToGrid w:val="0"/>
        <w:spacing w:before="120" w:beforeLines="50" w:line="360" w:lineRule="auto"/>
        <w:ind w:right="-50" w:rightChars="-24"/>
        <w:jc w:val="left"/>
        <w:rPr>
          <w:rFonts w:hint="default" w:ascii="Times New Roman" w:hAnsi="Times New Roman" w:cs="Times New Roman"/>
          <w:sz w:val="20"/>
          <w:szCs w:val="20"/>
        </w:rPr>
      </w:pPr>
      <w:r>
        <w:rPr>
          <w:rFonts w:hint="default" w:ascii="Times New Roman" w:hAnsi="Times New Roman" w:cs="Times New Roman"/>
          <w:sz w:val="20"/>
          <w:szCs w:val="20"/>
        </w:rPr>
        <mc:AlternateContent>
          <mc:Choice Requires="wps">
            <w:drawing>
              <wp:anchor distT="0" distB="0" distL="114300" distR="114300" simplePos="0" relativeHeight="251722752" behindDoc="0" locked="0" layoutInCell="1" allowOverlap="1">
                <wp:simplePos x="0" y="0"/>
                <wp:positionH relativeFrom="column">
                  <wp:posOffset>1562100</wp:posOffset>
                </wp:positionH>
                <wp:positionV relativeFrom="paragraph">
                  <wp:posOffset>4530090</wp:posOffset>
                </wp:positionV>
                <wp:extent cx="2395855" cy="235585"/>
                <wp:effectExtent l="0" t="0" r="12065" b="8255"/>
                <wp:wrapNone/>
                <wp:docPr id="13" name="文本框 13"/>
                <wp:cNvGraphicFramePr/>
                <a:graphic xmlns:a="http://schemas.openxmlformats.org/drawingml/2006/main">
                  <a:graphicData uri="http://schemas.microsoft.com/office/word/2010/wordprocessingShape">
                    <wps:wsp>
                      <wps:cNvSpPr txBox="1"/>
                      <wps:spPr>
                        <a:xfrm>
                          <a:off x="0" y="0"/>
                          <a:ext cx="2395855" cy="2355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Arial" w:hAnsi="Arial" w:cs="Arial"/>
                                <w:sz w:val="18"/>
                                <w:szCs w:val="18"/>
                                <w:lang w:val="en-US" w:eastAsia="zh-CN"/>
                              </w:rPr>
                            </w:pPr>
                            <w:r>
                              <w:rPr>
                                <w:rFonts w:hint="eastAsia" w:ascii="Arial" w:hAnsi="Arial" w:cs="Arial"/>
                                <w:sz w:val="18"/>
                                <w:szCs w:val="18"/>
                                <w:lang w:val="en-US" w:eastAsia="zh-CN"/>
                              </w:rPr>
                              <w:t>Pear fruit yield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3pt;margin-top:356.7pt;height:18.55pt;width:188.65pt;z-index:251722752;mso-width-relative:page;mso-height-relative:page;" fillcolor="#FFFFFF [3201]" filled="t" stroked="f" coordsize="21600,21600" o:gfxdata="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QFj1nWAAAACwEAAA8AAAAA&#10;AAAAAQAgAAAAIgAAAGRycy9kb3ducmV2LnhtbFBLAQIUABQAAAAIAIdO4kAVVP3sTwIAAJEEAAAO&#10;AAAAAAAAAAEAIAAAACUBAABkcnMvZTJvRG9jLnhtbFBLBQYAAAAABgAGAFkBAADmBQAAAAA=&#10;">
                <v:fill on="t" focussize="0,0"/>
                <v:stroke on="f" weight="0.5pt"/>
                <v:imagedata o:title=""/>
                <o:lock v:ext="edit" aspectratio="f"/>
                <v:textbox>
                  <w:txbxContent>
                    <w:p>
                      <w:pPr>
                        <w:jc w:val="center"/>
                        <w:rPr>
                          <w:rFonts w:hint="eastAsia" w:ascii="Arial" w:hAnsi="Arial" w:cs="Arial"/>
                          <w:sz w:val="18"/>
                          <w:szCs w:val="18"/>
                          <w:lang w:val="en-US" w:eastAsia="zh-CN"/>
                        </w:rPr>
                      </w:pPr>
                      <w:r>
                        <w:rPr>
                          <w:rFonts w:hint="eastAsia" w:ascii="Arial" w:hAnsi="Arial" w:cs="Arial"/>
                          <w:sz w:val="18"/>
                          <w:szCs w:val="18"/>
                          <w:lang w:val="en-US" w:eastAsia="zh-CN"/>
                        </w:rPr>
                        <w:t>Pear fruit yield</w:t>
                      </w:r>
                    </w:p>
                  </w:txbxContent>
                </v:textbox>
              </v:shape>
            </w:pict>
          </mc:Fallback>
        </mc:AlternateContent>
      </w:r>
      <w:r>
        <w:rPr>
          <w:rFonts w:hint="default" w:ascii="Times New Roman" w:hAnsi="Times New Roman" w:cs="Times New Roman"/>
          <w:sz w:val="20"/>
          <w:szCs w:val="20"/>
        </w:rPr>
        <w:drawing>
          <wp:inline distT="0" distB="0" distL="0" distR="0">
            <wp:extent cx="4811395" cy="4789805"/>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a:stretch>
                      <a:fillRect/>
                    </a:stretch>
                  </pic:blipFill>
                  <pic:spPr>
                    <a:xfrm>
                      <a:off x="0" y="0"/>
                      <a:ext cx="4811612" cy="4789840"/>
                    </a:xfrm>
                    <a:prstGeom prst="rect">
                      <a:avLst/>
                    </a:prstGeom>
                  </pic:spPr>
                </pic:pic>
              </a:graphicData>
            </a:graphic>
          </wp:inline>
        </w:drawing>
      </w:r>
    </w:p>
    <w:p>
      <w:pPr>
        <w:adjustRightInd w:val="0"/>
        <w:snapToGrid w:val="0"/>
        <w:spacing w:line="360" w:lineRule="auto"/>
        <w:ind w:right="-50" w:rightChars="-24"/>
        <w:jc w:val="left"/>
        <w:rPr>
          <w:rFonts w:hint="default" w:ascii="Times New Roman" w:hAnsi="Times New Roman" w:cs="Times New Roman" w:eastAsiaTheme="minorEastAsia"/>
          <w:bCs/>
          <w:color w:val="000000" w:themeColor="text1"/>
          <w:sz w:val="20"/>
          <w:szCs w:val="20"/>
          <w:lang w:val="en-GB"/>
          <w14:textFill>
            <w14:solidFill>
              <w14:schemeClr w14:val="tx1"/>
            </w14:solidFill>
          </w14:textFill>
        </w:rPr>
      </w:pP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Figure S6</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w:t>
      </w:r>
      <w:r>
        <w:rPr>
          <w:rFonts w:hint="default" w:ascii="Times New Roman" w:hAnsi="Times New Roman" w:cs="Times New Roman" w:eastAsiaTheme="minorEastAsia"/>
          <w:b/>
          <w:bCs/>
          <w:color w:val="000000" w:themeColor="text1"/>
          <w:sz w:val="20"/>
          <w:szCs w:val="20"/>
          <w:lang w:val="en-GB"/>
          <w14:textFill>
            <w14:solidFill>
              <w14:schemeClr w14:val="tx1"/>
            </w14:solidFill>
          </w14:textFill>
        </w:rPr>
        <w:t xml:space="preserve"> </w:t>
      </w:r>
      <w:r>
        <w:rPr>
          <w:rFonts w:hint="default" w:ascii="Times New Roman" w:hAnsi="Times New Roman" w:cs="Times New Roman" w:eastAsiaTheme="minorEastAsia"/>
          <w:color w:val="000000" w:themeColor="text1"/>
          <w:sz w:val="20"/>
          <w:szCs w:val="20"/>
          <w:lang w:val="en-GB"/>
          <w14:textFill>
            <w14:solidFill>
              <w14:schemeClr w14:val="tx1"/>
            </w14:solidFill>
          </w14:textFill>
        </w:rPr>
        <w:t>Graphical comparison of the effect of ground cover (vet, hairy vetch; rye, ryegrass; con, control plot; clo, white colver) on pear fruit yield. The blue bars are confidence intervals for the EMMs, and the red arrows are for the comparisons among them. If an arrow from one mean overlaps an arrow from another group, the difference is not “significant,” based on the adjust setting (Tukey) and the value of alpha (0.05</w:t>
      </w:r>
      <w:r>
        <w:rPr>
          <w:rFonts w:hint="default" w:ascii="Times New Roman" w:hAnsi="Times New Roman" w:cs="Times New Roman" w:eastAsiaTheme="minorEastAsia"/>
          <w:bCs/>
          <w:color w:val="000000" w:themeColor="text1"/>
          <w:sz w:val="20"/>
          <w:szCs w:val="20"/>
          <w:lang w:val="en-GB"/>
          <w14:textFill>
            <w14:solidFill>
              <w14:schemeClr w14:val="tx1"/>
            </w14:solidFill>
          </w14:textFill>
        </w:rPr>
        <w:t>).</w:t>
      </w:r>
    </w:p>
    <w:p>
      <w:pPr>
        <w:adjustRightInd w:val="0"/>
        <w:snapToGrid w:val="0"/>
        <w:spacing w:before="120" w:beforeLines="50" w:line="360" w:lineRule="auto"/>
        <w:ind w:right="-50" w:rightChars="-24"/>
        <w:jc w:val="left"/>
        <w:rPr>
          <w:rFonts w:hint="default" w:ascii="Times New Roman" w:hAnsi="Times New Roman" w:cs="Times New Roman"/>
          <w:sz w:val="20"/>
          <w:szCs w:val="20"/>
          <w:lang w:val="en-GB"/>
        </w:rPr>
      </w:pPr>
    </w:p>
    <w:sectPr>
      <w:pgSz w:w="11906" w:h="16838"/>
      <w:pgMar w:top="1440" w:right="1797" w:bottom="1440" w:left="1797" w:header="851" w:footer="992" w:gutter="0"/>
      <w:pgBorders>
        <w:top w:val="none" w:sz="0" w:space="0"/>
        <w:left w:val="none" w:sz="0" w:space="0"/>
        <w:bottom w:val="none" w:sz="0" w:space="0"/>
        <w:right w:val="none" w:sz="0" w:space="0"/>
      </w:pgBorders>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hyphenationZone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1A7"/>
    <w:rsid w:val="00001EB4"/>
    <w:rsid w:val="00013B04"/>
    <w:rsid w:val="00015630"/>
    <w:rsid w:val="000174EC"/>
    <w:rsid w:val="00017613"/>
    <w:rsid w:val="000353A6"/>
    <w:rsid w:val="00037FF1"/>
    <w:rsid w:val="00040BDF"/>
    <w:rsid w:val="000447DD"/>
    <w:rsid w:val="000450A0"/>
    <w:rsid w:val="00047103"/>
    <w:rsid w:val="00047EDF"/>
    <w:rsid w:val="00065A01"/>
    <w:rsid w:val="000667B1"/>
    <w:rsid w:val="00071612"/>
    <w:rsid w:val="00071B22"/>
    <w:rsid w:val="000911F7"/>
    <w:rsid w:val="000960EF"/>
    <w:rsid w:val="000A2C68"/>
    <w:rsid w:val="000A6EA9"/>
    <w:rsid w:val="000B47B8"/>
    <w:rsid w:val="000B7F7E"/>
    <w:rsid w:val="000C4AA7"/>
    <w:rsid w:val="000D7BE4"/>
    <w:rsid w:val="001149F0"/>
    <w:rsid w:val="00127542"/>
    <w:rsid w:val="00130981"/>
    <w:rsid w:val="00132EB9"/>
    <w:rsid w:val="00133792"/>
    <w:rsid w:val="001370FF"/>
    <w:rsid w:val="00147E38"/>
    <w:rsid w:val="00152598"/>
    <w:rsid w:val="00175606"/>
    <w:rsid w:val="001818EA"/>
    <w:rsid w:val="00181BEA"/>
    <w:rsid w:val="00190F6E"/>
    <w:rsid w:val="001A0534"/>
    <w:rsid w:val="001A45B0"/>
    <w:rsid w:val="001A6916"/>
    <w:rsid w:val="001B1730"/>
    <w:rsid w:val="001B31E7"/>
    <w:rsid w:val="001B38E4"/>
    <w:rsid w:val="001B3FC2"/>
    <w:rsid w:val="001B4B45"/>
    <w:rsid w:val="001C0388"/>
    <w:rsid w:val="001C0F6F"/>
    <w:rsid w:val="001D0EFE"/>
    <w:rsid w:val="001D5B8D"/>
    <w:rsid w:val="001E012C"/>
    <w:rsid w:val="001E3012"/>
    <w:rsid w:val="001F2777"/>
    <w:rsid w:val="001F6BB5"/>
    <w:rsid w:val="001F6ED0"/>
    <w:rsid w:val="0021550F"/>
    <w:rsid w:val="0021676F"/>
    <w:rsid w:val="00221DC3"/>
    <w:rsid w:val="00227838"/>
    <w:rsid w:val="00233B21"/>
    <w:rsid w:val="00234714"/>
    <w:rsid w:val="002440BC"/>
    <w:rsid w:val="00246DAF"/>
    <w:rsid w:val="0025096B"/>
    <w:rsid w:val="00251482"/>
    <w:rsid w:val="00260127"/>
    <w:rsid w:val="002672AB"/>
    <w:rsid w:val="002873FC"/>
    <w:rsid w:val="002C25E3"/>
    <w:rsid w:val="002C4927"/>
    <w:rsid w:val="002E1E38"/>
    <w:rsid w:val="002E3658"/>
    <w:rsid w:val="002E5674"/>
    <w:rsid w:val="002F156C"/>
    <w:rsid w:val="002F5B06"/>
    <w:rsid w:val="002F6F1E"/>
    <w:rsid w:val="00300B5E"/>
    <w:rsid w:val="0030606C"/>
    <w:rsid w:val="0031138D"/>
    <w:rsid w:val="0031334E"/>
    <w:rsid w:val="00326463"/>
    <w:rsid w:val="003478FB"/>
    <w:rsid w:val="00352361"/>
    <w:rsid w:val="00357C22"/>
    <w:rsid w:val="00370002"/>
    <w:rsid w:val="0037744E"/>
    <w:rsid w:val="00383C9F"/>
    <w:rsid w:val="00385D75"/>
    <w:rsid w:val="003A75DB"/>
    <w:rsid w:val="003B2922"/>
    <w:rsid w:val="003D3B54"/>
    <w:rsid w:val="003F0AB7"/>
    <w:rsid w:val="003F132D"/>
    <w:rsid w:val="003F4BA0"/>
    <w:rsid w:val="004039CC"/>
    <w:rsid w:val="00404795"/>
    <w:rsid w:val="00410C8C"/>
    <w:rsid w:val="004203CE"/>
    <w:rsid w:val="00433907"/>
    <w:rsid w:val="004360BB"/>
    <w:rsid w:val="00455F73"/>
    <w:rsid w:val="004601E4"/>
    <w:rsid w:val="0047167A"/>
    <w:rsid w:val="0047252A"/>
    <w:rsid w:val="0048114F"/>
    <w:rsid w:val="004B2172"/>
    <w:rsid w:val="004B7CE3"/>
    <w:rsid w:val="004C1804"/>
    <w:rsid w:val="004C63EF"/>
    <w:rsid w:val="004D35AA"/>
    <w:rsid w:val="004D5BB6"/>
    <w:rsid w:val="004D70FC"/>
    <w:rsid w:val="004E063C"/>
    <w:rsid w:val="004E45FF"/>
    <w:rsid w:val="004E640E"/>
    <w:rsid w:val="004F2632"/>
    <w:rsid w:val="004F3933"/>
    <w:rsid w:val="0050718E"/>
    <w:rsid w:val="00507AD6"/>
    <w:rsid w:val="0051287A"/>
    <w:rsid w:val="00513905"/>
    <w:rsid w:val="005145F2"/>
    <w:rsid w:val="00520CF6"/>
    <w:rsid w:val="0052709C"/>
    <w:rsid w:val="005276D1"/>
    <w:rsid w:val="00530D94"/>
    <w:rsid w:val="00552E5D"/>
    <w:rsid w:val="00554D42"/>
    <w:rsid w:val="00563789"/>
    <w:rsid w:val="005668A6"/>
    <w:rsid w:val="0057249E"/>
    <w:rsid w:val="005902F8"/>
    <w:rsid w:val="005A7E40"/>
    <w:rsid w:val="005C460D"/>
    <w:rsid w:val="005C51CD"/>
    <w:rsid w:val="005C7CCA"/>
    <w:rsid w:val="005D7F50"/>
    <w:rsid w:val="0060282D"/>
    <w:rsid w:val="0060337F"/>
    <w:rsid w:val="00606373"/>
    <w:rsid w:val="006162A8"/>
    <w:rsid w:val="006165DA"/>
    <w:rsid w:val="00623153"/>
    <w:rsid w:val="00655FDF"/>
    <w:rsid w:val="00664BB1"/>
    <w:rsid w:val="006656A6"/>
    <w:rsid w:val="00684524"/>
    <w:rsid w:val="006853B7"/>
    <w:rsid w:val="00696E8D"/>
    <w:rsid w:val="00697F71"/>
    <w:rsid w:val="006A5792"/>
    <w:rsid w:val="006B4FF4"/>
    <w:rsid w:val="006B6E56"/>
    <w:rsid w:val="006C0440"/>
    <w:rsid w:val="006C19F3"/>
    <w:rsid w:val="006C2C03"/>
    <w:rsid w:val="006C307F"/>
    <w:rsid w:val="006C3EF9"/>
    <w:rsid w:val="006D387E"/>
    <w:rsid w:val="006D4CDE"/>
    <w:rsid w:val="006E1F8D"/>
    <w:rsid w:val="006E7498"/>
    <w:rsid w:val="006F3602"/>
    <w:rsid w:val="0070234F"/>
    <w:rsid w:val="00706ED0"/>
    <w:rsid w:val="007178AF"/>
    <w:rsid w:val="0072007A"/>
    <w:rsid w:val="00725BBA"/>
    <w:rsid w:val="00732407"/>
    <w:rsid w:val="00747264"/>
    <w:rsid w:val="00752B64"/>
    <w:rsid w:val="0075782F"/>
    <w:rsid w:val="00761A3C"/>
    <w:rsid w:val="00763580"/>
    <w:rsid w:val="0076767E"/>
    <w:rsid w:val="00774C58"/>
    <w:rsid w:val="00775C3C"/>
    <w:rsid w:val="00784D23"/>
    <w:rsid w:val="007A3B2C"/>
    <w:rsid w:val="007B20F8"/>
    <w:rsid w:val="007B5B24"/>
    <w:rsid w:val="007B6E05"/>
    <w:rsid w:val="007C3D79"/>
    <w:rsid w:val="007C624E"/>
    <w:rsid w:val="007C7F14"/>
    <w:rsid w:val="007D27EA"/>
    <w:rsid w:val="007D2C84"/>
    <w:rsid w:val="007D4070"/>
    <w:rsid w:val="007D4EF6"/>
    <w:rsid w:val="007E15EF"/>
    <w:rsid w:val="007E1C01"/>
    <w:rsid w:val="007F1219"/>
    <w:rsid w:val="007F41A9"/>
    <w:rsid w:val="007F6791"/>
    <w:rsid w:val="008029F5"/>
    <w:rsid w:val="00812466"/>
    <w:rsid w:val="00820734"/>
    <w:rsid w:val="00833933"/>
    <w:rsid w:val="0084382B"/>
    <w:rsid w:val="00856206"/>
    <w:rsid w:val="00856544"/>
    <w:rsid w:val="008610AA"/>
    <w:rsid w:val="0086725D"/>
    <w:rsid w:val="00870AB3"/>
    <w:rsid w:val="008739ED"/>
    <w:rsid w:val="008814B2"/>
    <w:rsid w:val="00886FAA"/>
    <w:rsid w:val="00897C1A"/>
    <w:rsid w:val="008B6A2D"/>
    <w:rsid w:val="008D49FA"/>
    <w:rsid w:val="008D7C1C"/>
    <w:rsid w:val="008F4B3D"/>
    <w:rsid w:val="00910004"/>
    <w:rsid w:val="00910214"/>
    <w:rsid w:val="00910D15"/>
    <w:rsid w:val="009121F7"/>
    <w:rsid w:val="00912732"/>
    <w:rsid w:val="00934B4D"/>
    <w:rsid w:val="00943791"/>
    <w:rsid w:val="00944625"/>
    <w:rsid w:val="00957831"/>
    <w:rsid w:val="00965B53"/>
    <w:rsid w:val="0097500A"/>
    <w:rsid w:val="00975566"/>
    <w:rsid w:val="009771D4"/>
    <w:rsid w:val="0098069A"/>
    <w:rsid w:val="00986EFD"/>
    <w:rsid w:val="00994209"/>
    <w:rsid w:val="009A35D1"/>
    <w:rsid w:val="009D349B"/>
    <w:rsid w:val="009D64B5"/>
    <w:rsid w:val="009E501D"/>
    <w:rsid w:val="009F26D4"/>
    <w:rsid w:val="009F3C5A"/>
    <w:rsid w:val="009F7E87"/>
    <w:rsid w:val="00A00FAD"/>
    <w:rsid w:val="00A0138D"/>
    <w:rsid w:val="00A1533C"/>
    <w:rsid w:val="00A16339"/>
    <w:rsid w:val="00A23E78"/>
    <w:rsid w:val="00A24A43"/>
    <w:rsid w:val="00A266F3"/>
    <w:rsid w:val="00A345CB"/>
    <w:rsid w:val="00A525B9"/>
    <w:rsid w:val="00A713C2"/>
    <w:rsid w:val="00A73B9F"/>
    <w:rsid w:val="00A762CF"/>
    <w:rsid w:val="00A95241"/>
    <w:rsid w:val="00A95C22"/>
    <w:rsid w:val="00A972F3"/>
    <w:rsid w:val="00AA02E5"/>
    <w:rsid w:val="00AA0495"/>
    <w:rsid w:val="00AA055A"/>
    <w:rsid w:val="00AB1E3C"/>
    <w:rsid w:val="00AB43F3"/>
    <w:rsid w:val="00AC4164"/>
    <w:rsid w:val="00AD5593"/>
    <w:rsid w:val="00AE223C"/>
    <w:rsid w:val="00B033FC"/>
    <w:rsid w:val="00B05CCF"/>
    <w:rsid w:val="00B217EC"/>
    <w:rsid w:val="00B23540"/>
    <w:rsid w:val="00B34D6C"/>
    <w:rsid w:val="00B42957"/>
    <w:rsid w:val="00B55839"/>
    <w:rsid w:val="00B709DE"/>
    <w:rsid w:val="00B83F03"/>
    <w:rsid w:val="00BA2793"/>
    <w:rsid w:val="00BA35EB"/>
    <w:rsid w:val="00BB0F89"/>
    <w:rsid w:val="00BB2E3E"/>
    <w:rsid w:val="00BB5DAF"/>
    <w:rsid w:val="00BB6D47"/>
    <w:rsid w:val="00BC07D6"/>
    <w:rsid w:val="00BD04C6"/>
    <w:rsid w:val="00BD4B1B"/>
    <w:rsid w:val="00BE53EB"/>
    <w:rsid w:val="00C200AA"/>
    <w:rsid w:val="00C24FB6"/>
    <w:rsid w:val="00C365BF"/>
    <w:rsid w:val="00C37145"/>
    <w:rsid w:val="00C417BF"/>
    <w:rsid w:val="00C42DF5"/>
    <w:rsid w:val="00C620B7"/>
    <w:rsid w:val="00C70FD1"/>
    <w:rsid w:val="00C80457"/>
    <w:rsid w:val="00C82873"/>
    <w:rsid w:val="00C841E3"/>
    <w:rsid w:val="00C85DAF"/>
    <w:rsid w:val="00C95449"/>
    <w:rsid w:val="00C97E1C"/>
    <w:rsid w:val="00CA25FE"/>
    <w:rsid w:val="00CA6A3C"/>
    <w:rsid w:val="00CB17C4"/>
    <w:rsid w:val="00CC1CAB"/>
    <w:rsid w:val="00CD11A7"/>
    <w:rsid w:val="00CD1AE7"/>
    <w:rsid w:val="00CD7B5B"/>
    <w:rsid w:val="00CF178A"/>
    <w:rsid w:val="00CF3421"/>
    <w:rsid w:val="00CF43BE"/>
    <w:rsid w:val="00D02D69"/>
    <w:rsid w:val="00D100D9"/>
    <w:rsid w:val="00D1252F"/>
    <w:rsid w:val="00D141E8"/>
    <w:rsid w:val="00D228D7"/>
    <w:rsid w:val="00D24C06"/>
    <w:rsid w:val="00D31380"/>
    <w:rsid w:val="00D31C9D"/>
    <w:rsid w:val="00D322A2"/>
    <w:rsid w:val="00D428BC"/>
    <w:rsid w:val="00D53BC8"/>
    <w:rsid w:val="00D5460A"/>
    <w:rsid w:val="00D54989"/>
    <w:rsid w:val="00D81705"/>
    <w:rsid w:val="00DA259B"/>
    <w:rsid w:val="00DA701D"/>
    <w:rsid w:val="00DA738B"/>
    <w:rsid w:val="00DD3869"/>
    <w:rsid w:val="00DF531A"/>
    <w:rsid w:val="00E010AB"/>
    <w:rsid w:val="00E0377A"/>
    <w:rsid w:val="00E108AF"/>
    <w:rsid w:val="00E135FA"/>
    <w:rsid w:val="00E13603"/>
    <w:rsid w:val="00E147FA"/>
    <w:rsid w:val="00E15710"/>
    <w:rsid w:val="00E27F57"/>
    <w:rsid w:val="00E331DC"/>
    <w:rsid w:val="00E35369"/>
    <w:rsid w:val="00E41BC1"/>
    <w:rsid w:val="00E43836"/>
    <w:rsid w:val="00E50F6F"/>
    <w:rsid w:val="00E548D1"/>
    <w:rsid w:val="00E61D95"/>
    <w:rsid w:val="00E9037C"/>
    <w:rsid w:val="00E903E2"/>
    <w:rsid w:val="00E91317"/>
    <w:rsid w:val="00E92550"/>
    <w:rsid w:val="00E95881"/>
    <w:rsid w:val="00EA0E55"/>
    <w:rsid w:val="00EA50CD"/>
    <w:rsid w:val="00EA74FE"/>
    <w:rsid w:val="00ED4B6C"/>
    <w:rsid w:val="00ED6D0A"/>
    <w:rsid w:val="00EE35FC"/>
    <w:rsid w:val="00EE5AD7"/>
    <w:rsid w:val="00EF0666"/>
    <w:rsid w:val="00EF1DBD"/>
    <w:rsid w:val="00F00AC3"/>
    <w:rsid w:val="00F12912"/>
    <w:rsid w:val="00F25D4B"/>
    <w:rsid w:val="00F3276A"/>
    <w:rsid w:val="00F36BE1"/>
    <w:rsid w:val="00F36DBE"/>
    <w:rsid w:val="00F425D7"/>
    <w:rsid w:val="00F43BE3"/>
    <w:rsid w:val="00F47A1B"/>
    <w:rsid w:val="00F47C97"/>
    <w:rsid w:val="00F54BD3"/>
    <w:rsid w:val="00F55F80"/>
    <w:rsid w:val="00F5799D"/>
    <w:rsid w:val="00F60C88"/>
    <w:rsid w:val="00F715E3"/>
    <w:rsid w:val="00F7347A"/>
    <w:rsid w:val="00F80538"/>
    <w:rsid w:val="00F817E7"/>
    <w:rsid w:val="00F87DDD"/>
    <w:rsid w:val="00F955BD"/>
    <w:rsid w:val="00FA0A59"/>
    <w:rsid w:val="00FB40B7"/>
    <w:rsid w:val="00FC1EF3"/>
    <w:rsid w:val="00FD26D7"/>
    <w:rsid w:val="00FF50CD"/>
    <w:rsid w:val="03252C12"/>
    <w:rsid w:val="06761FF5"/>
    <w:rsid w:val="1B6C5FAE"/>
    <w:rsid w:val="21183205"/>
    <w:rsid w:val="21E95402"/>
    <w:rsid w:val="2E16652A"/>
    <w:rsid w:val="34F248C3"/>
    <w:rsid w:val="363B3B2E"/>
    <w:rsid w:val="44FA2B2E"/>
    <w:rsid w:val="4E513184"/>
    <w:rsid w:val="657D7D07"/>
    <w:rsid w:val="6B104774"/>
    <w:rsid w:val="6F2F620B"/>
    <w:rsid w:val="6FD00BDF"/>
    <w:rsid w:val="708774A2"/>
    <w:rsid w:val="721D6750"/>
    <w:rsid w:val="72DE41A4"/>
    <w:rsid w:val="74874C6D"/>
    <w:rsid w:val="74B96B19"/>
    <w:rsid w:val="7C8D6090"/>
    <w:rsid w:val="7D2A0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Header Char"/>
    <w:basedOn w:val="7"/>
    <w:link w:val="4"/>
    <w:uiPriority w:val="99"/>
    <w:rPr>
      <w:sz w:val="18"/>
      <w:szCs w:val="18"/>
    </w:rPr>
  </w:style>
  <w:style w:type="character" w:customStyle="1" w:styleId="9">
    <w:name w:val="Footer Char"/>
    <w:basedOn w:val="7"/>
    <w:link w:val="3"/>
    <w:qFormat/>
    <w:uiPriority w:val="99"/>
    <w:rPr>
      <w:sz w:val="18"/>
      <w:szCs w:val="18"/>
    </w:rPr>
  </w:style>
  <w:style w:type="character" w:customStyle="1" w:styleId="10">
    <w:name w:val="Balloon Text Char"/>
    <w:basedOn w:val="7"/>
    <w:link w:val="2"/>
    <w:semiHidden/>
    <w:qFormat/>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632</Words>
  <Characters>3471</Characters>
  <Lines>28</Lines>
  <Paragraphs>8</Paragraphs>
  <TotalTime>1</TotalTime>
  <ScaleCrop>false</ScaleCrop>
  <LinksUpToDate>false</LinksUpToDate>
  <CharactersWithSpaces>4095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2020-12-11T17:32:00Z</dcterms:created>
  <dc:creator>Administrator</dc:creator>
  <cp:lastModifiedBy>EWan</cp:lastModifiedBy>
  <cp:lastPrinted>2018-08-20T07:38:00Z</cp:lastPrinted>
  <dcterms:modified xsi:type="dcterms:W3CDTF">2020-12-12T14:22:53Z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ContentRemapped">
    <vt:lpwstr>true</vt:lpwstr>
  </property>
</Properties>
</file>