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827"/>
        </w:tabs>
        <w:bidi w:val="0"/>
        <w:ind w:firstLine="1680" w:firstLineChars="700"/>
        <w:jc w:val="left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Table S2. Univariate COX analysis of risk factors for MACE</w:t>
      </w:r>
    </w:p>
    <w:tbl>
      <w:tblPr>
        <w:tblStyle w:val="2"/>
        <w:tblW w:w="8671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2"/>
        <w:gridCol w:w="1989"/>
        <w:gridCol w:w="2448"/>
        <w:gridCol w:w="12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96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HR</w:t>
            </w:r>
          </w:p>
        </w:tc>
        <w:tc>
          <w:tcPr>
            <w:tcW w:w="244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95%CI</w:t>
            </w:r>
          </w:p>
        </w:tc>
        <w:tc>
          <w:tcPr>
            <w:tcW w:w="127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Age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1.024 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1.003-1.046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gender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1.115 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0.745-1.669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BMI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0.989 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0.930-1.052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Hypertension history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1.039 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0.667-1.618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0.867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Diabetes history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1.731 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1.178-2.544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Smoking history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1.028 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0.700-1.508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Family history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1.162 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0.605-2.229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Creatinine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1.008 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0.998-1.018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hs-CRP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1.025 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1.008-1.042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LDL-C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1.472 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1.067-2.029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Lp(a)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1.008 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1.002-1.014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HDL-C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1.119 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0.975-1.284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0.961 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0.745-1.238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Left main lesions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1.388 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0.777-2.481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Total coronary occlusion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1.465 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0.945-2.269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Number of diseased vessels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1.686 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0.958-2.969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Number of  coronary stents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1.069 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0.955-1.195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0.246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Statin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Ezetimibe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0.578 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0.213-1.569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β blockers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0.956 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0.582-1.571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ACEI/ARB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1.326 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0.835-2.106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Aspirin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Clopidogrel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0.869 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0.558-1.354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96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Ticagrelor</w:t>
            </w:r>
          </w:p>
        </w:tc>
        <w:tc>
          <w:tcPr>
            <w:tcW w:w="19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1.150 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0.739-1.792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0.536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hZmFjOTdlMTkzNGE0YjJlMzNkYjczYzc4NzRjMTgifQ=="/>
  </w:docVars>
  <w:rsids>
    <w:rsidRoot w:val="00000000"/>
    <w:rsid w:val="4ACE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2022-08-30T11:37:55Z</dcterms:created>
  <dc:creator>ASUS</dc:creator>
  <cp:lastModifiedBy>小立</cp:lastModifiedBy>
  <dcterms:modified xsi:type="dcterms:W3CDTF">2022-08-30T11:38:00Z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90AD197E6ED74E7BAE83FF70C1A2DA00</vt:lpwstr>
  </property>
</Properties>
</file>