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2B0C29" w14:textId="77777777" w:rsidR="004A0720" w:rsidRDefault="004A0720" w:rsidP="004A0720">
      <w:pPr>
        <w:rPr>
          <w:rFonts w:ascii="Arial" w:eastAsia="Arial" w:hAnsi="Arial" w:cs="Arial"/>
          <w:b/>
          <w:sz w:val="28"/>
          <w:szCs w:val="28"/>
        </w:rPr>
      </w:pPr>
      <w:r>
        <w:rPr>
          <w:rFonts w:ascii="Arial" w:eastAsia="Arial" w:hAnsi="Arial" w:cs="Arial"/>
          <w:b/>
          <w:sz w:val="28"/>
          <w:szCs w:val="28"/>
        </w:rPr>
        <w:t xml:space="preserve">Supplementary Information for </w:t>
      </w:r>
    </w:p>
    <w:p w14:paraId="2B7E57F6" w14:textId="77777777" w:rsidR="004A0720" w:rsidRPr="007D0DD2" w:rsidRDefault="004A0720" w:rsidP="004A0720">
      <w:pPr>
        <w:rPr>
          <w:rFonts w:ascii="Arial" w:eastAsia="Arial" w:hAnsi="Arial" w:cs="Arial"/>
          <w:sz w:val="24"/>
          <w:szCs w:val="24"/>
        </w:rPr>
      </w:pPr>
      <w:r>
        <w:rPr>
          <w:rFonts w:ascii="Arial" w:eastAsia="Arial" w:hAnsi="Arial" w:cs="Arial"/>
          <w:sz w:val="28"/>
          <w:szCs w:val="28"/>
        </w:rPr>
        <w:t>Exchange, catalysis and amplification of encapsulated RNA driven by periodic temperature changes.</w:t>
      </w:r>
    </w:p>
    <w:p w14:paraId="290154C1" w14:textId="77777777" w:rsidR="004A0720" w:rsidRPr="00DF1510" w:rsidRDefault="004A0720" w:rsidP="004A0720">
      <w:pPr>
        <w:rPr>
          <w:rFonts w:ascii="Arial" w:eastAsia="Arial" w:hAnsi="Arial" w:cs="Arial"/>
          <w:sz w:val="20"/>
          <w:szCs w:val="20"/>
          <w:lang w:val="de-DE"/>
        </w:rPr>
      </w:pPr>
      <w:r w:rsidRPr="00DF1510">
        <w:rPr>
          <w:rFonts w:ascii="Arial" w:eastAsia="Arial" w:hAnsi="Arial" w:cs="Arial"/>
          <w:sz w:val="20"/>
          <w:szCs w:val="20"/>
          <w:lang w:val="de-DE"/>
        </w:rPr>
        <w:t>Elia Salibi</w:t>
      </w:r>
      <w:r w:rsidRPr="00DF1510">
        <w:rPr>
          <w:rFonts w:ascii="Arial" w:eastAsia="Arial" w:hAnsi="Arial" w:cs="Arial"/>
          <w:sz w:val="20"/>
          <w:szCs w:val="20"/>
          <w:vertAlign w:val="superscript"/>
          <w:lang w:val="de-DE"/>
        </w:rPr>
        <w:t>1§</w:t>
      </w:r>
      <w:r w:rsidRPr="00DF1510">
        <w:rPr>
          <w:rFonts w:ascii="Arial" w:eastAsia="Arial" w:hAnsi="Arial" w:cs="Arial"/>
          <w:sz w:val="20"/>
          <w:szCs w:val="20"/>
          <w:lang w:val="de-DE"/>
        </w:rPr>
        <w:t>, Benedikt Peter</w:t>
      </w:r>
      <w:r w:rsidRPr="00DF1510">
        <w:rPr>
          <w:rFonts w:ascii="Arial" w:eastAsia="Arial" w:hAnsi="Arial" w:cs="Arial"/>
          <w:sz w:val="20"/>
          <w:szCs w:val="20"/>
          <w:vertAlign w:val="superscript"/>
          <w:lang w:val="de-DE"/>
        </w:rPr>
        <w:t>2§</w:t>
      </w:r>
      <w:r w:rsidRPr="00DF1510">
        <w:rPr>
          <w:rFonts w:ascii="Arial" w:eastAsia="Arial" w:hAnsi="Arial" w:cs="Arial"/>
          <w:sz w:val="20"/>
          <w:szCs w:val="20"/>
          <w:lang w:val="de-DE"/>
        </w:rPr>
        <w:t>, Petra Schwille</w:t>
      </w:r>
      <w:r w:rsidRPr="00DF1510">
        <w:rPr>
          <w:rFonts w:ascii="Arial" w:eastAsia="Arial" w:hAnsi="Arial" w:cs="Arial"/>
          <w:sz w:val="20"/>
          <w:szCs w:val="20"/>
          <w:vertAlign w:val="superscript"/>
          <w:lang w:val="de-DE"/>
        </w:rPr>
        <w:t>2</w:t>
      </w:r>
      <w:r w:rsidRPr="00DF1510">
        <w:rPr>
          <w:rFonts w:ascii="Arial" w:eastAsia="Arial" w:hAnsi="Arial" w:cs="Arial"/>
          <w:sz w:val="20"/>
          <w:szCs w:val="20"/>
          <w:lang w:val="de-DE"/>
        </w:rPr>
        <w:t>*, Hannes Mutschler</w:t>
      </w:r>
      <w:r w:rsidRPr="00DF1510">
        <w:rPr>
          <w:rFonts w:ascii="Arial" w:eastAsia="Arial" w:hAnsi="Arial" w:cs="Arial"/>
          <w:sz w:val="20"/>
          <w:szCs w:val="20"/>
          <w:vertAlign w:val="superscript"/>
          <w:lang w:val="de-DE"/>
        </w:rPr>
        <w:t>1</w:t>
      </w:r>
      <w:r w:rsidRPr="00DF1510">
        <w:rPr>
          <w:rFonts w:ascii="Arial" w:eastAsia="Arial" w:hAnsi="Arial" w:cs="Arial"/>
          <w:sz w:val="20"/>
          <w:szCs w:val="20"/>
          <w:lang w:val="de-DE"/>
        </w:rPr>
        <w:t xml:space="preserve">*. </w:t>
      </w:r>
    </w:p>
    <w:p w14:paraId="331D4888" w14:textId="77777777" w:rsidR="004A0720" w:rsidRDefault="004A0720" w:rsidP="004A0720">
      <w:pPr>
        <w:rPr>
          <w:rFonts w:ascii="Arial" w:eastAsia="Arial" w:hAnsi="Arial" w:cs="Arial"/>
          <w:sz w:val="20"/>
          <w:szCs w:val="20"/>
        </w:rPr>
      </w:pPr>
      <w:r>
        <w:rPr>
          <w:rFonts w:ascii="Arial" w:eastAsia="Arial" w:hAnsi="Arial" w:cs="Arial"/>
          <w:sz w:val="20"/>
          <w:szCs w:val="20"/>
          <w:vertAlign w:val="superscript"/>
        </w:rPr>
        <w:t>1</w:t>
      </w:r>
      <w:r>
        <w:rPr>
          <w:rFonts w:ascii="Arial" w:eastAsia="Arial" w:hAnsi="Arial" w:cs="Arial"/>
          <w:sz w:val="20"/>
          <w:szCs w:val="20"/>
        </w:rPr>
        <w:t xml:space="preserve"> TU Dortmund University, Department of Chemistry and Chemical Biology, Otto-Hahn-Str. 4a, 44227 Dortmund, Germany</w:t>
      </w:r>
    </w:p>
    <w:p w14:paraId="057449C6" w14:textId="77777777" w:rsidR="004A0720" w:rsidRDefault="004A0720" w:rsidP="004A0720">
      <w:pPr>
        <w:rPr>
          <w:rFonts w:ascii="Arial" w:eastAsia="Arial" w:hAnsi="Arial" w:cs="Arial"/>
          <w:sz w:val="20"/>
          <w:szCs w:val="20"/>
        </w:rPr>
      </w:pPr>
      <w:r>
        <w:rPr>
          <w:rFonts w:ascii="Arial" w:eastAsia="Arial" w:hAnsi="Arial" w:cs="Arial"/>
          <w:sz w:val="20"/>
          <w:szCs w:val="20"/>
          <w:vertAlign w:val="superscript"/>
        </w:rPr>
        <w:t xml:space="preserve">2 </w:t>
      </w:r>
      <w:r>
        <w:rPr>
          <w:rFonts w:ascii="Arial" w:eastAsia="Arial" w:hAnsi="Arial" w:cs="Arial"/>
          <w:sz w:val="20"/>
          <w:szCs w:val="20"/>
        </w:rPr>
        <w:t>Max Planck Institute of Biochemistry, Department of Cellular and Molecular Biophysics, Am Klopferspitz 18, 82152 Martinsried, Germany</w:t>
      </w:r>
    </w:p>
    <w:p w14:paraId="593EE587" w14:textId="77777777" w:rsidR="004A0720" w:rsidRDefault="004A0720" w:rsidP="004A0720">
      <w:pPr>
        <w:rPr>
          <w:rFonts w:ascii="Arial" w:eastAsia="Arial" w:hAnsi="Arial" w:cs="Arial"/>
          <w:sz w:val="20"/>
          <w:szCs w:val="20"/>
        </w:rPr>
      </w:pPr>
      <w:r>
        <w:rPr>
          <w:rFonts w:ascii="Arial" w:eastAsia="Arial" w:hAnsi="Arial" w:cs="Arial"/>
          <w:sz w:val="20"/>
          <w:szCs w:val="20"/>
          <w:vertAlign w:val="superscript"/>
        </w:rPr>
        <w:t>§</w:t>
      </w:r>
      <w:r>
        <w:rPr>
          <w:rFonts w:ascii="Arial" w:eastAsia="Arial" w:hAnsi="Arial" w:cs="Arial"/>
          <w:sz w:val="20"/>
          <w:szCs w:val="20"/>
        </w:rPr>
        <w:t>Joint first author</w:t>
      </w:r>
    </w:p>
    <w:p w14:paraId="5CF85983" w14:textId="77777777" w:rsidR="004A0720" w:rsidRDefault="004A0720" w:rsidP="004A0720">
      <w:pPr>
        <w:rPr>
          <w:rFonts w:ascii="Arial" w:eastAsia="Arial" w:hAnsi="Arial" w:cs="Arial"/>
          <w:sz w:val="20"/>
          <w:szCs w:val="20"/>
        </w:rPr>
      </w:pPr>
      <w:r>
        <w:rPr>
          <w:rFonts w:ascii="Arial" w:eastAsia="Arial" w:hAnsi="Arial" w:cs="Arial"/>
          <w:sz w:val="20"/>
          <w:szCs w:val="20"/>
        </w:rPr>
        <w:t>*Corresponding authors</w:t>
      </w:r>
    </w:p>
    <w:p w14:paraId="0A09A4AD" w14:textId="77777777" w:rsidR="00083DB2" w:rsidRDefault="00083DB2" w:rsidP="004A0720">
      <w:pPr>
        <w:rPr>
          <w:rFonts w:ascii="Arial" w:eastAsia="Arial" w:hAnsi="Arial" w:cs="Arial"/>
          <w:sz w:val="20"/>
          <w:szCs w:val="20"/>
        </w:rPr>
      </w:pPr>
    </w:p>
    <w:sdt>
      <w:sdtPr>
        <w:rPr>
          <w:sz w:val="22"/>
          <w:szCs w:val="22"/>
        </w:rPr>
        <w:id w:val="-1833212608"/>
        <w:docPartObj>
          <w:docPartGallery w:val="Table of Contents"/>
          <w:docPartUnique/>
        </w:docPartObj>
      </w:sdtPr>
      <w:sdtEndPr>
        <w:rPr>
          <w:rFonts w:ascii="Arial" w:hAnsi="Arial" w:cs="Arial"/>
          <w:bCs/>
          <w:noProof/>
          <w:sz w:val="20"/>
        </w:rPr>
      </w:sdtEndPr>
      <w:sdtContent>
        <w:p w14:paraId="2EFF3E24" w14:textId="77777777" w:rsidR="004A0720" w:rsidRPr="00CF4918" w:rsidRDefault="00CF4918" w:rsidP="00E869B3">
          <w:pPr>
            <w:pStyle w:val="Heading3"/>
          </w:pPr>
          <w:r w:rsidRPr="00CF4918">
            <w:t xml:space="preserve">Table of </w:t>
          </w:r>
          <w:r w:rsidR="004A0720" w:rsidRPr="00CF4918">
            <w:t>Contents</w:t>
          </w:r>
        </w:p>
        <w:p w14:paraId="56FA1FC6" w14:textId="3D05CE5C" w:rsidR="00342873" w:rsidRDefault="004A0720">
          <w:pPr>
            <w:pStyle w:val="TOC1"/>
            <w:tabs>
              <w:tab w:val="right" w:leader="dot" w:pos="9062"/>
            </w:tabs>
            <w:rPr>
              <w:rFonts w:asciiTheme="minorHAnsi" w:eastAsiaTheme="minorEastAsia" w:hAnsiTheme="minorHAnsi" w:cstheme="minorBidi"/>
              <w:noProof/>
              <w:lang w:val="de-DE" w:eastAsia="de-DE"/>
            </w:rPr>
          </w:pPr>
          <w:r w:rsidRPr="00342873">
            <w:rPr>
              <w:rFonts w:ascii="Arial" w:hAnsi="Arial" w:cs="Arial"/>
              <w:sz w:val="20"/>
            </w:rPr>
            <w:fldChar w:fldCharType="begin"/>
          </w:r>
          <w:r w:rsidRPr="00342873">
            <w:rPr>
              <w:rFonts w:ascii="Arial" w:hAnsi="Arial" w:cs="Arial"/>
              <w:sz w:val="20"/>
            </w:rPr>
            <w:instrText xml:space="preserve"> TOC \o "1-3" \h \z \u </w:instrText>
          </w:r>
          <w:r w:rsidRPr="00342873">
            <w:rPr>
              <w:rFonts w:ascii="Arial" w:hAnsi="Arial" w:cs="Arial"/>
              <w:sz w:val="20"/>
            </w:rPr>
            <w:fldChar w:fldCharType="separate"/>
          </w:r>
          <w:hyperlink w:anchor="_Toc112772049" w:history="1">
            <w:r w:rsidR="00342873" w:rsidRPr="004A61A8">
              <w:rPr>
                <w:rStyle w:val="Hyperlink"/>
                <w:rFonts w:ascii="Arial" w:hAnsi="Arial" w:cs="Arial"/>
                <w:noProof/>
              </w:rPr>
              <w:t>Materials</w:t>
            </w:r>
            <w:r w:rsidR="00342873">
              <w:rPr>
                <w:noProof/>
                <w:webHidden/>
              </w:rPr>
              <w:tab/>
            </w:r>
            <w:r w:rsidR="00342873">
              <w:rPr>
                <w:noProof/>
                <w:webHidden/>
              </w:rPr>
              <w:fldChar w:fldCharType="begin"/>
            </w:r>
            <w:r w:rsidR="00342873">
              <w:rPr>
                <w:noProof/>
                <w:webHidden/>
              </w:rPr>
              <w:instrText xml:space="preserve"> PAGEREF _Toc112772049 \h </w:instrText>
            </w:r>
            <w:r w:rsidR="00342873">
              <w:rPr>
                <w:noProof/>
                <w:webHidden/>
              </w:rPr>
            </w:r>
            <w:r w:rsidR="00342873">
              <w:rPr>
                <w:noProof/>
                <w:webHidden/>
              </w:rPr>
              <w:fldChar w:fldCharType="separate"/>
            </w:r>
            <w:r w:rsidR="00342873">
              <w:rPr>
                <w:noProof/>
                <w:webHidden/>
              </w:rPr>
              <w:t>1</w:t>
            </w:r>
            <w:r w:rsidR="00342873">
              <w:rPr>
                <w:noProof/>
                <w:webHidden/>
              </w:rPr>
              <w:fldChar w:fldCharType="end"/>
            </w:r>
          </w:hyperlink>
        </w:p>
        <w:p w14:paraId="54A1E324" w14:textId="3A20539A" w:rsidR="00342873" w:rsidRDefault="00FC36DE">
          <w:pPr>
            <w:pStyle w:val="TOC1"/>
            <w:tabs>
              <w:tab w:val="right" w:leader="dot" w:pos="9062"/>
            </w:tabs>
            <w:rPr>
              <w:rFonts w:asciiTheme="minorHAnsi" w:eastAsiaTheme="minorEastAsia" w:hAnsiTheme="minorHAnsi" w:cstheme="minorBidi"/>
              <w:noProof/>
              <w:lang w:val="de-DE" w:eastAsia="de-DE"/>
            </w:rPr>
          </w:pPr>
          <w:hyperlink w:anchor="_Toc112772050" w:history="1">
            <w:r w:rsidR="00342873" w:rsidRPr="004A61A8">
              <w:rPr>
                <w:rStyle w:val="Hyperlink"/>
                <w:rFonts w:ascii="Arial" w:hAnsi="Arial" w:cs="Arial"/>
                <w:noProof/>
              </w:rPr>
              <w:t>Supplementary Tables</w:t>
            </w:r>
            <w:r w:rsidR="00342873">
              <w:rPr>
                <w:noProof/>
                <w:webHidden/>
              </w:rPr>
              <w:tab/>
            </w:r>
            <w:r w:rsidR="00342873">
              <w:rPr>
                <w:noProof/>
                <w:webHidden/>
              </w:rPr>
              <w:fldChar w:fldCharType="begin"/>
            </w:r>
            <w:r w:rsidR="00342873">
              <w:rPr>
                <w:noProof/>
                <w:webHidden/>
              </w:rPr>
              <w:instrText xml:space="preserve"> PAGEREF _Toc112772050 \h </w:instrText>
            </w:r>
            <w:r w:rsidR="00342873">
              <w:rPr>
                <w:noProof/>
                <w:webHidden/>
              </w:rPr>
            </w:r>
            <w:r w:rsidR="00342873">
              <w:rPr>
                <w:noProof/>
                <w:webHidden/>
              </w:rPr>
              <w:fldChar w:fldCharType="separate"/>
            </w:r>
            <w:r w:rsidR="00342873">
              <w:rPr>
                <w:noProof/>
                <w:webHidden/>
              </w:rPr>
              <w:t>2</w:t>
            </w:r>
            <w:r w:rsidR="00342873">
              <w:rPr>
                <w:noProof/>
                <w:webHidden/>
              </w:rPr>
              <w:fldChar w:fldCharType="end"/>
            </w:r>
          </w:hyperlink>
        </w:p>
        <w:p w14:paraId="6193D1B7" w14:textId="23F2F036" w:rsidR="00342873" w:rsidRDefault="00FC36DE">
          <w:pPr>
            <w:pStyle w:val="TOC1"/>
            <w:tabs>
              <w:tab w:val="right" w:leader="dot" w:pos="9062"/>
            </w:tabs>
            <w:rPr>
              <w:rFonts w:asciiTheme="minorHAnsi" w:eastAsiaTheme="minorEastAsia" w:hAnsiTheme="minorHAnsi" w:cstheme="minorBidi"/>
              <w:noProof/>
              <w:lang w:val="de-DE" w:eastAsia="de-DE"/>
            </w:rPr>
          </w:pPr>
          <w:hyperlink w:anchor="_Toc112772051" w:history="1">
            <w:r w:rsidR="00342873" w:rsidRPr="004A61A8">
              <w:rPr>
                <w:rStyle w:val="Hyperlink"/>
                <w:rFonts w:ascii="Arial" w:hAnsi="Arial" w:cs="Arial"/>
                <w:noProof/>
              </w:rPr>
              <w:t>Supplementary Figures</w:t>
            </w:r>
            <w:r w:rsidR="00342873">
              <w:rPr>
                <w:noProof/>
                <w:webHidden/>
              </w:rPr>
              <w:tab/>
            </w:r>
            <w:r w:rsidR="00342873">
              <w:rPr>
                <w:noProof/>
                <w:webHidden/>
              </w:rPr>
              <w:fldChar w:fldCharType="begin"/>
            </w:r>
            <w:r w:rsidR="00342873">
              <w:rPr>
                <w:noProof/>
                <w:webHidden/>
              </w:rPr>
              <w:instrText xml:space="preserve"> PAGEREF _Toc112772051 \h </w:instrText>
            </w:r>
            <w:r w:rsidR="00342873">
              <w:rPr>
                <w:noProof/>
                <w:webHidden/>
              </w:rPr>
            </w:r>
            <w:r w:rsidR="00342873">
              <w:rPr>
                <w:noProof/>
                <w:webHidden/>
              </w:rPr>
              <w:fldChar w:fldCharType="separate"/>
            </w:r>
            <w:r w:rsidR="00342873">
              <w:rPr>
                <w:noProof/>
                <w:webHidden/>
              </w:rPr>
              <w:t>3</w:t>
            </w:r>
            <w:r w:rsidR="00342873">
              <w:rPr>
                <w:noProof/>
                <w:webHidden/>
              </w:rPr>
              <w:fldChar w:fldCharType="end"/>
            </w:r>
          </w:hyperlink>
        </w:p>
        <w:p w14:paraId="7EE13A0F" w14:textId="34B5DE97"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2" w:history="1">
            <w:r w:rsidR="00342873" w:rsidRPr="004A61A8">
              <w:rPr>
                <w:rStyle w:val="Hyperlink"/>
                <w:rFonts w:ascii="Arial" w:hAnsi="Arial" w:cs="Arial"/>
                <w:noProof/>
              </w:rPr>
              <w:t xml:space="preserve">Supplementary Figure 1: </w:t>
            </w:r>
            <w:r w:rsidR="00342873" w:rsidRPr="004A61A8">
              <w:rPr>
                <w:rStyle w:val="Hyperlink"/>
                <w:rFonts w:ascii="Arial" w:eastAsia="Arial" w:hAnsi="Arial" w:cs="Arial"/>
                <w:noProof/>
              </w:rPr>
              <w:t>Secondary structures of RNA systems used in the study.</w:t>
            </w:r>
            <w:r w:rsidR="00342873">
              <w:rPr>
                <w:noProof/>
                <w:webHidden/>
              </w:rPr>
              <w:tab/>
            </w:r>
            <w:r w:rsidR="00342873">
              <w:rPr>
                <w:noProof/>
                <w:webHidden/>
              </w:rPr>
              <w:fldChar w:fldCharType="begin"/>
            </w:r>
            <w:r w:rsidR="00342873">
              <w:rPr>
                <w:noProof/>
                <w:webHidden/>
              </w:rPr>
              <w:instrText xml:space="preserve"> PAGEREF _Toc112772052 \h </w:instrText>
            </w:r>
            <w:r w:rsidR="00342873">
              <w:rPr>
                <w:noProof/>
                <w:webHidden/>
              </w:rPr>
            </w:r>
            <w:r w:rsidR="00342873">
              <w:rPr>
                <w:noProof/>
                <w:webHidden/>
              </w:rPr>
              <w:fldChar w:fldCharType="separate"/>
            </w:r>
            <w:r w:rsidR="00342873">
              <w:rPr>
                <w:noProof/>
                <w:webHidden/>
              </w:rPr>
              <w:t>3</w:t>
            </w:r>
            <w:r w:rsidR="00342873">
              <w:rPr>
                <w:noProof/>
                <w:webHidden/>
              </w:rPr>
              <w:fldChar w:fldCharType="end"/>
            </w:r>
          </w:hyperlink>
        </w:p>
        <w:p w14:paraId="217D56D3" w14:textId="13ADD759"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3" w:history="1">
            <w:r w:rsidR="00342873" w:rsidRPr="004A61A8">
              <w:rPr>
                <w:rStyle w:val="Hyperlink"/>
                <w:rFonts w:ascii="Arial" w:hAnsi="Arial" w:cs="Arial"/>
                <w:noProof/>
              </w:rPr>
              <w:t xml:space="preserve">Supplementary Figure 2: Time course of hammerhead activity </w:t>
            </w:r>
            <w:r w:rsidR="00342873" w:rsidRPr="004A61A8">
              <w:rPr>
                <w:rStyle w:val="Hyperlink"/>
                <w:rFonts w:ascii="Arial" w:hAnsi="Arial" w:cs="Arial"/>
                <w:i/>
                <w:noProof/>
              </w:rPr>
              <w:t xml:space="preserve">in vitro </w:t>
            </w:r>
            <w:r w:rsidR="00342873" w:rsidRPr="004A61A8">
              <w:rPr>
                <w:rStyle w:val="Hyperlink"/>
                <w:rFonts w:ascii="Arial" w:hAnsi="Arial" w:cs="Arial"/>
                <w:noProof/>
              </w:rPr>
              <w:t>supplemented with sucrose.</w:t>
            </w:r>
            <w:r w:rsidR="00342873">
              <w:rPr>
                <w:noProof/>
                <w:webHidden/>
              </w:rPr>
              <w:tab/>
            </w:r>
            <w:r w:rsidR="00342873">
              <w:rPr>
                <w:noProof/>
                <w:webHidden/>
              </w:rPr>
              <w:fldChar w:fldCharType="begin"/>
            </w:r>
            <w:r w:rsidR="00342873">
              <w:rPr>
                <w:noProof/>
                <w:webHidden/>
              </w:rPr>
              <w:instrText xml:space="preserve"> PAGEREF _Toc112772053 \h </w:instrText>
            </w:r>
            <w:r w:rsidR="00342873">
              <w:rPr>
                <w:noProof/>
                <w:webHidden/>
              </w:rPr>
            </w:r>
            <w:r w:rsidR="00342873">
              <w:rPr>
                <w:noProof/>
                <w:webHidden/>
              </w:rPr>
              <w:fldChar w:fldCharType="separate"/>
            </w:r>
            <w:r w:rsidR="00342873">
              <w:rPr>
                <w:noProof/>
                <w:webHidden/>
              </w:rPr>
              <w:t>4</w:t>
            </w:r>
            <w:r w:rsidR="00342873">
              <w:rPr>
                <w:noProof/>
                <w:webHidden/>
              </w:rPr>
              <w:fldChar w:fldCharType="end"/>
            </w:r>
          </w:hyperlink>
        </w:p>
        <w:p w14:paraId="60789C6A" w14:textId="338D4835"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4" w:history="1">
            <w:r w:rsidR="00342873" w:rsidRPr="004A61A8">
              <w:rPr>
                <w:rStyle w:val="Hyperlink"/>
                <w:rFonts w:ascii="Arial" w:hAnsi="Arial" w:cs="Arial"/>
                <w:noProof/>
              </w:rPr>
              <w:t>Supplementary Figure 3: Hammerhead activity in GUVs.</w:t>
            </w:r>
            <w:r w:rsidR="00342873">
              <w:rPr>
                <w:noProof/>
                <w:webHidden/>
              </w:rPr>
              <w:tab/>
            </w:r>
            <w:r w:rsidR="00342873">
              <w:rPr>
                <w:noProof/>
                <w:webHidden/>
              </w:rPr>
              <w:fldChar w:fldCharType="begin"/>
            </w:r>
            <w:r w:rsidR="00342873">
              <w:rPr>
                <w:noProof/>
                <w:webHidden/>
              </w:rPr>
              <w:instrText xml:space="preserve"> PAGEREF _Toc112772054 \h </w:instrText>
            </w:r>
            <w:r w:rsidR="00342873">
              <w:rPr>
                <w:noProof/>
                <w:webHidden/>
              </w:rPr>
            </w:r>
            <w:r w:rsidR="00342873">
              <w:rPr>
                <w:noProof/>
                <w:webHidden/>
              </w:rPr>
              <w:fldChar w:fldCharType="separate"/>
            </w:r>
            <w:r w:rsidR="00342873">
              <w:rPr>
                <w:noProof/>
                <w:webHidden/>
              </w:rPr>
              <w:t>5</w:t>
            </w:r>
            <w:r w:rsidR="00342873">
              <w:rPr>
                <w:noProof/>
                <w:webHidden/>
              </w:rPr>
              <w:fldChar w:fldCharType="end"/>
            </w:r>
          </w:hyperlink>
        </w:p>
        <w:p w14:paraId="0E157E74" w14:textId="381D4BA7"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5" w:history="1">
            <w:r w:rsidR="00342873" w:rsidRPr="004A61A8">
              <w:rPr>
                <w:rStyle w:val="Hyperlink"/>
                <w:rFonts w:ascii="Arial" w:hAnsi="Arial" w:cs="Arial"/>
                <w:noProof/>
              </w:rPr>
              <w:t>Supplementary Figure 4: Effect of MgCl</w:t>
            </w:r>
            <w:r w:rsidR="00342873" w:rsidRPr="004A61A8">
              <w:rPr>
                <w:rStyle w:val="Hyperlink"/>
                <w:rFonts w:ascii="Arial" w:hAnsi="Arial" w:cs="Arial"/>
                <w:noProof/>
                <w:vertAlign w:val="subscript"/>
              </w:rPr>
              <w:t>2</w:t>
            </w:r>
            <w:r w:rsidR="00342873" w:rsidRPr="004A61A8">
              <w:rPr>
                <w:rStyle w:val="Hyperlink"/>
                <w:rFonts w:ascii="Arial" w:hAnsi="Arial" w:cs="Arial"/>
                <w:noProof/>
              </w:rPr>
              <w:t xml:space="preserve"> on emulsion transfer GUV preparation.</w:t>
            </w:r>
            <w:r w:rsidR="00342873">
              <w:rPr>
                <w:noProof/>
                <w:webHidden/>
              </w:rPr>
              <w:tab/>
            </w:r>
            <w:r w:rsidR="00342873">
              <w:rPr>
                <w:noProof/>
                <w:webHidden/>
              </w:rPr>
              <w:fldChar w:fldCharType="begin"/>
            </w:r>
            <w:r w:rsidR="00342873">
              <w:rPr>
                <w:noProof/>
                <w:webHidden/>
              </w:rPr>
              <w:instrText xml:space="preserve"> PAGEREF _Toc112772055 \h </w:instrText>
            </w:r>
            <w:r w:rsidR="00342873">
              <w:rPr>
                <w:noProof/>
                <w:webHidden/>
              </w:rPr>
            </w:r>
            <w:r w:rsidR="00342873">
              <w:rPr>
                <w:noProof/>
                <w:webHidden/>
              </w:rPr>
              <w:fldChar w:fldCharType="separate"/>
            </w:r>
            <w:r w:rsidR="00342873">
              <w:rPr>
                <w:noProof/>
                <w:webHidden/>
              </w:rPr>
              <w:t>6</w:t>
            </w:r>
            <w:r w:rsidR="00342873">
              <w:rPr>
                <w:noProof/>
                <w:webHidden/>
              </w:rPr>
              <w:fldChar w:fldCharType="end"/>
            </w:r>
          </w:hyperlink>
        </w:p>
        <w:p w14:paraId="69A0E9DA" w14:textId="290C7201"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6" w:history="1">
            <w:r w:rsidR="00342873" w:rsidRPr="004A61A8">
              <w:rPr>
                <w:rStyle w:val="Hyperlink"/>
                <w:rFonts w:ascii="Arial" w:hAnsi="Arial" w:cs="Arial"/>
                <w:noProof/>
              </w:rPr>
              <w:t xml:space="preserve">Supplementary Figure 5: </w:t>
            </w:r>
            <w:r w:rsidR="00342873" w:rsidRPr="004A61A8">
              <w:rPr>
                <w:rStyle w:val="Hyperlink"/>
                <w:rFonts w:ascii="Arial" w:hAnsi="Arial" w:cs="Arial"/>
                <w:i/>
                <w:noProof/>
              </w:rPr>
              <w:t xml:space="preserve">in vitro </w:t>
            </w:r>
            <w:r w:rsidR="00342873" w:rsidRPr="004A61A8">
              <w:rPr>
                <w:rStyle w:val="Hyperlink"/>
                <w:rFonts w:ascii="Arial" w:hAnsi="Arial" w:cs="Arial"/>
                <w:noProof/>
              </w:rPr>
              <w:t>characterization of the enzymatically synthesized TAMRA-B-BHQ2 substrate.</w:t>
            </w:r>
            <w:r w:rsidR="00342873">
              <w:rPr>
                <w:noProof/>
                <w:webHidden/>
              </w:rPr>
              <w:tab/>
            </w:r>
            <w:r w:rsidR="00342873">
              <w:rPr>
                <w:noProof/>
                <w:webHidden/>
              </w:rPr>
              <w:fldChar w:fldCharType="begin"/>
            </w:r>
            <w:r w:rsidR="00342873">
              <w:rPr>
                <w:noProof/>
                <w:webHidden/>
              </w:rPr>
              <w:instrText xml:space="preserve"> PAGEREF _Toc112772056 \h </w:instrText>
            </w:r>
            <w:r w:rsidR="00342873">
              <w:rPr>
                <w:noProof/>
                <w:webHidden/>
              </w:rPr>
            </w:r>
            <w:r w:rsidR="00342873">
              <w:rPr>
                <w:noProof/>
                <w:webHidden/>
              </w:rPr>
              <w:fldChar w:fldCharType="separate"/>
            </w:r>
            <w:r w:rsidR="00342873">
              <w:rPr>
                <w:noProof/>
                <w:webHidden/>
              </w:rPr>
              <w:t>7</w:t>
            </w:r>
            <w:r w:rsidR="00342873">
              <w:rPr>
                <w:noProof/>
                <w:webHidden/>
              </w:rPr>
              <w:fldChar w:fldCharType="end"/>
            </w:r>
          </w:hyperlink>
        </w:p>
        <w:p w14:paraId="5D38357F" w14:textId="721AFDDF"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7" w:history="1">
            <w:r w:rsidR="00342873" w:rsidRPr="004A61A8">
              <w:rPr>
                <w:rStyle w:val="Hyperlink"/>
                <w:rFonts w:ascii="Arial" w:hAnsi="Arial" w:cs="Arial"/>
                <w:noProof/>
              </w:rPr>
              <w:t>Supplementary Figure 6: Membrane interactions of encapsulated RNA.</w:t>
            </w:r>
            <w:r w:rsidR="00342873">
              <w:rPr>
                <w:noProof/>
                <w:webHidden/>
              </w:rPr>
              <w:tab/>
            </w:r>
            <w:r w:rsidR="00342873">
              <w:rPr>
                <w:noProof/>
                <w:webHidden/>
              </w:rPr>
              <w:fldChar w:fldCharType="begin"/>
            </w:r>
            <w:r w:rsidR="00342873">
              <w:rPr>
                <w:noProof/>
                <w:webHidden/>
              </w:rPr>
              <w:instrText xml:space="preserve"> PAGEREF _Toc112772057 \h </w:instrText>
            </w:r>
            <w:r w:rsidR="00342873">
              <w:rPr>
                <w:noProof/>
                <w:webHidden/>
              </w:rPr>
            </w:r>
            <w:r w:rsidR="00342873">
              <w:rPr>
                <w:noProof/>
                <w:webHidden/>
              </w:rPr>
              <w:fldChar w:fldCharType="separate"/>
            </w:r>
            <w:r w:rsidR="00342873">
              <w:rPr>
                <w:noProof/>
                <w:webHidden/>
              </w:rPr>
              <w:t>8</w:t>
            </w:r>
            <w:r w:rsidR="00342873">
              <w:rPr>
                <w:noProof/>
                <w:webHidden/>
              </w:rPr>
              <w:fldChar w:fldCharType="end"/>
            </w:r>
          </w:hyperlink>
        </w:p>
        <w:p w14:paraId="50693927" w14:textId="6DBA1262"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8" w:history="1">
            <w:r w:rsidR="00342873" w:rsidRPr="004A61A8">
              <w:rPr>
                <w:rStyle w:val="Hyperlink"/>
                <w:rFonts w:ascii="Arial" w:hAnsi="Arial" w:cs="Arial"/>
                <w:noProof/>
              </w:rPr>
              <w:t>Supplementary Figure 7: Fluorescence intensity inside GUVs decreases upon freezing and thawing.</w:t>
            </w:r>
            <w:r w:rsidR="00342873">
              <w:rPr>
                <w:noProof/>
                <w:webHidden/>
              </w:rPr>
              <w:tab/>
            </w:r>
            <w:r w:rsidR="00342873">
              <w:rPr>
                <w:noProof/>
                <w:webHidden/>
              </w:rPr>
              <w:fldChar w:fldCharType="begin"/>
            </w:r>
            <w:r w:rsidR="00342873">
              <w:rPr>
                <w:noProof/>
                <w:webHidden/>
              </w:rPr>
              <w:instrText xml:space="preserve"> PAGEREF _Toc112772058 \h </w:instrText>
            </w:r>
            <w:r w:rsidR="00342873">
              <w:rPr>
                <w:noProof/>
                <w:webHidden/>
              </w:rPr>
            </w:r>
            <w:r w:rsidR="00342873">
              <w:rPr>
                <w:noProof/>
                <w:webHidden/>
              </w:rPr>
              <w:fldChar w:fldCharType="separate"/>
            </w:r>
            <w:r w:rsidR="00342873">
              <w:rPr>
                <w:noProof/>
                <w:webHidden/>
              </w:rPr>
              <w:t>9</w:t>
            </w:r>
            <w:r w:rsidR="00342873">
              <w:rPr>
                <w:noProof/>
                <w:webHidden/>
              </w:rPr>
              <w:fldChar w:fldCharType="end"/>
            </w:r>
          </w:hyperlink>
        </w:p>
        <w:p w14:paraId="6FC27C36" w14:textId="4F649A54"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59" w:history="1">
            <w:r w:rsidR="00342873" w:rsidRPr="004A61A8">
              <w:rPr>
                <w:rStyle w:val="Hyperlink"/>
                <w:rFonts w:ascii="Arial" w:hAnsi="Arial" w:cs="Arial"/>
                <w:noProof/>
              </w:rPr>
              <w:t xml:space="preserve">Supplementary Figure 8: Gel electrophoresis of RNA ligation by R3C ligase ribozyme F1 </w:t>
            </w:r>
            <w:r w:rsidR="00342873" w:rsidRPr="004A61A8">
              <w:rPr>
                <w:rStyle w:val="Hyperlink"/>
                <w:rFonts w:ascii="Arial" w:hAnsi="Arial" w:cs="Arial"/>
                <w:i/>
                <w:noProof/>
              </w:rPr>
              <w:t>in vitro</w:t>
            </w:r>
            <w:r w:rsidR="00342873" w:rsidRPr="004A61A8">
              <w:rPr>
                <w:rStyle w:val="Hyperlink"/>
                <w:rFonts w:ascii="Arial" w:hAnsi="Arial" w:cs="Arial"/>
                <w:noProof/>
              </w:rPr>
              <w:t>.</w:t>
            </w:r>
            <w:r w:rsidR="00342873">
              <w:rPr>
                <w:noProof/>
                <w:webHidden/>
              </w:rPr>
              <w:tab/>
            </w:r>
            <w:r w:rsidR="00342873">
              <w:rPr>
                <w:noProof/>
                <w:webHidden/>
              </w:rPr>
              <w:fldChar w:fldCharType="begin"/>
            </w:r>
            <w:r w:rsidR="00342873">
              <w:rPr>
                <w:noProof/>
                <w:webHidden/>
              </w:rPr>
              <w:instrText xml:space="preserve"> PAGEREF _Toc112772059 \h </w:instrText>
            </w:r>
            <w:r w:rsidR="00342873">
              <w:rPr>
                <w:noProof/>
                <w:webHidden/>
              </w:rPr>
            </w:r>
            <w:r w:rsidR="00342873">
              <w:rPr>
                <w:noProof/>
                <w:webHidden/>
              </w:rPr>
              <w:fldChar w:fldCharType="separate"/>
            </w:r>
            <w:r w:rsidR="00342873">
              <w:rPr>
                <w:noProof/>
                <w:webHidden/>
              </w:rPr>
              <w:t>10</w:t>
            </w:r>
            <w:r w:rsidR="00342873">
              <w:rPr>
                <w:noProof/>
                <w:webHidden/>
              </w:rPr>
              <w:fldChar w:fldCharType="end"/>
            </w:r>
          </w:hyperlink>
        </w:p>
        <w:p w14:paraId="132404CD" w14:textId="6F3243B9"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60" w:history="1">
            <w:r w:rsidR="00342873" w:rsidRPr="004A61A8">
              <w:rPr>
                <w:rStyle w:val="Hyperlink"/>
                <w:rFonts w:ascii="Arial" w:hAnsi="Arial" w:cs="Arial"/>
                <w:noProof/>
              </w:rPr>
              <w:t>Supplementary Figure 9: R3C autocatalytic ligase tetrameric substrate complex.</w:t>
            </w:r>
            <w:r w:rsidR="00342873">
              <w:rPr>
                <w:noProof/>
                <w:webHidden/>
              </w:rPr>
              <w:tab/>
            </w:r>
            <w:r w:rsidR="00342873">
              <w:rPr>
                <w:noProof/>
                <w:webHidden/>
              </w:rPr>
              <w:fldChar w:fldCharType="begin"/>
            </w:r>
            <w:r w:rsidR="00342873">
              <w:rPr>
                <w:noProof/>
                <w:webHidden/>
              </w:rPr>
              <w:instrText xml:space="preserve"> PAGEREF _Toc112772060 \h </w:instrText>
            </w:r>
            <w:r w:rsidR="00342873">
              <w:rPr>
                <w:noProof/>
                <w:webHidden/>
              </w:rPr>
            </w:r>
            <w:r w:rsidR="00342873">
              <w:rPr>
                <w:noProof/>
                <w:webHidden/>
              </w:rPr>
              <w:fldChar w:fldCharType="separate"/>
            </w:r>
            <w:r w:rsidR="00342873">
              <w:rPr>
                <w:noProof/>
                <w:webHidden/>
              </w:rPr>
              <w:t>11</w:t>
            </w:r>
            <w:r w:rsidR="00342873">
              <w:rPr>
                <w:noProof/>
                <w:webHidden/>
              </w:rPr>
              <w:fldChar w:fldCharType="end"/>
            </w:r>
          </w:hyperlink>
        </w:p>
        <w:p w14:paraId="67D8F693" w14:textId="5ADE3713"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61" w:history="1">
            <w:r w:rsidR="00342873" w:rsidRPr="004A61A8">
              <w:rPr>
                <w:rStyle w:val="Hyperlink"/>
                <w:rFonts w:ascii="Arial" w:hAnsi="Arial" w:cs="Arial"/>
                <w:noProof/>
              </w:rPr>
              <w:t xml:space="preserve">Supplementary Figure 10: Serial transfer of Cy5-A and Hyper-A </w:t>
            </w:r>
            <w:r w:rsidR="00342873" w:rsidRPr="004A61A8">
              <w:rPr>
                <w:rStyle w:val="Hyperlink"/>
                <w:rFonts w:ascii="Arial" w:hAnsi="Arial" w:cs="Arial"/>
                <w:i/>
                <w:noProof/>
              </w:rPr>
              <w:t>in vitro.</w:t>
            </w:r>
            <w:r w:rsidR="00342873">
              <w:rPr>
                <w:noProof/>
                <w:webHidden/>
              </w:rPr>
              <w:tab/>
            </w:r>
            <w:r w:rsidR="00342873">
              <w:rPr>
                <w:noProof/>
                <w:webHidden/>
              </w:rPr>
              <w:fldChar w:fldCharType="begin"/>
            </w:r>
            <w:r w:rsidR="00342873">
              <w:rPr>
                <w:noProof/>
                <w:webHidden/>
              </w:rPr>
              <w:instrText xml:space="preserve"> PAGEREF _Toc112772061 \h </w:instrText>
            </w:r>
            <w:r w:rsidR="00342873">
              <w:rPr>
                <w:noProof/>
                <w:webHidden/>
              </w:rPr>
            </w:r>
            <w:r w:rsidR="00342873">
              <w:rPr>
                <w:noProof/>
                <w:webHidden/>
              </w:rPr>
              <w:fldChar w:fldCharType="separate"/>
            </w:r>
            <w:r w:rsidR="00342873">
              <w:rPr>
                <w:noProof/>
                <w:webHidden/>
              </w:rPr>
              <w:t>12</w:t>
            </w:r>
            <w:r w:rsidR="00342873">
              <w:rPr>
                <w:noProof/>
                <w:webHidden/>
              </w:rPr>
              <w:fldChar w:fldCharType="end"/>
            </w:r>
          </w:hyperlink>
        </w:p>
        <w:p w14:paraId="097857E5" w14:textId="5C6FF64A"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62" w:history="1">
            <w:r w:rsidR="00342873" w:rsidRPr="004A61A8">
              <w:rPr>
                <w:rStyle w:val="Hyperlink"/>
                <w:rFonts w:ascii="Arial" w:hAnsi="Arial" w:cs="Arial"/>
                <w:noProof/>
              </w:rPr>
              <w:t xml:space="preserve">Supplementary Figure 11: </w:t>
            </w:r>
            <w:r w:rsidR="00342873" w:rsidRPr="004A61A8">
              <w:rPr>
                <w:rStyle w:val="Hyperlink"/>
                <w:rFonts w:ascii="Arial" w:hAnsi="Arial" w:cs="Arial"/>
                <w:i/>
                <w:noProof/>
              </w:rPr>
              <w:t>in vitro</w:t>
            </w:r>
            <w:r w:rsidR="00342873" w:rsidRPr="004A61A8">
              <w:rPr>
                <w:rStyle w:val="Hyperlink"/>
                <w:rFonts w:ascii="Arial" w:hAnsi="Arial" w:cs="Arial"/>
                <w:noProof/>
              </w:rPr>
              <w:t xml:space="preserve"> characterization of F1 and Hyper-A under desired buffer conditions.</w:t>
            </w:r>
            <w:r w:rsidR="00342873">
              <w:rPr>
                <w:noProof/>
                <w:webHidden/>
              </w:rPr>
              <w:tab/>
            </w:r>
            <w:r w:rsidR="00342873">
              <w:rPr>
                <w:noProof/>
                <w:webHidden/>
              </w:rPr>
              <w:fldChar w:fldCharType="begin"/>
            </w:r>
            <w:r w:rsidR="00342873">
              <w:rPr>
                <w:noProof/>
                <w:webHidden/>
              </w:rPr>
              <w:instrText xml:space="preserve"> PAGEREF _Toc112772062 \h </w:instrText>
            </w:r>
            <w:r w:rsidR="00342873">
              <w:rPr>
                <w:noProof/>
                <w:webHidden/>
              </w:rPr>
            </w:r>
            <w:r w:rsidR="00342873">
              <w:rPr>
                <w:noProof/>
                <w:webHidden/>
              </w:rPr>
              <w:fldChar w:fldCharType="separate"/>
            </w:r>
            <w:r w:rsidR="00342873">
              <w:rPr>
                <w:noProof/>
                <w:webHidden/>
              </w:rPr>
              <w:t>13</w:t>
            </w:r>
            <w:r w:rsidR="00342873">
              <w:rPr>
                <w:noProof/>
                <w:webHidden/>
              </w:rPr>
              <w:fldChar w:fldCharType="end"/>
            </w:r>
          </w:hyperlink>
        </w:p>
        <w:p w14:paraId="68D0B4A5" w14:textId="2C5C2C5A"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63" w:history="1">
            <w:r w:rsidR="00342873" w:rsidRPr="004A61A8">
              <w:rPr>
                <w:rStyle w:val="Hyperlink"/>
                <w:rFonts w:ascii="Arial" w:hAnsi="Arial" w:cs="Arial"/>
                <w:noProof/>
              </w:rPr>
              <w:t xml:space="preserve">Supplementary Figure 12: Gel images of R3C ligase ribozyme F and the active substrate Hyper-A </w:t>
            </w:r>
            <w:r w:rsidR="00342873" w:rsidRPr="004A61A8">
              <w:rPr>
                <w:rStyle w:val="Hyperlink"/>
                <w:rFonts w:ascii="Arial" w:hAnsi="Arial" w:cs="Arial"/>
                <w:i/>
                <w:noProof/>
              </w:rPr>
              <w:t>in vitro</w:t>
            </w:r>
            <w:r w:rsidR="00342873" w:rsidRPr="004A61A8">
              <w:rPr>
                <w:rStyle w:val="Hyperlink"/>
                <w:rFonts w:ascii="Arial" w:hAnsi="Arial" w:cs="Arial"/>
                <w:noProof/>
              </w:rPr>
              <w:t>.</w:t>
            </w:r>
            <w:r w:rsidR="00342873">
              <w:rPr>
                <w:noProof/>
                <w:webHidden/>
              </w:rPr>
              <w:tab/>
            </w:r>
            <w:r w:rsidR="00342873">
              <w:rPr>
                <w:noProof/>
                <w:webHidden/>
              </w:rPr>
              <w:fldChar w:fldCharType="begin"/>
            </w:r>
            <w:r w:rsidR="00342873">
              <w:rPr>
                <w:noProof/>
                <w:webHidden/>
              </w:rPr>
              <w:instrText xml:space="preserve"> PAGEREF _Toc112772063 \h </w:instrText>
            </w:r>
            <w:r w:rsidR="00342873">
              <w:rPr>
                <w:noProof/>
                <w:webHidden/>
              </w:rPr>
            </w:r>
            <w:r w:rsidR="00342873">
              <w:rPr>
                <w:noProof/>
                <w:webHidden/>
              </w:rPr>
              <w:fldChar w:fldCharType="separate"/>
            </w:r>
            <w:r w:rsidR="00342873">
              <w:rPr>
                <w:noProof/>
                <w:webHidden/>
              </w:rPr>
              <w:t>14</w:t>
            </w:r>
            <w:r w:rsidR="00342873">
              <w:rPr>
                <w:noProof/>
                <w:webHidden/>
              </w:rPr>
              <w:fldChar w:fldCharType="end"/>
            </w:r>
          </w:hyperlink>
        </w:p>
        <w:p w14:paraId="29AF1095" w14:textId="1C5F1857"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64" w:history="1">
            <w:r w:rsidR="00342873" w:rsidRPr="004A61A8">
              <w:rPr>
                <w:rStyle w:val="Hyperlink"/>
                <w:rFonts w:ascii="Arial" w:hAnsi="Arial" w:cs="Arial"/>
                <w:noProof/>
              </w:rPr>
              <w:t>Supplementary Figure 13: Gel image showing the activity of the encapsulated R3C autocatalytic system under different numbers of freeze-thaw cycles.</w:t>
            </w:r>
            <w:r w:rsidR="00342873">
              <w:rPr>
                <w:noProof/>
                <w:webHidden/>
              </w:rPr>
              <w:tab/>
            </w:r>
            <w:r w:rsidR="00342873">
              <w:rPr>
                <w:noProof/>
                <w:webHidden/>
              </w:rPr>
              <w:fldChar w:fldCharType="begin"/>
            </w:r>
            <w:r w:rsidR="00342873">
              <w:rPr>
                <w:noProof/>
                <w:webHidden/>
              </w:rPr>
              <w:instrText xml:space="preserve"> PAGEREF _Toc112772064 \h </w:instrText>
            </w:r>
            <w:r w:rsidR="00342873">
              <w:rPr>
                <w:noProof/>
                <w:webHidden/>
              </w:rPr>
            </w:r>
            <w:r w:rsidR="00342873">
              <w:rPr>
                <w:noProof/>
                <w:webHidden/>
              </w:rPr>
              <w:fldChar w:fldCharType="separate"/>
            </w:r>
            <w:r w:rsidR="00342873">
              <w:rPr>
                <w:noProof/>
                <w:webHidden/>
              </w:rPr>
              <w:t>15</w:t>
            </w:r>
            <w:r w:rsidR="00342873">
              <w:rPr>
                <w:noProof/>
                <w:webHidden/>
              </w:rPr>
              <w:fldChar w:fldCharType="end"/>
            </w:r>
          </w:hyperlink>
        </w:p>
        <w:p w14:paraId="3C1BFA86" w14:textId="614B16DB" w:rsidR="00342873" w:rsidRDefault="00FC36DE">
          <w:pPr>
            <w:pStyle w:val="TOC2"/>
            <w:tabs>
              <w:tab w:val="right" w:leader="dot" w:pos="9062"/>
            </w:tabs>
            <w:rPr>
              <w:rFonts w:asciiTheme="minorHAnsi" w:eastAsiaTheme="minorEastAsia" w:hAnsiTheme="minorHAnsi" w:cstheme="minorBidi"/>
              <w:noProof/>
              <w:lang w:val="de-DE" w:eastAsia="de-DE"/>
            </w:rPr>
          </w:pPr>
          <w:hyperlink w:anchor="_Toc112772065" w:history="1">
            <w:r w:rsidR="00342873" w:rsidRPr="004A61A8">
              <w:rPr>
                <w:rStyle w:val="Hyperlink"/>
                <w:rFonts w:ascii="Arial" w:hAnsi="Arial" w:cs="Arial"/>
                <w:noProof/>
              </w:rPr>
              <w:t>Supplementary Figure 14: Effect of freeze-thaw (FT) cycling on GUV diameter.</w:t>
            </w:r>
            <w:r w:rsidR="00342873">
              <w:rPr>
                <w:noProof/>
                <w:webHidden/>
              </w:rPr>
              <w:tab/>
            </w:r>
            <w:r w:rsidR="00342873">
              <w:rPr>
                <w:noProof/>
                <w:webHidden/>
              </w:rPr>
              <w:fldChar w:fldCharType="begin"/>
            </w:r>
            <w:r w:rsidR="00342873">
              <w:rPr>
                <w:noProof/>
                <w:webHidden/>
              </w:rPr>
              <w:instrText xml:space="preserve"> PAGEREF _Toc112772065 \h </w:instrText>
            </w:r>
            <w:r w:rsidR="00342873">
              <w:rPr>
                <w:noProof/>
                <w:webHidden/>
              </w:rPr>
            </w:r>
            <w:r w:rsidR="00342873">
              <w:rPr>
                <w:noProof/>
                <w:webHidden/>
              </w:rPr>
              <w:fldChar w:fldCharType="separate"/>
            </w:r>
            <w:r w:rsidR="00342873">
              <w:rPr>
                <w:noProof/>
                <w:webHidden/>
              </w:rPr>
              <w:t>16</w:t>
            </w:r>
            <w:r w:rsidR="00342873">
              <w:rPr>
                <w:noProof/>
                <w:webHidden/>
              </w:rPr>
              <w:fldChar w:fldCharType="end"/>
            </w:r>
          </w:hyperlink>
        </w:p>
        <w:p w14:paraId="0443DDF3" w14:textId="02A6E6F1" w:rsidR="004A0720" w:rsidRPr="00342873" w:rsidRDefault="00FC36DE" w:rsidP="00E869B3">
          <w:pPr>
            <w:pStyle w:val="TOC2"/>
            <w:tabs>
              <w:tab w:val="right" w:leader="dot" w:pos="9062"/>
            </w:tabs>
            <w:rPr>
              <w:sz w:val="20"/>
            </w:rPr>
          </w:pPr>
          <w:hyperlink w:anchor="_Toc112772066" w:history="1">
            <w:r w:rsidR="00342873" w:rsidRPr="004A61A8">
              <w:rPr>
                <w:rStyle w:val="Hyperlink"/>
                <w:rFonts w:ascii="Arial" w:hAnsi="Arial" w:cs="Arial"/>
                <w:noProof/>
              </w:rPr>
              <w:t>Supplementary Figure 15: Gel image showing the activity of the encapsulated R3C system following serial dilutions in substrate encapsulated GUV feedstock.</w:t>
            </w:r>
            <w:r w:rsidR="00342873">
              <w:rPr>
                <w:noProof/>
                <w:webHidden/>
              </w:rPr>
              <w:tab/>
            </w:r>
            <w:r w:rsidR="00342873">
              <w:rPr>
                <w:noProof/>
                <w:webHidden/>
              </w:rPr>
              <w:fldChar w:fldCharType="begin"/>
            </w:r>
            <w:r w:rsidR="00342873">
              <w:rPr>
                <w:noProof/>
                <w:webHidden/>
              </w:rPr>
              <w:instrText xml:space="preserve"> PAGEREF _Toc112772066 \h </w:instrText>
            </w:r>
            <w:r w:rsidR="00342873">
              <w:rPr>
                <w:noProof/>
                <w:webHidden/>
              </w:rPr>
            </w:r>
            <w:r w:rsidR="00342873">
              <w:rPr>
                <w:noProof/>
                <w:webHidden/>
              </w:rPr>
              <w:fldChar w:fldCharType="separate"/>
            </w:r>
            <w:r w:rsidR="00342873">
              <w:rPr>
                <w:noProof/>
                <w:webHidden/>
              </w:rPr>
              <w:t>17</w:t>
            </w:r>
            <w:r w:rsidR="00342873">
              <w:rPr>
                <w:noProof/>
                <w:webHidden/>
              </w:rPr>
              <w:fldChar w:fldCharType="end"/>
            </w:r>
          </w:hyperlink>
          <w:r w:rsidR="004A0720" w:rsidRPr="00342873">
            <w:rPr>
              <w:rFonts w:ascii="Arial" w:hAnsi="Arial" w:cs="Arial"/>
              <w:b/>
              <w:bCs/>
              <w:noProof/>
              <w:sz w:val="20"/>
            </w:rPr>
            <w:fldChar w:fldCharType="end"/>
          </w:r>
        </w:p>
      </w:sdtContent>
    </w:sdt>
    <w:p w14:paraId="38F23E09" w14:textId="4B3D2908" w:rsidR="004A0720" w:rsidRPr="004A0720" w:rsidRDefault="000C6205" w:rsidP="004A0720">
      <w:pPr>
        <w:pStyle w:val="Heading1"/>
        <w:rPr>
          <w:rFonts w:ascii="Arial" w:hAnsi="Arial" w:cs="Arial"/>
          <w:sz w:val="44"/>
        </w:rPr>
      </w:pPr>
      <w:bookmarkStart w:id="0" w:name="_Toc112772049"/>
      <w:r w:rsidRPr="004A0720">
        <w:rPr>
          <w:rFonts w:ascii="Arial" w:hAnsi="Arial" w:cs="Arial"/>
          <w:sz w:val="28"/>
        </w:rPr>
        <w:lastRenderedPageBreak/>
        <w:t>Materials</w:t>
      </w:r>
      <w:bookmarkEnd w:id="0"/>
    </w:p>
    <w:p w14:paraId="4042A3AE" w14:textId="77777777" w:rsidR="00BF6EBD" w:rsidRPr="002631FC" w:rsidRDefault="000C6205" w:rsidP="002631FC">
      <w:pPr>
        <w:spacing w:line="360" w:lineRule="auto"/>
        <w:jc w:val="both"/>
        <w:rPr>
          <w:rFonts w:ascii="Arial" w:eastAsia="Arial" w:hAnsi="Arial" w:cs="Arial"/>
          <w:szCs w:val="20"/>
        </w:rPr>
      </w:pPr>
      <w:r w:rsidRPr="002631FC">
        <w:rPr>
          <w:rFonts w:ascii="Arial" w:eastAsia="Arial" w:hAnsi="Arial" w:cs="Arial"/>
          <w:szCs w:val="20"/>
        </w:rPr>
        <w:t>1-palmitoyl-2-oleoyl-glycero-3-phosphocholine (POPC) was purchased from Avanti Polar.</w:t>
      </w:r>
      <w:r w:rsidR="00E548A6" w:rsidRPr="002631FC">
        <w:rPr>
          <w:rFonts w:ascii="Arial" w:hAnsi="Arial" w:cs="Arial"/>
          <w:szCs w:val="20"/>
        </w:rPr>
        <w:t xml:space="preserve"> </w:t>
      </w:r>
      <w:proofErr w:type="spellStart"/>
      <w:r w:rsidR="00E548A6" w:rsidRPr="002631FC">
        <w:rPr>
          <w:rFonts w:ascii="Arial" w:hAnsi="Arial" w:cs="Arial"/>
          <w:szCs w:val="20"/>
        </w:rPr>
        <w:t>Atto</w:t>
      </w:r>
      <w:proofErr w:type="spellEnd"/>
      <w:r w:rsidR="00E548A6" w:rsidRPr="002631FC">
        <w:rPr>
          <w:rFonts w:ascii="Arial" w:hAnsi="Arial" w:cs="Arial"/>
          <w:szCs w:val="20"/>
        </w:rPr>
        <w:t xml:space="preserve"> 647N-functionalized DOPE (1,2-dioleoyl-sn-glycero-3-phosphoethanolamine) lipids were acquired from </w:t>
      </w:r>
      <w:proofErr w:type="spellStart"/>
      <w:r w:rsidR="00E548A6" w:rsidRPr="002631FC">
        <w:rPr>
          <w:rFonts w:ascii="Arial" w:hAnsi="Arial" w:cs="Arial"/>
          <w:szCs w:val="20"/>
        </w:rPr>
        <w:t>AttoTEC</w:t>
      </w:r>
      <w:proofErr w:type="spellEnd"/>
      <w:r w:rsidR="00E548A6" w:rsidRPr="002631FC">
        <w:rPr>
          <w:rFonts w:ascii="Arial" w:hAnsi="Arial" w:cs="Arial"/>
          <w:szCs w:val="20"/>
        </w:rPr>
        <w:t xml:space="preserve"> GmbH (Siege</w:t>
      </w:r>
      <w:bookmarkStart w:id="1" w:name="_GoBack"/>
      <w:bookmarkEnd w:id="1"/>
      <w:r w:rsidR="00E548A6" w:rsidRPr="002631FC">
        <w:rPr>
          <w:rFonts w:ascii="Arial" w:hAnsi="Arial" w:cs="Arial"/>
          <w:szCs w:val="20"/>
        </w:rPr>
        <w:t xml:space="preserve">n, Germany) dissolved in chloroform at 1 mg/ml. For fluorescence detection inside GUVs, AlexaFluor568 NHS ester (Thermo Fischer Scientifics, Waltham, MA, USA) and HPLC-purified 5’-Atto488-(CA)13-3’ and 5’-Atto655-(CA)13-3’ oligonucleotides (both IDT, Coralville, IA, USA) were purchased. </w:t>
      </w:r>
      <w:proofErr w:type="spellStart"/>
      <w:r w:rsidR="00E548A6" w:rsidRPr="002631FC">
        <w:rPr>
          <w:rFonts w:ascii="Arial" w:hAnsi="Arial" w:cs="Arial"/>
          <w:szCs w:val="20"/>
        </w:rPr>
        <w:t>SensoPlate</w:t>
      </w:r>
      <w:proofErr w:type="spellEnd"/>
      <w:r w:rsidR="00E548A6" w:rsidRPr="002631FC">
        <w:rPr>
          <w:rFonts w:ascii="Arial" w:hAnsi="Arial" w:cs="Arial"/>
          <w:szCs w:val="20"/>
        </w:rPr>
        <w:t xml:space="preserve"> glass bottom microtiter plates (384 wells, </w:t>
      </w:r>
      <w:proofErr w:type="spellStart"/>
      <w:r w:rsidR="00E548A6" w:rsidRPr="002631FC">
        <w:rPr>
          <w:rFonts w:ascii="Arial" w:hAnsi="Arial" w:cs="Arial"/>
          <w:szCs w:val="20"/>
          <w:lang w:val="en-GB"/>
        </w:rPr>
        <w:t>V</w:t>
      </w:r>
      <w:r w:rsidR="00E548A6" w:rsidRPr="002631FC">
        <w:rPr>
          <w:rFonts w:ascii="Arial" w:hAnsi="Arial" w:cs="Arial"/>
          <w:szCs w:val="20"/>
          <w:vertAlign w:val="subscript"/>
          <w:lang w:val="en-GB"/>
        </w:rPr>
        <w:t>well</w:t>
      </w:r>
      <w:proofErr w:type="spellEnd"/>
      <w:r w:rsidR="00E548A6" w:rsidRPr="002631FC">
        <w:rPr>
          <w:rFonts w:ascii="Arial" w:hAnsi="Arial" w:cs="Arial"/>
          <w:szCs w:val="20"/>
          <w:lang w:val="en-GB"/>
        </w:rPr>
        <w:t xml:space="preserve"> = 130 </w:t>
      </w:r>
      <w:r w:rsidR="00FB03A7" w:rsidRPr="002631FC">
        <w:rPr>
          <w:rFonts w:ascii="Arial" w:hAnsi="Arial" w:cs="Arial"/>
          <w:szCs w:val="20"/>
          <w:lang w:val="en-GB"/>
        </w:rPr>
        <w:t>µL</w:t>
      </w:r>
      <w:r w:rsidR="00E548A6" w:rsidRPr="002631FC">
        <w:rPr>
          <w:rFonts w:ascii="Arial" w:hAnsi="Arial" w:cs="Arial"/>
          <w:szCs w:val="20"/>
        </w:rPr>
        <w:t xml:space="preserve">) were obtained from Greiner Bio-One and </w:t>
      </w:r>
      <w:proofErr w:type="spellStart"/>
      <w:r w:rsidR="00E548A6" w:rsidRPr="002631FC">
        <w:rPr>
          <w:rFonts w:ascii="Arial" w:hAnsi="Arial" w:cs="Arial"/>
          <w:szCs w:val="20"/>
        </w:rPr>
        <w:t>aluminium</w:t>
      </w:r>
      <w:proofErr w:type="spellEnd"/>
      <w:r w:rsidR="00E548A6" w:rsidRPr="002631FC">
        <w:rPr>
          <w:rFonts w:ascii="Arial" w:hAnsi="Arial" w:cs="Arial"/>
          <w:szCs w:val="20"/>
        </w:rPr>
        <w:t>-coated sealing film ROTALIBO® was purchased from Carl Roth. All glass surfaces were passivated using a 10 mg/ml Pluronic F-127 (Sigma-Aldrich) solution according to the manufacturer’s instructions.</w:t>
      </w:r>
      <w:r w:rsidRPr="002631FC">
        <w:rPr>
          <w:rFonts w:ascii="Arial" w:eastAsia="Arial" w:hAnsi="Arial" w:cs="Arial"/>
          <w:szCs w:val="20"/>
        </w:rPr>
        <w:t xml:space="preserve"> Mineral oil, dimethyl sulfoxide (DMSO), </w:t>
      </w:r>
      <w:proofErr w:type="spellStart"/>
      <w:r w:rsidRPr="002631FC">
        <w:rPr>
          <w:rFonts w:ascii="Arial" w:eastAsia="Arial" w:hAnsi="Arial" w:cs="Arial"/>
          <w:szCs w:val="20"/>
        </w:rPr>
        <w:t>Rotiphorese</w:t>
      </w:r>
      <w:proofErr w:type="spellEnd"/>
      <w:r w:rsidRPr="002631FC">
        <w:rPr>
          <w:rFonts w:ascii="Arial" w:eastAsia="Arial" w:hAnsi="Arial" w:cs="Arial"/>
          <w:szCs w:val="20"/>
        </w:rPr>
        <w:t xml:space="preserve"> 40% (19:1 </w:t>
      </w:r>
      <w:proofErr w:type="spellStart"/>
      <w:proofErr w:type="gramStart"/>
      <w:r w:rsidRPr="002631FC">
        <w:rPr>
          <w:rFonts w:ascii="Arial" w:eastAsia="Arial" w:hAnsi="Arial" w:cs="Arial"/>
          <w:szCs w:val="20"/>
        </w:rPr>
        <w:t>acrylamide:bis</w:t>
      </w:r>
      <w:proofErr w:type="gramEnd"/>
      <w:r w:rsidRPr="002631FC">
        <w:rPr>
          <w:rFonts w:ascii="Arial" w:eastAsia="Arial" w:hAnsi="Arial" w:cs="Arial"/>
          <w:szCs w:val="20"/>
        </w:rPr>
        <w:t>-acrylamide</w:t>
      </w:r>
      <w:proofErr w:type="spellEnd"/>
      <w:r w:rsidRPr="002631FC">
        <w:rPr>
          <w:rFonts w:ascii="Arial" w:eastAsia="Arial" w:hAnsi="Arial" w:cs="Arial"/>
          <w:szCs w:val="20"/>
        </w:rPr>
        <w:t xml:space="preserve">) ready-to-use solution, TEMED, chloroform, </w:t>
      </w:r>
      <w:r w:rsidRPr="002631FC">
        <w:rPr>
          <w:rFonts w:ascii="Arial" w:eastAsia="Arial" w:hAnsi="Arial" w:cs="Arial"/>
          <w:i/>
          <w:szCs w:val="20"/>
        </w:rPr>
        <w:t>N</w:t>
      </w:r>
      <w:r w:rsidRPr="002631FC">
        <w:rPr>
          <w:rFonts w:ascii="Arial" w:eastAsia="Arial" w:hAnsi="Arial" w:cs="Arial"/>
          <w:szCs w:val="20"/>
        </w:rPr>
        <w:t>-(2-Hydroxyethyl)piperazine-</w:t>
      </w:r>
      <w:r w:rsidRPr="002631FC">
        <w:rPr>
          <w:rFonts w:ascii="Arial" w:eastAsia="Arial" w:hAnsi="Arial" w:cs="Arial"/>
          <w:i/>
          <w:szCs w:val="20"/>
        </w:rPr>
        <w:t>N</w:t>
      </w:r>
      <w:r w:rsidRPr="002631FC">
        <w:rPr>
          <w:rFonts w:ascii="Arial" w:eastAsia="Arial" w:hAnsi="Arial" w:cs="Arial"/>
          <w:szCs w:val="20"/>
        </w:rPr>
        <w:t>′-(3-propanesulfonic acid) (EPPS), ethylenediaminetetraacetic acid (EDTA), sodium acetate (</w:t>
      </w:r>
      <w:proofErr w:type="spellStart"/>
      <w:r w:rsidRPr="002631FC">
        <w:rPr>
          <w:rFonts w:ascii="Arial" w:eastAsia="Arial" w:hAnsi="Arial" w:cs="Arial"/>
          <w:szCs w:val="20"/>
        </w:rPr>
        <w:t>NaOAc</w:t>
      </w:r>
      <w:proofErr w:type="spellEnd"/>
      <w:r w:rsidRPr="002631FC">
        <w:rPr>
          <w:rFonts w:ascii="Arial" w:eastAsia="Arial" w:hAnsi="Arial" w:cs="Arial"/>
          <w:szCs w:val="20"/>
        </w:rPr>
        <w:t>), Triton X-100, bromophenol blue, ammonium persulfate (APS) and urea were all purchased from</w:t>
      </w:r>
      <w:r w:rsidR="00FB03A7" w:rsidRPr="002631FC">
        <w:rPr>
          <w:rFonts w:ascii="Arial" w:eastAsia="Arial" w:hAnsi="Arial" w:cs="Arial"/>
          <w:szCs w:val="20"/>
        </w:rPr>
        <w:t xml:space="preserve"> Carl</w:t>
      </w:r>
      <w:r w:rsidRPr="002631FC">
        <w:rPr>
          <w:rFonts w:ascii="Arial" w:eastAsia="Arial" w:hAnsi="Arial" w:cs="Arial"/>
          <w:szCs w:val="20"/>
        </w:rPr>
        <w:t xml:space="preserve"> Roth. Formamide, 5-Carboxy-tetramethylrhodamine </w:t>
      </w:r>
      <w:r w:rsidRPr="002631FC">
        <w:rPr>
          <w:rFonts w:ascii="Arial" w:eastAsia="Arial" w:hAnsi="Arial" w:cs="Arial"/>
          <w:i/>
          <w:szCs w:val="20"/>
        </w:rPr>
        <w:t>N</w:t>
      </w:r>
      <w:r w:rsidRPr="002631FC">
        <w:rPr>
          <w:rFonts w:ascii="Arial" w:eastAsia="Arial" w:hAnsi="Arial" w:cs="Arial"/>
          <w:szCs w:val="20"/>
        </w:rPr>
        <w:t>-</w:t>
      </w:r>
      <w:proofErr w:type="spellStart"/>
      <w:r w:rsidRPr="002631FC">
        <w:rPr>
          <w:rFonts w:ascii="Arial" w:eastAsia="Arial" w:hAnsi="Arial" w:cs="Arial"/>
          <w:szCs w:val="20"/>
        </w:rPr>
        <w:t>succinimidyl</w:t>
      </w:r>
      <w:proofErr w:type="spellEnd"/>
      <w:r w:rsidRPr="002631FC">
        <w:rPr>
          <w:rFonts w:ascii="Arial" w:eastAsia="Arial" w:hAnsi="Arial" w:cs="Arial"/>
          <w:szCs w:val="20"/>
        </w:rPr>
        <w:t xml:space="preserve"> ester (TAMRA-NHS-ester), polyethylene glycol 8000 (PEG8000), absolute ethanol, 2-propanol (isopropanol), D-glucose, boric acid, glacial acetic acid, sodium tetraborate hexahydrate (</w:t>
      </w:r>
      <w:proofErr w:type="spellStart"/>
      <w:r w:rsidRPr="002631FC">
        <w:rPr>
          <w:rFonts w:ascii="Arial" w:eastAsia="Arial" w:hAnsi="Arial" w:cs="Arial"/>
          <w:szCs w:val="20"/>
        </w:rPr>
        <w:t>NaB</w:t>
      </w:r>
      <w:proofErr w:type="spellEnd"/>
      <w:r w:rsidRPr="002631FC">
        <w:rPr>
          <w:rFonts w:ascii="Arial" w:eastAsia="Arial" w:hAnsi="Arial" w:cs="Arial"/>
          <w:szCs w:val="20"/>
        </w:rPr>
        <w:t>) were purchased from Sigma. Magnesium chloride (MgCl</w:t>
      </w:r>
      <w:r w:rsidRPr="002631FC">
        <w:rPr>
          <w:rFonts w:ascii="Arial" w:eastAsia="Arial" w:hAnsi="Arial" w:cs="Arial"/>
          <w:szCs w:val="20"/>
          <w:vertAlign w:val="subscript"/>
        </w:rPr>
        <w:t>2</w:t>
      </w:r>
      <w:r w:rsidRPr="002631FC">
        <w:rPr>
          <w:rFonts w:ascii="Arial" w:eastAsia="Arial" w:hAnsi="Arial" w:cs="Arial"/>
          <w:szCs w:val="20"/>
        </w:rPr>
        <w:t>) hexahydrate and tris(hydroxymethyl)aminomethane</w:t>
      </w:r>
      <w:r w:rsidRPr="002631FC">
        <w:rPr>
          <w:rFonts w:ascii="Arial" w:eastAsia="Arial" w:hAnsi="Arial" w:cs="Arial"/>
          <w:b/>
          <w:szCs w:val="20"/>
        </w:rPr>
        <w:t xml:space="preserve"> </w:t>
      </w:r>
      <w:r w:rsidRPr="002631FC">
        <w:rPr>
          <w:rFonts w:ascii="Arial" w:eastAsia="Arial" w:hAnsi="Arial" w:cs="Arial"/>
          <w:szCs w:val="20"/>
        </w:rPr>
        <w:t xml:space="preserve">(Tris) were purchased from </w:t>
      </w:r>
      <w:proofErr w:type="spellStart"/>
      <w:proofErr w:type="gramStart"/>
      <w:r w:rsidRPr="002631FC">
        <w:rPr>
          <w:rFonts w:ascii="Arial" w:eastAsia="Arial" w:hAnsi="Arial" w:cs="Arial"/>
          <w:szCs w:val="20"/>
        </w:rPr>
        <w:t>Th.Geyer</w:t>
      </w:r>
      <w:proofErr w:type="spellEnd"/>
      <w:proofErr w:type="gramEnd"/>
      <w:r w:rsidRPr="002631FC">
        <w:rPr>
          <w:rFonts w:ascii="Arial" w:eastAsia="Arial" w:hAnsi="Arial" w:cs="Arial"/>
          <w:szCs w:val="20"/>
        </w:rPr>
        <w:t xml:space="preserve">. D-sucrose, dithiothreitol (DTT), spermidine and RNA-grade glycogen were purchased from Thermo Fisher. Gamma-aminohexyl-GTP and NTPs were purchased from Jena Bioscience. Sodium hydroxide pellets and 37% hydrochloric acid solution were purchased from VWR. </w:t>
      </w:r>
      <w:r w:rsidRPr="002631FC">
        <w:rPr>
          <w:rFonts w:ascii="Arial" w:eastAsia="Arial" w:hAnsi="Arial" w:cs="Arial"/>
          <w:i/>
          <w:szCs w:val="20"/>
        </w:rPr>
        <w:t>E. coli</w:t>
      </w:r>
      <w:r w:rsidRPr="002631FC">
        <w:rPr>
          <w:rFonts w:ascii="Arial" w:eastAsia="Arial" w:hAnsi="Arial" w:cs="Arial"/>
          <w:szCs w:val="20"/>
        </w:rPr>
        <w:t xml:space="preserve"> inorganic pyrophosphatase (IPP), T4 RNA ligase 2 (T4Rnl2) and the Monarch RNA cleanup kit (50µg) were purchased from NEB. Pre-coated TLC plates were purchased from </w:t>
      </w:r>
      <w:proofErr w:type="spellStart"/>
      <w:r w:rsidRPr="002631FC">
        <w:rPr>
          <w:rFonts w:ascii="Arial" w:eastAsia="Arial" w:hAnsi="Arial" w:cs="Arial"/>
          <w:szCs w:val="20"/>
        </w:rPr>
        <w:t>Machery</w:t>
      </w:r>
      <w:proofErr w:type="spellEnd"/>
      <w:r w:rsidRPr="002631FC">
        <w:rPr>
          <w:rFonts w:ascii="Arial" w:eastAsia="Arial" w:hAnsi="Arial" w:cs="Arial"/>
          <w:szCs w:val="20"/>
        </w:rPr>
        <w:t xml:space="preserve">-Nagel. DNA oligonucleotides were synthesized by IDT. RNA was either transcribed in-house or purchased from IDT when mentioned. Cellulose acetate filter spin columns (Spin-X) were bought from Costar. Ultrapure Milli-Q water (Millipore) was used for all experiments in this study. </w:t>
      </w:r>
    </w:p>
    <w:p w14:paraId="578E1DD4"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6AEB1F27" w14:textId="7DBC7475" w:rsidR="004A0720" w:rsidRPr="004A0720" w:rsidRDefault="004A0720" w:rsidP="004A0720">
      <w:pPr>
        <w:pStyle w:val="Heading1"/>
        <w:rPr>
          <w:rFonts w:ascii="Arial" w:hAnsi="Arial" w:cs="Arial"/>
          <w:sz w:val="28"/>
        </w:rPr>
      </w:pPr>
      <w:bookmarkStart w:id="2" w:name="_Toc112772050"/>
      <w:r w:rsidRPr="004A0720">
        <w:rPr>
          <w:rFonts w:ascii="Arial" w:hAnsi="Arial" w:cs="Arial"/>
          <w:sz w:val="28"/>
        </w:rPr>
        <w:lastRenderedPageBreak/>
        <w:t>Supplementary Table</w:t>
      </w:r>
      <w:r w:rsidR="00342873">
        <w:rPr>
          <w:rFonts w:ascii="Arial" w:hAnsi="Arial" w:cs="Arial"/>
          <w:sz w:val="28"/>
        </w:rPr>
        <w:t>s</w:t>
      </w:r>
      <w:bookmarkEnd w:id="2"/>
    </w:p>
    <w:p w14:paraId="59171707" w14:textId="77777777" w:rsidR="0037473B" w:rsidRDefault="000C6205">
      <w:pPr>
        <w:rPr>
          <w:rFonts w:ascii="Arial" w:eastAsia="Arial" w:hAnsi="Arial" w:cs="Arial"/>
        </w:rPr>
      </w:pPr>
      <w:r>
        <w:rPr>
          <w:rFonts w:ascii="Arial" w:eastAsia="Arial" w:hAnsi="Arial" w:cs="Arial"/>
          <w:b/>
        </w:rPr>
        <w:t>Table 1.</w:t>
      </w:r>
      <w:r>
        <w:rPr>
          <w:rFonts w:ascii="Arial" w:eastAsia="Arial" w:hAnsi="Arial" w:cs="Arial"/>
        </w:rPr>
        <w:t xml:space="preserve"> Table of sequences used in this study.</w:t>
      </w:r>
    </w:p>
    <w:tbl>
      <w:tblPr>
        <w:tblStyle w:val="a0"/>
        <w:tblW w:w="9346" w:type="dxa"/>
        <w:tblLayout w:type="fixed"/>
        <w:tblLook w:val="0400" w:firstRow="0" w:lastRow="0" w:firstColumn="0" w:lastColumn="0" w:noHBand="0" w:noVBand="1"/>
      </w:tblPr>
      <w:tblGrid>
        <w:gridCol w:w="887"/>
        <w:gridCol w:w="804"/>
        <w:gridCol w:w="993"/>
        <w:gridCol w:w="2413"/>
        <w:gridCol w:w="989"/>
        <w:gridCol w:w="992"/>
        <w:gridCol w:w="2268"/>
      </w:tblGrid>
      <w:tr w:rsidR="0037473B" w14:paraId="78727249" w14:textId="77777777" w:rsidTr="002631FC">
        <w:trPr>
          <w:trHeight w:val="324"/>
        </w:trPr>
        <w:tc>
          <w:tcPr>
            <w:tcW w:w="887" w:type="dxa"/>
            <w:tcBorders>
              <w:top w:val="single" w:sz="8" w:space="0" w:color="000000"/>
              <w:left w:val="single" w:sz="8" w:space="0" w:color="000000"/>
              <w:bottom w:val="single" w:sz="8" w:space="0" w:color="000000"/>
              <w:right w:val="single" w:sz="4" w:space="0" w:color="000000"/>
            </w:tcBorders>
            <w:shd w:val="clear" w:color="auto" w:fill="1F4E78"/>
            <w:vAlign w:val="center"/>
          </w:tcPr>
          <w:p w14:paraId="65DB3BAF"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 xml:space="preserve">Name </w:t>
            </w:r>
          </w:p>
        </w:tc>
        <w:tc>
          <w:tcPr>
            <w:tcW w:w="804" w:type="dxa"/>
            <w:tcBorders>
              <w:top w:val="single" w:sz="8" w:space="0" w:color="000000"/>
              <w:left w:val="nil"/>
              <w:bottom w:val="single" w:sz="8" w:space="0" w:color="000000"/>
              <w:right w:val="single" w:sz="4" w:space="0" w:color="000000"/>
            </w:tcBorders>
            <w:shd w:val="clear" w:color="auto" w:fill="1F4E78"/>
            <w:vAlign w:val="center"/>
          </w:tcPr>
          <w:p w14:paraId="268DA81B"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Length</w:t>
            </w:r>
          </w:p>
        </w:tc>
        <w:tc>
          <w:tcPr>
            <w:tcW w:w="993" w:type="dxa"/>
            <w:tcBorders>
              <w:top w:val="single" w:sz="8" w:space="0" w:color="000000"/>
              <w:left w:val="nil"/>
              <w:bottom w:val="single" w:sz="8" w:space="0" w:color="000000"/>
              <w:right w:val="single" w:sz="4" w:space="0" w:color="000000"/>
            </w:tcBorders>
            <w:shd w:val="clear" w:color="auto" w:fill="1F4E78"/>
            <w:vAlign w:val="center"/>
          </w:tcPr>
          <w:p w14:paraId="2376CD21"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 xml:space="preserve">5' end </w:t>
            </w:r>
          </w:p>
        </w:tc>
        <w:tc>
          <w:tcPr>
            <w:tcW w:w="2413" w:type="dxa"/>
            <w:tcBorders>
              <w:top w:val="single" w:sz="8" w:space="0" w:color="000000"/>
              <w:left w:val="nil"/>
              <w:bottom w:val="single" w:sz="8" w:space="0" w:color="000000"/>
              <w:right w:val="single" w:sz="4" w:space="0" w:color="000000"/>
            </w:tcBorders>
            <w:shd w:val="clear" w:color="auto" w:fill="1F4E78"/>
            <w:vAlign w:val="center"/>
          </w:tcPr>
          <w:p w14:paraId="1FA8431B"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Sequence (5' to 3')</w:t>
            </w:r>
          </w:p>
        </w:tc>
        <w:tc>
          <w:tcPr>
            <w:tcW w:w="989" w:type="dxa"/>
            <w:tcBorders>
              <w:top w:val="single" w:sz="8" w:space="0" w:color="000000"/>
              <w:left w:val="nil"/>
              <w:bottom w:val="single" w:sz="8" w:space="0" w:color="000000"/>
              <w:right w:val="single" w:sz="4" w:space="0" w:color="000000"/>
            </w:tcBorders>
            <w:shd w:val="clear" w:color="auto" w:fill="1F4E78"/>
            <w:vAlign w:val="center"/>
          </w:tcPr>
          <w:p w14:paraId="15232DAA"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 xml:space="preserve">3' end </w:t>
            </w:r>
          </w:p>
        </w:tc>
        <w:tc>
          <w:tcPr>
            <w:tcW w:w="992" w:type="dxa"/>
            <w:tcBorders>
              <w:top w:val="single" w:sz="8" w:space="0" w:color="000000"/>
              <w:left w:val="nil"/>
              <w:bottom w:val="single" w:sz="8" w:space="0" w:color="000000"/>
              <w:right w:val="single" w:sz="4" w:space="0" w:color="000000"/>
            </w:tcBorders>
            <w:shd w:val="clear" w:color="auto" w:fill="1F4E78"/>
            <w:vAlign w:val="center"/>
          </w:tcPr>
          <w:p w14:paraId="019B97D9"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 xml:space="preserve">Source </w:t>
            </w:r>
          </w:p>
        </w:tc>
        <w:tc>
          <w:tcPr>
            <w:tcW w:w="2268" w:type="dxa"/>
            <w:tcBorders>
              <w:top w:val="single" w:sz="8" w:space="0" w:color="000000"/>
              <w:left w:val="nil"/>
              <w:bottom w:val="single" w:sz="8" w:space="0" w:color="000000"/>
              <w:right w:val="single" w:sz="8" w:space="0" w:color="000000"/>
            </w:tcBorders>
            <w:shd w:val="clear" w:color="auto" w:fill="1F4E78"/>
            <w:vAlign w:val="center"/>
          </w:tcPr>
          <w:p w14:paraId="491CFF14" w14:textId="77777777" w:rsidR="0037473B" w:rsidRPr="002631FC" w:rsidRDefault="000C6205">
            <w:pPr>
              <w:spacing w:after="0" w:line="240" w:lineRule="auto"/>
              <w:jc w:val="center"/>
              <w:rPr>
                <w:rFonts w:ascii="Arial" w:eastAsia="Arial" w:hAnsi="Arial" w:cs="Arial"/>
                <w:color w:val="FFFFFF"/>
                <w:sz w:val="20"/>
                <w:szCs w:val="20"/>
              </w:rPr>
            </w:pPr>
            <w:r w:rsidRPr="002631FC">
              <w:rPr>
                <w:rFonts w:ascii="Arial" w:eastAsia="Arial" w:hAnsi="Arial" w:cs="Arial"/>
                <w:color w:val="FFFFFF"/>
                <w:sz w:val="20"/>
                <w:szCs w:val="20"/>
              </w:rPr>
              <w:t>Reference</w:t>
            </w:r>
          </w:p>
        </w:tc>
      </w:tr>
      <w:tr w:rsidR="0037473B" w14:paraId="1A29AAA7" w14:textId="77777777" w:rsidTr="002631FC">
        <w:trPr>
          <w:trHeight w:val="629"/>
        </w:trPr>
        <w:tc>
          <w:tcPr>
            <w:tcW w:w="887" w:type="dxa"/>
            <w:tcBorders>
              <w:top w:val="nil"/>
              <w:left w:val="single" w:sz="8" w:space="0" w:color="000000"/>
              <w:bottom w:val="single" w:sz="4" w:space="0" w:color="000000"/>
              <w:right w:val="single" w:sz="4" w:space="0" w:color="000000"/>
            </w:tcBorders>
            <w:shd w:val="clear" w:color="auto" w:fill="DDEBF7"/>
            <w:vAlign w:val="center"/>
          </w:tcPr>
          <w:p w14:paraId="599765E3"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HH-min</w:t>
            </w:r>
          </w:p>
        </w:tc>
        <w:tc>
          <w:tcPr>
            <w:tcW w:w="804" w:type="dxa"/>
            <w:tcBorders>
              <w:top w:val="nil"/>
              <w:left w:val="nil"/>
              <w:bottom w:val="single" w:sz="4" w:space="0" w:color="000000"/>
              <w:right w:val="single" w:sz="4" w:space="0" w:color="000000"/>
            </w:tcBorders>
            <w:shd w:val="clear" w:color="auto" w:fill="DDEBF7"/>
            <w:vAlign w:val="center"/>
          </w:tcPr>
          <w:p w14:paraId="202C899D"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39</w:t>
            </w:r>
          </w:p>
        </w:tc>
        <w:tc>
          <w:tcPr>
            <w:tcW w:w="993" w:type="dxa"/>
            <w:tcBorders>
              <w:top w:val="nil"/>
              <w:left w:val="nil"/>
              <w:bottom w:val="single" w:sz="4" w:space="0" w:color="000000"/>
              <w:right w:val="single" w:sz="4" w:space="0" w:color="000000"/>
            </w:tcBorders>
            <w:shd w:val="clear" w:color="auto" w:fill="DDEBF7"/>
            <w:vAlign w:val="center"/>
          </w:tcPr>
          <w:p w14:paraId="67A7FED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2413" w:type="dxa"/>
            <w:tcBorders>
              <w:top w:val="nil"/>
              <w:left w:val="nil"/>
              <w:bottom w:val="single" w:sz="4" w:space="0" w:color="000000"/>
              <w:right w:val="single" w:sz="4" w:space="0" w:color="000000"/>
            </w:tcBorders>
            <w:shd w:val="clear" w:color="auto" w:fill="DDEBF7"/>
            <w:vAlign w:val="center"/>
          </w:tcPr>
          <w:p w14:paraId="32E8376D"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GGGAGCUGAACUGAUGAGUCCGU</w:t>
            </w:r>
          </w:p>
          <w:p w14:paraId="11A328B7"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GAGGACGAAAGGCACA</w:t>
            </w:r>
          </w:p>
        </w:tc>
        <w:tc>
          <w:tcPr>
            <w:tcW w:w="989" w:type="dxa"/>
            <w:tcBorders>
              <w:top w:val="nil"/>
              <w:left w:val="nil"/>
              <w:bottom w:val="single" w:sz="4" w:space="0" w:color="000000"/>
              <w:right w:val="single" w:sz="4" w:space="0" w:color="000000"/>
            </w:tcBorders>
            <w:shd w:val="clear" w:color="auto" w:fill="DDEBF7"/>
            <w:vAlign w:val="center"/>
          </w:tcPr>
          <w:p w14:paraId="3B5DBF5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DDEBF7"/>
            <w:vAlign w:val="center"/>
          </w:tcPr>
          <w:p w14:paraId="16820B5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IVT</w:t>
            </w:r>
          </w:p>
        </w:tc>
        <w:tc>
          <w:tcPr>
            <w:tcW w:w="2268" w:type="dxa"/>
            <w:tcBorders>
              <w:top w:val="nil"/>
              <w:left w:val="nil"/>
              <w:bottom w:val="single" w:sz="4" w:space="0" w:color="000000"/>
              <w:right w:val="single" w:sz="8" w:space="0" w:color="000000"/>
            </w:tcBorders>
            <w:shd w:val="clear" w:color="auto" w:fill="DDEBF7"/>
            <w:vAlign w:val="center"/>
          </w:tcPr>
          <w:p w14:paraId="15F95B20" w14:textId="77777777" w:rsidR="0037473B" w:rsidRPr="002631FC" w:rsidRDefault="000C6205">
            <w:pPr>
              <w:spacing w:after="0" w:line="240" w:lineRule="auto"/>
              <w:jc w:val="center"/>
              <w:rPr>
                <w:rFonts w:ascii="Arial" w:eastAsia="Arial" w:hAnsi="Arial" w:cs="Arial"/>
                <w:color w:val="000000"/>
                <w:sz w:val="20"/>
                <w:szCs w:val="20"/>
              </w:rPr>
            </w:pPr>
            <w:proofErr w:type="spellStart"/>
            <w:r w:rsidRPr="002631FC">
              <w:rPr>
                <w:rFonts w:ascii="Arial" w:eastAsia="Arial" w:hAnsi="Arial" w:cs="Arial"/>
                <w:color w:val="000000"/>
                <w:sz w:val="20"/>
                <w:szCs w:val="20"/>
              </w:rPr>
              <w:t>Drobot</w:t>
            </w:r>
            <w:proofErr w:type="spellEnd"/>
            <w:r w:rsidRPr="002631FC">
              <w:rPr>
                <w:rFonts w:ascii="Arial" w:eastAsia="Arial" w:hAnsi="Arial" w:cs="Arial"/>
                <w:color w:val="000000"/>
                <w:sz w:val="20"/>
                <w:szCs w:val="20"/>
              </w:rPr>
              <w:t xml:space="preserve"> et al 2018</w:t>
            </w:r>
          </w:p>
        </w:tc>
      </w:tr>
      <w:tr w:rsidR="0037473B" w14:paraId="77857880" w14:textId="77777777" w:rsidTr="002631FC">
        <w:trPr>
          <w:trHeight w:val="612"/>
        </w:trPr>
        <w:tc>
          <w:tcPr>
            <w:tcW w:w="887" w:type="dxa"/>
            <w:tcBorders>
              <w:top w:val="nil"/>
              <w:left w:val="single" w:sz="8" w:space="0" w:color="000000"/>
              <w:bottom w:val="single" w:sz="4" w:space="0" w:color="000000"/>
              <w:right w:val="single" w:sz="4" w:space="0" w:color="000000"/>
            </w:tcBorders>
            <w:shd w:val="clear" w:color="auto" w:fill="9BC2E6"/>
            <w:vAlign w:val="center"/>
          </w:tcPr>
          <w:p w14:paraId="4B847BD8"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HH-</w:t>
            </w:r>
            <w:proofErr w:type="spellStart"/>
            <w:r w:rsidRPr="002631FC">
              <w:rPr>
                <w:rFonts w:ascii="Arial" w:eastAsia="Arial" w:hAnsi="Arial" w:cs="Arial"/>
                <w:color w:val="000000"/>
                <w:sz w:val="20"/>
                <w:szCs w:val="20"/>
              </w:rPr>
              <w:t>mut</w:t>
            </w:r>
            <w:proofErr w:type="spellEnd"/>
            <w:r w:rsidRPr="002631FC">
              <w:rPr>
                <w:rFonts w:ascii="Arial" w:eastAsia="Arial" w:hAnsi="Arial" w:cs="Arial"/>
                <w:color w:val="000000"/>
                <w:sz w:val="20"/>
                <w:szCs w:val="20"/>
              </w:rPr>
              <w:t>*</w:t>
            </w:r>
          </w:p>
        </w:tc>
        <w:tc>
          <w:tcPr>
            <w:tcW w:w="804" w:type="dxa"/>
            <w:tcBorders>
              <w:top w:val="nil"/>
              <w:left w:val="nil"/>
              <w:bottom w:val="single" w:sz="4" w:space="0" w:color="000000"/>
              <w:right w:val="single" w:sz="4" w:space="0" w:color="000000"/>
            </w:tcBorders>
            <w:shd w:val="clear" w:color="auto" w:fill="9BC2E6"/>
            <w:vAlign w:val="center"/>
          </w:tcPr>
          <w:p w14:paraId="348FE9A2"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39</w:t>
            </w:r>
          </w:p>
        </w:tc>
        <w:tc>
          <w:tcPr>
            <w:tcW w:w="993" w:type="dxa"/>
            <w:tcBorders>
              <w:top w:val="nil"/>
              <w:left w:val="nil"/>
              <w:bottom w:val="single" w:sz="4" w:space="0" w:color="000000"/>
              <w:right w:val="single" w:sz="4" w:space="0" w:color="000000"/>
            </w:tcBorders>
            <w:shd w:val="clear" w:color="auto" w:fill="9BC2E6"/>
            <w:vAlign w:val="center"/>
          </w:tcPr>
          <w:p w14:paraId="1002AF5D"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2413" w:type="dxa"/>
            <w:tcBorders>
              <w:top w:val="nil"/>
              <w:left w:val="nil"/>
              <w:bottom w:val="single" w:sz="4" w:space="0" w:color="000000"/>
              <w:right w:val="single" w:sz="4" w:space="0" w:color="000000"/>
            </w:tcBorders>
            <w:shd w:val="clear" w:color="auto" w:fill="9BC2E6"/>
            <w:vAlign w:val="center"/>
          </w:tcPr>
          <w:p w14:paraId="520E4F83"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GGGAGCUGAACU</w:t>
            </w:r>
            <w:r w:rsidRPr="002631FC">
              <w:rPr>
                <w:rFonts w:ascii="Arial" w:eastAsia="Arial" w:hAnsi="Arial" w:cs="Arial"/>
                <w:b/>
                <w:color w:val="FF0000"/>
                <w:sz w:val="20"/>
                <w:szCs w:val="20"/>
              </w:rPr>
              <w:t>A</w:t>
            </w:r>
            <w:r w:rsidRPr="002631FC">
              <w:rPr>
                <w:rFonts w:ascii="Arial" w:eastAsia="Arial" w:hAnsi="Arial" w:cs="Arial"/>
                <w:color w:val="000000"/>
                <w:sz w:val="20"/>
                <w:szCs w:val="20"/>
              </w:rPr>
              <w:t>AUGAGUCCGU</w:t>
            </w:r>
          </w:p>
          <w:p w14:paraId="0A0D2E6F"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GAGGAC</w:t>
            </w:r>
            <w:r w:rsidRPr="002631FC">
              <w:rPr>
                <w:rFonts w:ascii="Arial" w:eastAsia="Arial" w:hAnsi="Arial" w:cs="Arial"/>
                <w:b/>
                <w:color w:val="FF0000"/>
                <w:sz w:val="20"/>
                <w:szCs w:val="20"/>
              </w:rPr>
              <w:t>A</w:t>
            </w:r>
            <w:r w:rsidRPr="002631FC">
              <w:rPr>
                <w:rFonts w:ascii="Arial" w:eastAsia="Arial" w:hAnsi="Arial" w:cs="Arial"/>
                <w:color w:val="000000"/>
                <w:sz w:val="20"/>
                <w:szCs w:val="20"/>
              </w:rPr>
              <w:t>AAAGGCACA</w:t>
            </w:r>
          </w:p>
        </w:tc>
        <w:tc>
          <w:tcPr>
            <w:tcW w:w="989" w:type="dxa"/>
            <w:tcBorders>
              <w:top w:val="nil"/>
              <w:left w:val="nil"/>
              <w:bottom w:val="single" w:sz="4" w:space="0" w:color="000000"/>
              <w:right w:val="single" w:sz="4" w:space="0" w:color="000000"/>
            </w:tcBorders>
            <w:shd w:val="clear" w:color="auto" w:fill="9BC2E6"/>
            <w:vAlign w:val="center"/>
          </w:tcPr>
          <w:p w14:paraId="36BB03A2"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9BC2E6"/>
            <w:vAlign w:val="center"/>
          </w:tcPr>
          <w:p w14:paraId="3F87373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IVT</w:t>
            </w:r>
          </w:p>
        </w:tc>
        <w:tc>
          <w:tcPr>
            <w:tcW w:w="2268" w:type="dxa"/>
            <w:tcBorders>
              <w:top w:val="nil"/>
              <w:left w:val="nil"/>
              <w:bottom w:val="single" w:sz="4" w:space="0" w:color="000000"/>
              <w:right w:val="single" w:sz="8" w:space="0" w:color="000000"/>
            </w:tcBorders>
            <w:shd w:val="clear" w:color="auto" w:fill="9BC2E6"/>
            <w:vAlign w:val="center"/>
          </w:tcPr>
          <w:p w14:paraId="415F13C0" w14:textId="77777777" w:rsidR="0037473B" w:rsidRPr="002631FC" w:rsidRDefault="000C6205">
            <w:pPr>
              <w:spacing w:after="0" w:line="240" w:lineRule="auto"/>
              <w:jc w:val="center"/>
              <w:rPr>
                <w:rFonts w:ascii="Arial" w:eastAsia="Arial" w:hAnsi="Arial" w:cs="Arial"/>
                <w:color w:val="000000"/>
                <w:sz w:val="20"/>
                <w:szCs w:val="20"/>
              </w:rPr>
            </w:pPr>
            <w:proofErr w:type="spellStart"/>
            <w:r w:rsidRPr="002631FC">
              <w:rPr>
                <w:rFonts w:ascii="Arial" w:eastAsia="Arial" w:hAnsi="Arial" w:cs="Arial"/>
                <w:color w:val="000000"/>
                <w:sz w:val="20"/>
                <w:szCs w:val="20"/>
              </w:rPr>
              <w:t>Drobot</w:t>
            </w:r>
            <w:proofErr w:type="spellEnd"/>
            <w:r w:rsidRPr="002631FC">
              <w:rPr>
                <w:rFonts w:ascii="Arial" w:eastAsia="Arial" w:hAnsi="Arial" w:cs="Arial"/>
                <w:color w:val="000000"/>
                <w:sz w:val="20"/>
                <w:szCs w:val="20"/>
              </w:rPr>
              <w:t xml:space="preserve"> et al 2018</w:t>
            </w:r>
          </w:p>
        </w:tc>
      </w:tr>
      <w:tr w:rsidR="0037473B" w14:paraId="68038FB4" w14:textId="77777777" w:rsidTr="002631FC">
        <w:trPr>
          <w:trHeight w:val="504"/>
        </w:trPr>
        <w:tc>
          <w:tcPr>
            <w:tcW w:w="887" w:type="dxa"/>
            <w:tcBorders>
              <w:top w:val="nil"/>
              <w:left w:val="single" w:sz="8" w:space="0" w:color="000000"/>
              <w:bottom w:val="single" w:sz="4" w:space="0" w:color="000000"/>
              <w:right w:val="single" w:sz="4" w:space="0" w:color="000000"/>
            </w:tcBorders>
            <w:shd w:val="clear" w:color="auto" w:fill="DDEBF7"/>
            <w:vAlign w:val="center"/>
          </w:tcPr>
          <w:p w14:paraId="566CB8D7"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HH-FQ-Sub</w:t>
            </w:r>
          </w:p>
        </w:tc>
        <w:tc>
          <w:tcPr>
            <w:tcW w:w="804" w:type="dxa"/>
            <w:tcBorders>
              <w:top w:val="nil"/>
              <w:left w:val="nil"/>
              <w:bottom w:val="single" w:sz="4" w:space="0" w:color="000000"/>
              <w:right w:val="single" w:sz="4" w:space="0" w:color="000000"/>
            </w:tcBorders>
            <w:shd w:val="clear" w:color="auto" w:fill="DDEBF7"/>
            <w:vAlign w:val="center"/>
          </w:tcPr>
          <w:p w14:paraId="23FBF12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12</w:t>
            </w:r>
          </w:p>
        </w:tc>
        <w:tc>
          <w:tcPr>
            <w:tcW w:w="993" w:type="dxa"/>
            <w:tcBorders>
              <w:top w:val="nil"/>
              <w:left w:val="nil"/>
              <w:bottom w:val="single" w:sz="4" w:space="0" w:color="000000"/>
              <w:right w:val="single" w:sz="4" w:space="0" w:color="000000"/>
            </w:tcBorders>
            <w:shd w:val="clear" w:color="auto" w:fill="DDEBF7"/>
            <w:vAlign w:val="center"/>
          </w:tcPr>
          <w:p w14:paraId="135EAE2C"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FAM</w:t>
            </w:r>
          </w:p>
        </w:tc>
        <w:tc>
          <w:tcPr>
            <w:tcW w:w="2413" w:type="dxa"/>
            <w:tcBorders>
              <w:top w:val="nil"/>
              <w:left w:val="nil"/>
              <w:bottom w:val="single" w:sz="4" w:space="0" w:color="000000"/>
              <w:right w:val="single" w:sz="4" w:space="0" w:color="000000"/>
            </w:tcBorders>
            <w:shd w:val="clear" w:color="auto" w:fill="DDEBF7"/>
            <w:vAlign w:val="center"/>
          </w:tcPr>
          <w:p w14:paraId="324C9B63"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UGCCUCUUCAGC</w:t>
            </w:r>
          </w:p>
        </w:tc>
        <w:tc>
          <w:tcPr>
            <w:tcW w:w="989" w:type="dxa"/>
            <w:tcBorders>
              <w:top w:val="nil"/>
              <w:left w:val="nil"/>
              <w:bottom w:val="single" w:sz="4" w:space="0" w:color="000000"/>
              <w:right w:val="single" w:sz="4" w:space="0" w:color="000000"/>
            </w:tcBorders>
            <w:shd w:val="clear" w:color="auto" w:fill="DDEBF7"/>
            <w:vAlign w:val="center"/>
          </w:tcPr>
          <w:p w14:paraId="3FF1F0CB"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BHQ1</w:t>
            </w:r>
          </w:p>
        </w:tc>
        <w:tc>
          <w:tcPr>
            <w:tcW w:w="992" w:type="dxa"/>
            <w:tcBorders>
              <w:top w:val="nil"/>
              <w:left w:val="nil"/>
              <w:bottom w:val="single" w:sz="4" w:space="0" w:color="000000"/>
              <w:right w:val="single" w:sz="4" w:space="0" w:color="000000"/>
            </w:tcBorders>
            <w:shd w:val="clear" w:color="auto" w:fill="DDEBF7"/>
            <w:vAlign w:val="center"/>
          </w:tcPr>
          <w:p w14:paraId="3FAF6EB1"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IDT</w:t>
            </w:r>
          </w:p>
        </w:tc>
        <w:tc>
          <w:tcPr>
            <w:tcW w:w="2268" w:type="dxa"/>
            <w:tcBorders>
              <w:top w:val="nil"/>
              <w:left w:val="nil"/>
              <w:bottom w:val="single" w:sz="4" w:space="0" w:color="000000"/>
              <w:right w:val="single" w:sz="8" w:space="0" w:color="000000"/>
            </w:tcBorders>
            <w:shd w:val="clear" w:color="auto" w:fill="DDEBF7"/>
            <w:vAlign w:val="center"/>
          </w:tcPr>
          <w:p w14:paraId="48365910" w14:textId="77777777" w:rsidR="0037473B" w:rsidRPr="002631FC" w:rsidRDefault="000C6205">
            <w:pPr>
              <w:spacing w:after="0" w:line="240" w:lineRule="auto"/>
              <w:jc w:val="center"/>
              <w:rPr>
                <w:rFonts w:ascii="Arial" w:eastAsia="Arial" w:hAnsi="Arial" w:cs="Arial"/>
                <w:color w:val="000000"/>
                <w:sz w:val="20"/>
                <w:szCs w:val="20"/>
              </w:rPr>
            </w:pPr>
            <w:proofErr w:type="spellStart"/>
            <w:r w:rsidRPr="002631FC">
              <w:rPr>
                <w:rFonts w:ascii="Arial" w:eastAsia="Arial" w:hAnsi="Arial" w:cs="Arial"/>
                <w:color w:val="000000"/>
                <w:sz w:val="20"/>
                <w:szCs w:val="20"/>
              </w:rPr>
              <w:t>Drobot</w:t>
            </w:r>
            <w:proofErr w:type="spellEnd"/>
            <w:r w:rsidRPr="002631FC">
              <w:rPr>
                <w:rFonts w:ascii="Arial" w:eastAsia="Arial" w:hAnsi="Arial" w:cs="Arial"/>
                <w:color w:val="000000"/>
                <w:sz w:val="20"/>
                <w:szCs w:val="20"/>
              </w:rPr>
              <w:t xml:space="preserve"> et al 2018</w:t>
            </w:r>
          </w:p>
        </w:tc>
      </w:tr>
      <w:tr w:rsidR="0037473B" w14:paraId="453A2DB4" w14:textId="77777777" w:rsidTr="002631FC">
        <w:trPr>
          <w:trHeight w:val="477"/>
        </w:trPr>
        <w:tc>
          <w:tcPr>
            <w:tcW w:w="887" w:type="dxa"/>
            <w:tcBorders>
              <w:top w:val="nil"/>
              <w:left w:val="single" w:sz="8" w:space="0" w:color="000000"/>
              <w:bottom w:val="single" w:sz="4" w:space="0" w:color="000000"/>
              <w:right w:val="single" w:sz="4" w:space="0" w:color="000000"/>
            </w:tcBorders>
            <w:shd w:val="clear" w:color="auto" w:fill="9BC2E6"/>
            <w:vAlign w:val="center"/>
          </w:tcPr>
          <w:p w14:paraId="6BACE4DF"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HH-Sub</w:t>
            </w:r>
          </w:p>
        </w:tc>
        <w:tc>
          <w:tcPr>
            <w:tcW w:w="804" w:type="dxa"/>
            <w:tcBorders>
              <w:top w:val="nil"/>
              <w:left w:val="nil"/>
              <w:bottom w:val="single" w:sz="4" w:space="0" w:color="000000"/>
              <w:right w:val="single" w:sz="4" w:space="0" w:color="000000"/>
            </w:tcBorders>
            <w:shd w:val="clear" w:color="auto" w:fill="9BC2E6"/>
            <w:vAlign w:val="center"/>
          </w:tcPr>
          <w:p w14:paraId="62D5423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27</w:t>
            </w:r>
          </w:p>
        </w:tc>
        <w:tc>
          <w:tcPr>
            <w:tcW w:w="993" w:type="dxa"/>
            <w:tcBorders>
              <w:top w:val="nil"/>
              <w:left w:val="nil"/>
              <w:bottom w:val="single" w:sz="4" w:space="0" w:color="000000"/>
              <w:right w:val="single" w:sz="4" w:space="0" w:color="000000"/>
            </w:tcBorders>
            <w:shd w:val="clear" w:color="auto" w:fill="9BC2E6"/>
            <w:vAlign w:val="center"/>
          </w:tcPr>
          <w:p w14:paraId="2A59ED8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Cy5</w:t>
            </w:r>
          </w:p>
        </w:tc>
        <w:tc>
          <w:tcPr>
            <w:tcW w:w="2413" w:type="dxa"/>
            <w:tcBorders>
              <w:top w:val="nil"/>
              <w:left w:val="nil"/>
              <w:bottom w:val="single" w:sz="4" w:space="0" w:color="000000"/>
              <w:right w:val="single" w:sz="4" w:space="0" w:color="000000"/>
            </w:tcBorders>
            <w:shd w:val="clear" w:color="auto" w:fill="9BC2E6"/>
            <w:vAlign w:val="center"/>
          </w:tcPr>
          <w:p w14:paraId="56FB358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UUCACCUCAGAACUGUGCCUCUUCAGC</w:t>
            </w:r>
          </w:p>
        </w:tc>
        <w:tc>
          <w:tcPr>
            <w:tcW w:w="989" w:type="dxa"/>
            <w:tcBorders>
              <w:top w:val="nil"/>
              <w:left w:val="nil"/>
              <w:bottom w:val="single" w:sz="4" w:space="0" w:color="000000"/>
              <w:right w:val="single" w:sz="4" w:space="0" w:color="000000"/>
            </w:tcBorders>
            <w:shd w:val="clear" w:color="auto" w:fill="9BC2E6"/>
            <w:vAlign w:val="center"/>
          </w:tcPr>
          <w:p w14:paraId="7E4261AC"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9BC2E6"/>
            <w:vAlign w:val="center"/>
          </w:tcPr>
          <w:p w14:paraId="53AA0290"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IDT</w:t>
            </w:r>
          </w:p>
        </w:tc>
        <w:tc>
          <w:tcPr>
            <w:tcW w:w="2268" w:type="dxa"/>
            <w:tcBorders>
              <w:top w:val="nil"/>
              <w:left w:val="nil"/>
              <w:bottom w:val="single" w:sz="4" w:space="0" w:color="000000"/>
              <w:right w:val="single" w:sz="8" w:space="0" w:color="000000"/>
            </w:tcBorders>
            <w:shd w:val="clear" w:color="auto" w:fill="9BC2E6"/>
            <w:vAlign w:val="center"/>
          </w:tcPr>
          <w:p w14:paraId="3C312A8D"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 xml:space="preserve"> - this paper - </w:t>
            </w:r>
          </w:p>
        </w:tc>
      </w:tr>
      <w:tr w:rsidR="0037473B" w14:paraId="57C9384E" w14:textId="77777777" w:rsidTr="002631FC">
        <w:trPr>
          <w:trHeight w:val="603"/>
        </w:trPr>
        <w:tc>
          <w:tcPr>
            <w:tcW w:w="887" w:type="dxa"/>
            <w:tcBorders>
              <w:top w:val="nil"/>
              <w:left w:val="single" w:sz="8" w:space="0" w:color="000000"/>
              <w:bottom w:val="single" w:sz="4" w:space="0" w:color="000000"/>
              <w:right w:val="single" w:sz="4" w:space="0" w:color="000000"/>
            </w:tcBorders>
            <w:shd w:val="clear" w:color="auto" w:fill="DDEBF7"/>
            <w:vAlign w:val="center"/>
          </w:tcPr>
          <w:p w14:paraId="63F81AFF"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R3C ligase F</w:t>
            </w:r>
          </w:p>
        </w:tc>
        <w:tc>
          <w:tcPr>
            <w:tcW w:w="804" w:type="dxa"/>
            <w:tcBorders>
              <w:top w:val="nil"/>
              <w:left w:val="nil"/>
              <w:bottom w:val="single" w:sz="4" w:space="0" w:color="000000"/>
              <w:right w:val="single" w:sz="4" w:space="0" w:color="000000"/>
            </w:tcBorders>
            <w:shd w:val="clear" w:color="auto" w:fill="DDEBF7"/>
            <w:vAlign w:val="center"/>
          </w:tcPr>
          <w:p w14:paraId="403082DA"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66</w:t>
            </w:r>
          </w:p>
        </w:tc>
        <w:tc>
          <w:tcPr>
            <w:tcW w:w="993" w:type="dxa"/>
            <w:tcBorders>
              <w:top w:val="nil"/>
              <w:left w:val="nil"/>
              <w:bottom w:val="single" w:sz="4" w:space="0" w:color="000000"/>
              <w:right w:val="single" w:sz="4" w:space="0" w:color="000000"/>
            </w:tcBorders>
            <w:shd w:val="clear" w:color="auto" w:fill="DDEBF7"/>
            <w:vAlign w:val="center"/>
          </w:tcPr>
          <w:p w14:paraId="2018B359"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2413" w:type="dxa"/>
            <w:tcBorders>
              <w:top w:val="nil"/>
              <w:left w:val="nil"/>
              <w:bottom w:val="single" w:sz="4" w:space="0" w:color="000000"/>
              <w:right w:val="single" w:sz="4" w:space="0" w:color="000000"/>
            </w:tcBorders>
            <w:shd w:val="clear" w:color="auto" w:fill="DDEBF7"/>
            <w:vAlign w:val="center"/>
          </w:tcPr>
          <w:p w14:paraId="6EA5221D"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GGAAGUUGUUAUCACUUGUUACGUAAGUAACAC</w:t>
            </w:r>
          </w:p>
          <w:p w14:paraId="501AA8FF"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UUUGGAUGGGUUGAAGUAUGAGACCGCAACUUA</w:t>
            </w:r>
          </w:p>
        </w:tc>
        <w:tc>
          <w:tcPr>
            <w:tcW w:w="989" w:type="dxa"/>
            <w:tcBorders>
              <w:top w:val="nil"/>
              <w:left w:val="nil"/>
              <w:bottom w:val="single" w:sz="4" w:space="0" w:color="000000"/>
              <w:right w:val="single" w:sz="4" w:space="0" w:color="000000"/>
            </w:tcBorders>
            <w:shd w:val="clear" w:color="auto" w:fill="DDEBF7"/>
            <w:vAlign w:val="center"/>
          </w:tcPr>
          <w:p w14:paraId="29D21F39"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DDEBF7"/>
            <w:vAlign w:val="center"/>
          </w:tcPr>
          <w:p w14:paraId="7D048659"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IVT</w:t>
            </w:r>
          </w:p>
        </w:tc>
        <w:tc>
          <w:tcPr>
            <w:tcW w:w="2268" w:type="dxa"/>
            <w:tcBorders>
              <w:top w:val="nil"/>
              <w:left w:val="nil"/>
              <w:bottom w:val="single" w:sz="4" w:space="0" w:color="000000"/>
              <w:right w:val="single" w:sz="8" w:space="0" w:color="000000"/>
            </w:tcBorders>
            <w:shd w:val="clear" w:color="auto" w:fill="DDEBF7"/>
            <w:vAlign w:val="center"/>
          </w:tcPr>
          <w:p w14:paraId="31A310D3"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Robertson et al 2014</w:t>
            </w:r>
          </w:p>
        </w:tc>
      </w:tr>
      <w:tr w:rsidR="0037473B" w14:paraId="56E70EF9" w14:textId="77777777" w:rsidTr="002631FC">
        <w:trPr>
          <w:trHeight w:val="585"/>
        </w:trPr>
        <w:tc>
          <w:tcPr>
            <w:tcW w:w="887" w:type="dxa"/>
            <w:tcBorders>
              <w:top w:val="nil"/>
              <w:left w:val="single" w:sz="8" w:space="0" w:color="000000"/>
              <w:bottom w:val="single" w:sz="4" w:space="0" w:color="000000"/>
              <w:right w:val="single" w:sz="4" w:space="0" w:color="000000"/>
            </w:tcBorders>
            <w:shd w:val="clear" w:color="auto" w:fill="9BC2E6"/>
            <w:vAlign w:val="center"/>
          </w:tcPr>
          <w:p w14:paraId="5D81F761"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Hyper-A</w:t>
            </w:r>
          </w:p>
        </w:tc>
        <w:tc>
          <w:tcPr>
            <w:tcW w:w="804" w:type="dxa"/>
            <w:tcBorders>
              <w:top w:val="nil"/>
              <w:left w:val="nil"/>
              <w:bottom w:val="single" w:sz="4" w:space="0" w:color="000000"/>
              <w:right w:val="single" w:sz="4" w:space="0" w:color="000000"/>
            </w:tcBorders>
            <w:shd w:val="clear" w:color="auto" w:fill="9BC2E6"/>
            <w:vAlign w:val="center"/>
          </w:tcPr>
          <w:p w14:paraId="5DFC256B"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52</w:t>
            </w:r>
          </w:p>
        </w:tc>
        <w:tc>
          <w:tcPr>
            <w:tcW w:w="993" w:type="dxa"/>
            <w:tcBorders>
              <w:top w:val="nil"/>
              <w:left w:val="nil"/>
              <w:bottom w:val="single" w:sz="4" w:space="0" w:color="000000"/>
              <w:right w:val="single" w:sz="4" w:space="0" w:color="000000"/>
            </w:tcBorders>
            <w:shd w:val="clear" w:color="auto" w:fill="9BC2E6"/>
            <w:vAlign w:val="center"/>
          </w:tcPr>
          <w:p w14:paraId="2D346A4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2413" w:type="dxa"/>
            <w:tcBorders>
              <w:top w:val="nil"/>
              <w:left w:val="nil"/>
              <w:bottom w:val="single" w:sz="4" w:space="0" w:color="000000"/>
              <w:right w:val="single" w:sz="4" w:space="0" w:color="000000"/>
            </w:tcBorders>
            <w:shd w:val="clear" w:color="auto" w:fill="9BC2E6"/>
            <w:vAlign w:val="center"/>
          </w:tcPr>
          <w:p w14:paraId="4EDD77DD" w14:textId="77777777" w:rsidR="0037473B" w:rsidRPr="002631FC" w:rsidRDefault="000C6205">
            <w:pPr>
              <w:spacing w:after="0" w:line="240" w:lineRule="auto"/>
              <w:jc w:val="center"/>
              <w:rPr>
                <w:rFonts w:ascii="Arial" w:eastAsia="Arial" w:hAnsi="Arial" w:cs="Arial"/>
                <w:sz w:val="20"/>
                <w:szCs w:val="20"/>
              </w:rPr>
            </w:pPr>
            <w:r w:rsidRPr="002631FC">
              <w:rPr>
                <w:rFonts w:ascii="Arial" w:eastAsia="Arial" w:hAnsi="Arial" w:cs="Arial"/>
                <w:sz w:val="20"/>
                <w:szCs w:val="20"/>
              </w:rPr>
              <w:t>GGAAGUUGUUAUCACUUGUUACGUAAGUAACAC</w:t>
            </w:r>
          </w:p>
          <w:p w14:paraId="214C25DD" w14:textId="77777777" w:rsidR="0037473B" w:rsidRPr="002631FC" w:rsidRDefault="000C6205">
            <w:pPr>
              <w:spacing w:after="0" w:line="240" w:lineRule="auto"/>
              <w:jc w:val="center"/>
              <w:rPr>
                <w:rFonts w:ascii="Arial" w:eastAsia="Arial" w:hAnsi="Arial" w:cs="Arial"/>
                <w:sz w:val="20"/>
                <w:szCs w:val="20"/>
              </w:rPr>
            </w:pPr>
            <w:r w:rsidRPr="002631FC">
              <w:rPr>
                <w:rFonts w:ascii="Arial" w:eastAsia="Arial" w:hAnsi="Arial" w:cs="Arial"/>
                <w:sz w:val="20"/>
                <w:szCs w:val="20"/>
              </w:rPr>
              <w:t>UUUGGAUGGGUUGAAGUAU</w:t>
            </w:r>
          </w:p>
        </w:tc>
        <w:tc>
          <w:tcPr>
            <w:tcW w:w="989" w:type="dxa"/>
            <w:tcBorders>
              <w:top w:val="nil"/>
              <w:left w:val="nil"/>
              <w:bottom w:val="single" w:sz="4" w:space="0" w:color="000000"/>
              <w:right w:val="single" w:sz="4" w:space="0" w:color="000000"/>
            </w:tcBorders>
            <w:shd w:val="clear" w:color="auto" w:fill="9BC2E6"/>
            <w:vAlign w:val="center"/>
          </w:tcPr>
          <w:p w14:paraId="01555B31"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9BC2E6"/>
            <w:vAlign w:val="center"/>
          </w:tcPr>
          <w:p w14:paraId="42981A5A"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IDT</w:t>
            </w:r>
          </w:p>
        </w:tc>
        <w:tc>
          <w:tcPr>
            <w:tcW w:w="2268" w:type="dxa"/>
            <w:tcBorders>
              <w:top w:val="nil"/>
              <w:left w:val="nil"/>
              <w:bottom w:val="single" w:sz="4" w:space="0" w:color="000000"/>
              <w:right w:val="single" w:sz="8" w:space="0" w:color="000000"/>
            </w:tcBorders>
            <w:shd w:val="clear" w:color="auto" w:fill="9BC2E6"/>
            <w:vAlign w:val="center"/>
          </w:tcPr>
          <w:p w14:paraId="6037C75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Robertson et al 2014</w:t>
            </w:r>
          </w:p>
        </w:tc>
      </w:tr>
      <w:tr w:rsidR="0037473B" w14:paraId="40BF4B06" w14:textId="77777777" w:rsidTr="002631FC">
        <w:trPr>
          <w:trHeight w:val="558"/>
        </w:trPr>
        <w:tc>
          <w:tcPr>
            <w:tcW w:w="887" w:type="dxa"/>
            <w:tcBorders>
              <w:top w:val="nil"/>
              <w:left w:val="single" w:sz="8" w:space="0" w:color="000000"/>
              <w:bottom w:val="single" w:sz="4" w:space="0" w:color="000000"/>
              <w:right w:val="single" w:sz="4" w:space="0" w:color="000000"/>
            </w:tcBorders>
            <w:shd w:val="clear" w:color="auto" w:fill="DDEBF7"/>
            <w:vAlign w:val="center"/>
          </w:tcPr>
          <w:p w14:paraId="7936536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Cy5-A*</w:t>
            </w:r>
          </w:p>
        </w:tc>
        <w:tc>
          <w:tcPr>
            <w:tcW w:w="804" w:type="dxa"/>
            <w:tcBorders>
              <w:top w:val="nil"/>
              <w:left w:val="nil"/>
              <w:bottom w:val="single" w:sz="4" w:space="0" w:color="000000"/>
              <w:right w:val="single" w:sz="4" w:space="0" w:color="000000"/>
            </w:tcBorders>
            <w:shd w:val="clear" w:color="auto" w:fill="DDEBF7"/>
            <w:vAlign w:val="center"/>
          </w:tcPr>
          <w:p w14:paraId="342A744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52</w:t>
            </w:r>
          </w:p>
        </w:tc>
        <w:tc>
          <w:tcPr>
            <w:tcW w:w="993" w:type="dxa"/>
            <w:tcBorders>
              <w:top w:val="nil"/>
              <w:left w:val="nil"/>
              <w:bottom w:val="single" w:sz="4" w:space="0" w:color="000000"/>
              <w:right w:val="single" w:sz="4" w:space="0" w:color="000000"/>
            </w:tcBorders>
            <w:shd w:val="clear" w:color="auto" w:fill="DDEBF7"/>
            <w:vAlign w:val="center"/>
          </w:tcPr>
          <w:p w14:paraId="5BBC9EBD"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Cy5</w:t>
            </w:r>
          </w:p>
        </w:tc>
        <w:tc>
          <w:tcPr>
            <w:tcW w:w="2413" w:type="dxa"/>
            <w:tcBorders>
              <w:top w:val="nil"/>
              <w:left w:val="nil"/>
              <w:bottom w:val="single" w:sz="4" w:space="0" w:color="000000"/>
              <w:right w:val="single" w:sz="4" w:space="0" w:color="000000"/>
            </w:tcBorders>
            <w:shd w:val="clear" w:color="auto" w:fill="DDEBF7"/>
            <w:vAlign w:val="center"/>
          </w:tcPr>
          <w:p w14:paraId="6E22A0A8" w14:textId="77777777" w:rsidR="0037473B" w:rsidRPr="002631FC" w:rsidRDefault="000C6205">
            <w:pPr>
              <w:spacing w:after="0" w:line="240" w:lineRule="auto"/>
              <w:jc w:val="center"/>
              <w:rPr>
                <w:rFonts w:ascii="Arial" w:eastAsia="Arial" w:hAnsi="Arial" w:cs="Arial"/>
                <w:sz w:val="20"/>
                <w:szCs w:val="20"/>
              </w:rPr>
            </w:pPr>
            <w:r w:rsidRPr="002631FC">
              <w:rPr>
                <w:rFonts w:ascii="Arial" w:eastAsia="Arial" w:hAnsi="Arial" w:cs="Arial"/>
                <w:sz w:val="20"/>
                <w:szCs w:val="20"/>
              </w:rPr>
              <w:t>GGAAGUUGUUAUCACUUGUUACGUAAGUAACAC</w:t>
            </w:r>
          </w:p>
          <w:p w14:paraId="417A51BB" w14:textId="77777777" w:rsidR="0037473B" w:rsidRPr="002631FC" w:rsidRDefault="000C6205">
            <w:pPr>
              <w:spacing w:after="0" w:line="240" w:lineRule="auto"/>
              <w:jc w:val="center"/>
              <w:rPr>
                <w:rFonts w:ascii="Arial" w:eastAsia="Arial" w:hAnsi="Arial" w:cs="Arial"/>
                <w:sz w:val="20"/>
                <w:szCs w:val="20"/>
              </w:rPr>
            </w:pPr>
            <w:r w:rsidRPr="002631FC">
              <w:rPr>
                <w:rFonts w:ascii="Arial" w:eastAsia="Arial" w:hAnsi="Arial" w:cs="Arial"/>
                <w:sz w:val="20"/>
                <w:szCs w:val="20"/>
              </w:rPr>
              <w:t>UUUG</w:t>
            </w:r>
            <w:r w:rsidRPr="002631FC">
              <w:rPr>
                <w:rFonts w:ascii="Arial" w:eastAsia="Arial" w:hAnsi="Arial" w:cs="Arial"/>
                <w:b/>
                <w:color w:val="FF0000"/>
                <w:sz w:val="20"/>
                <w:szCs w:val="20"/>
              </w:rPr>
              <w:t>A</w:t>
            </w:r>
            <w:r w:rsidRPr="002631FC">
              <w:rPr>
                <w:rFonts w:ascii="Arial" w:eastAsia="Arial" w:hAnsi="Arial" w:cs="Arial"/>
                <w:sz w:val="20"/>
                <w:szCs w:val="20"/>
              </w:rPr>
              <w:t>AUGGGUUGAAGUAU</w:t>
            </w:r>
          </w:p>
        </w:tc>
        <w:tc>
          <w:tcPr>
            <w:tcW w:w="989" w:type="dxa"/>
            <w:tcBorders>
              <w:top w:val="nil"/>
              <w:left w:val="nil"/>
              <w:bottom w:val="single" w:sz="4" w:space="0" w:color="000000"/>
              <w:right w:val="single" w:sz="4" w:space="0" w:color="000000"/>
            </w:tcBorders>
            <w:shd w:val="clear" w:color="auto" w:fill="DDEBF7"/>
            <w:vAlign w:val="center"/>
          </w:tcPr>
          <w:p w14:paraId="0C9E40CA"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DDEBF7"/>
            <w:vAlign w:val="center"/>
          </w:tcPr>
          <w:p w14:paraId="2E282E4C"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IDT</w:t>
            </w:r>
          </w:p>
        </w:tc>
        <w:tc>
          <w:tcPr>
            <w:tcW w:w="2268" w:type="dxa"/>
            <w:tcBorders>
              <w:top w:val="nil"/>
              <w:left w:val="nil"/>
              <w:bottom w:val="single" w:sz="4" w:space="0" w:color="000000"/>
              <w:right w:val="single" w:sz="8" w:space="0" w:color="000000"/>
            </w:tcBorders>
            <w:shd w:val="clear" w:color="auto" w:fill="DDEBF7"/>
            <w:vAlign w:val="center"/>
          </w:tcPr>
          <w:p w14:paraId="5684D3D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 xml:space="preserve"> - this paper - </w:t>
            </w:r>
          </w:p>
        </w:tc>
      </w:tr>
      <w:tr w:rsidR="0037473B" w14:paraId="610F5A3A" w14:textId="77777777" w:rsidTr="002631FC">
        <w:trPr>
          <w:trHeight w:val="308"/>
        </w:trPr>
        <w:tc>
          <w:tcPr>
            <w:tcW w:w="887" w:type="dxa"/>
            <w:tcBorders>
              <w:top w:val="nil"/>
              <w:left w:val="single" w:sz="8" w:space="0" w:color="000000"/>
              <w:bottom w:val="single" w:sz="4" w:space="0" w:color="000000"/>
              <w:right w:val="single" w:sz="4" w:space="0" w:color="000000"/>
            </w:tcBorders>
            <w:shd w:val="clear" w:color="auto" w:fill="9BC2E6"/>
            <w:vAlign w:val="center"/>
          </w:tcPr>
          <w:p w14:paraId="05AE0B50"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B</w:t>
            </w:r>
          </w:p>
        </w:tc>
        <w:tc>
          <w:tcPr>
            <w:tcW w:w="804" w:type="dxa"/>
            <w:tcBorders>
              <w:top w:val="nil"/>
              <w:left w:val="nil"/>
              <w:bottom w:val="single" w:sz="4" w:space="0" w:color="000000"/>
              <w:right w:val="single" w:sz="4" w:space="0" w:color="000000"/>
            </w:tcBorders>
            <w:shd w:val="clear" w:color="auto" w:fill="9BC2E6"/>
            <w:vAlign w:val="center"/>
          </w:tcPr>
          <w:p w14:paraId="00F49F48"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14</w:t>
            </w:r>
          </w:p>
        </w:tc>
        <w:tc>
          <w:tcPr>
            <w:tcW w:w="993" w:type="dxa"/>
            <w:tcBorders>
              <w:top w:val="nil"/>
              <w:left w:val="nil"/>
              <w:bottom w:val="single" w:sz="4" w:space="0" w:color="000000"/>
              <w:right w:val="single" w:sz="4" w:space="0" w:color="000000"/>
            </w:tcBorders>
            <w:shd w:val="clear" w:color="auto" w:fill="9BC2E6"/>
            <w:vAlign w:val="center"/>
          </w:tcPr>
          <w:p w14:paraId="438F4ED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TP**</w:t>
            </w:r>
          </w:p>
        </w:tc>
        <w:tc>
          <w:tcPr>
            <w:tcW w:w="2413" w:type="dxa"/>
            <w:tcBorders>
              <w:top w:val="nil"/>
              <w:left w:val="nil"/>
              <w:bottom w:val="single" w:sz="4" w:space="0" w:color="000000"/>
              <w:right w:val="single" w:sz="4" w:space="0" w:color="000000"/>
            </w:tcBorders>
            <w:shd w:val="clear" w:color="auto" w:fill="9BC2E6"/>
            <w:vAlign w:val="center"/>
          </w:tcPr>
          <w:p w14:paraId="6BD17FF3"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GAGACCGCAACUUA</w:t>
            </w:r>
          </w:p>
        </w:tc>
        <w:tc>
          <w:tcPr>
            <w:tcW w:w="989" w:type="dxa"/>
            <w:tcBorders>
              <w:top w:val="nil"/>
              <w:left w:val="nil"/>
              <w:bottom w:val="single" w:sz="4" w:space="0" w:color="000000"/>
              <w:right w:val="single" w:sz="4" w:space="0" w:color="000000"/>
            </w:tcBorders>
            <w:shd w:val="clear" w:color="auto" w:fill="9BC2E6"/>
            <w:vAlign w:val="center"/>
          </w:tcPr>
          <w:p w14:paraId="5F2688C2"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9BC2E6"/>
            <w:vAlign w:val="center"/>
          </w:tcPr>
          <w:p w14:paraId="64596180"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IVT</w:t>
            </w:r>
          </w:p>
        </w:tc>
        <w:tc>
          <w:tcPr>
            <w:tcW w:w="2268" w:type="dxa"/>
            <w:tcBorders>
              <w:top w:val="nil"/>
              <w:left w:val="nil"/>
              <w:bottom w:val="single" w:sz="4" w:space="0" w:color="000000"/>
              <w:right w:val="single" w:sz="8" w:space="0" w:color="000000"/>
            </w:tcBorders>
            <w:shd w:val="clear" w:color="auto" w:fill="9BC2E6"/>
            <w:vAlign w:val="center"/>
          </w:tcPr>
          <w:p w14:paraId="53FE625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Robertson et al 2014</w:t>
            </w:r>
          </w:p>
        </w:tc>
      </w:tr>
      <w:tr w:rsidR="0037473B" w14:paraId="4B06DDE6" w14:textId="77777777" w:rsidTr="002631FC">
        <w:trPr>
          <w:trHeight w:val="621"/>
        </w:trPr>
        <w:tc>
          <w:tcPr>
            <w:tcW w:w="887" w:type="dxa"/>
            <w:tcBorders>
              <w:top w:val="nil"/>
              <w:left w:val="single" w:sz="8" w:space="0" w:color="000000"/>
              <w:bottom w:val="single" w:sz="4" w:space="0" w:color="000000"/>
              <w:right w:val="single" w:sz="4" w:space="0" w:color="000000"/>
            </w:tcBorders>
            <w:shd w:val="clear" w:color="auto" w:fill="DDEBF7"/>
            <w:vAlign w:val="center"/>
          </w:tcPr>
          <w:p w14:paraId="25054CDF"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rt-F</w:t>
            </w:r>
          </w:p>
        </w:tc>
        <w:tc>
          <w:tcPr>
            <w:tcW w:w="804" w:type="dxa"/>
            <w:tcBorders>
              <w:top w:val="nil"/>
              <w:left w:val="nil"/>
              <w:bottom w:val="single" w:sz="4" w:space="0" w:color="000000"/>
              <w:right w:val="single" w:sz="4" w:space="0" w:color="000000"/>
            </w:tcBorders>
            <w:shd w:val="clear" w:color="auto" w:fill="DDEBF7"/>
            <w:vAlign w:val="center"/>
          </w:tcPr>
          <w:p w14:paraId="5762CCC5"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66</w:t>
            </w:r>
          </w:p>
        </w:tc>
        <w:tc>
          <w:tcPr>
            <w:tcW w:w="993" w:type="dxa"/>
            <w:tcBorders>
              <w:top w:val="nil"/>
              <w:left w:val="nil"/>
              <w:bottom w:val="single" w:sz="4" w:space="0" w:color="000000"/>
              <w:right w:val="single" w:sz="4" w:space="0" w:color="000000"/>
            </w:tcBorders>
            <w:shd w:val="clear" w:color="auto" w:fill="DDEBF7"/>
            <w:vAlign w:val="center"/>
          </w:tcPr>
          <w:p w14:paraId="04567F88"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2413" w:type="dxa"/>
            <w:tcBorders>
              <w:top w:val="nil"/>
              <w:left w:val="nil"/>
              <w:bottom w:val="single" w:sz="4" w:space="0" w:color="000000"/>
              <w:right w:val="single" w:sz="4" w:space="0" w:color="000000"/>
            </w:tcBorders>
            <w:shd w:val="clear" w:color="auto" w:fill="DDEBF7"/>
            <w:vAlign w:val="center"/>
          </w:tcPr>
          <w:p w14:paraId="05672F58" w14:textId="77777777" w:rsidR="0037473B" w:rsidRPr="002631FC" w:rsidRDefault="000C6205">
            <w:pPr>
              <w:spacing w:after="0" w:line="240" w:lineRule="auto"/>
              <w:jc w:val="center"/>
              <w:rPr>
                <w:rFonts w:ascii="Arial" w:eastAsia="Arial" w:hAnsi="Arial" w:cs="Arial"/>
                <w:sz w:val="20"/>
                <w:szCs w:val="20"/>
              </w:rPr>
            </w:pPr>
            <w:r w:rsidRPr="002631FC">
              <w:rPr>
                <w:rFonts w:ascii="Arial" w:eastAsia="Arial" w:hAnsi="Arial" w:cs="Arial"/>
                <w:sz w:val="20"/>
                <w:szCs w:val="20"/>
              </w:rPr>
              <w:t>GGAAGUUGUGUCUUAAUGUUACGUAAGUAACAG</w:t>
            </w:r>
          </w:p>
          <w:p w14:paraId="628FF984" w14:textId="77777777" w:rsidR="0037473B" w:rsidRPr="002631FC" w:rsidRDefault="000C6205">
            <w:pPr>
              <w:spacing w:after="0" w:line="240" w:lineRule="auto"/>
              <w:jc w:val="center"/>
              <w:rPr>
                <w:rFonts w:ascii="Arial" w:eastAsia="Arial" w:hAnsi="Arial" w:cs="Arial"/>
                <w:sz w:val="20"/>
                <w:szCs w:val="20"/>
              </w:rPr>
            </w:pPr>
            <w:r w:rsidRPr="002631FC">
              <w:rPr>
                <w:rFonts w:ascii="Arial" w:eastAsia="Arial" w:hAnsi="Arial" w:cs="Arial"/>
                <w:sz w:val="20"/>
                <w:szCs w:val="20"/>
              </w:rPr>
              <w:t>AUGGAAUUGGUUGAAGUAUGAGACCGCAACUUA</w:t>
            </w:r>
          </w:p>
        </w:tc>
        <w:tc>
          <w:tcPr>
            <w:tcW w:w="989" w:type="dxa"/>
            <w:tcBorders>
              <w:top w:val="nil"/>
              <w:left w:val="nil"/>
              <w:bottom w:val="single" w:sz="4" w:space="0" w:color="000000"/>
              <w:right w:val="single" w:sz="4" w:space="0" w:color="000000"/>
            </w:tcBorders>
            <w:shd w:val="clear" w:color="auto" w:fill="DDEBF7"/>
            <w:vAlign w:val="center"/>
          </w:tcPr>
          <w:p w14:paraId="48641FC9"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DDEBF7"/>
            <w:vAlign w:val="center"/>
          </w:tcPr>
          <w:p w14:paraId="44242BE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IVT</w:t>
            </w:r>
          </w:p>
        </w:tc>
        <w:tc>
          <w:tcPr>
            <w:tcW w:w="2268" w:type="dxa"/>
            <w:tcBorders>
              <w:top w:val="nil"/>
              <w:left w:val="nil"/>
              <w:bottom w:val="single" w:sz="4" w:space="0" w:color="000000"/>
              <w:right w:val="single" w:sz="8" w:space="0" w:color="000000"/>
            </w:tcBorders>
            <w:shd w:val="clear" w:color="auto" w:fill="DDEBF7"/>
            <w:vAlign w:val="center"/>
          </w:tcPr>
          <w:p w14:paraId="3AB4F42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Olea et al 2016</w:t>
            </w:r>
          </w:p>
        </w:tc>
      </w:tr>
      <w:tr w:rsidR="0037473B" w14:paraId="65389DC3" w14:textId="77777777" w:rsidTr="002631FC">
        <w:trPr>
          <w:trHeight w:val="308"/>
        </w:trPr>
        <w:tc>
          <w:tcPr>
            <w:tcW w:w="887" w:type="dxa"/>
            <w:tcBorders>
              <w:top w:val="nil"/>
              <w:left w:val="single" w:sz="8" w:space="0" w:color="000000"/>
              <w:bottom w:val="single" w:sz="4" w:space="0" w:color="000000"/>
              <w:right w:val="single" w:sz="4" w:space="0" w:color="000000"/>
            </w:tcBorders>
            <w:shd w:val="clear" w:color="auto" w:fill="9BC2E6"/>
            <w:vAlign w:val="center"/>
          </w:tcPr>
          <w:p w14:paraId="617B8BB5"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rt-A-short</w:t>
            </w:r>
          </w:p>
        </w:tc>
        <w:tc>
          <w:tcPr>
            <w:tcW w:w="804" w:type="dxa"/>
            <w:tcBorders>
              <w:top w:val="nil"/>
              <w:left w:val="nil"/>
              <w:bottom w:val="single" w:sz="4" w:space="0" w:color="000000"/>
              <w:right w:val="single" w:sz="4" w:space="0" w:color="000000"/>
            </w:tcBorders>
            <w:shd w:val="clear" w:color="auto" w:fill="9BC2E6"/>
            <w:vAlign w:val="center"/>
          </w:tcPr>
          <w:p w14:paraId="5BAB7FB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10</w:t>
            </w:r>
          </w:p>
        </w:tc>
        <w:tc>
          <w:tcPr>
            <w:tcW w:w="993" w:type="dxa"/>
            <w:tcBorders>
              <w:top w:val="nil"/>
              <w:left w:val="nil"/>
              <w:bottom w:val="single" w:sz="4" w:space="0" w:color="000000"/>
              <w:right w:val="single" w:sz="4" w:space="0" w:color="000000"/>
            </w:tcBorders>
            <w:shd w:val="clear" w:color="auto" w:fill="9BC2E6"/>
            <w:vAlign w:val="center"/>
          </w:tcPr>
          <w:p w14:paraId="5D4F449A"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2413" w:type="dxa"/>
            <w:tcBorders>
              <w:top w:val="nil"/>
              <w:left w:val="nil"/>
              <w:bottom w:val="single" w:sz="4" w:space="0" w:color="000000"/>
              <w:right w:val="single" w:sz="4" w:space="0" w:color="000000"/>
            </w:tcBorders>
            <w:shd w:val="clear" w:color="auto" w:fill="9BC2E6"/>
            <w:vAlign w:val="center"/>
          </w:tcPr>
          <w:p w14:paraId="4507BFD5"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GGUCUCAUAU</w:t>
            </w:r>
          </w:p>
        </w:tc>
        <w:tc>
          <w:tcPr>
            <w:tcW w:w="989" w:type="dxa"/>
            <w:tcBorders>
              <w:top w:val="nil"/>
              <w:left w:val="nil"/>
              <w:bottom w:val="single" w:sz="4" w:space="0" w:color="000000"/>
              <w:right w:val="single" w:sz="4" w:space="0" w:color="000000"/>
            </w:tcBorders>
            <w:shd w:val="clear" w:color="auto" w:fill="9BC2E6"/>
            <w:vAlign w:val="center"/>
          </w:tcPr>
          <w:p w14:paraId="555719D5"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w:t>
            </w:r>
          </w:p>
        </w:tc>
        <w:tc>
          <w:tcPr>
            <w:tcW w:w="992" w:type="dxa"/>
            <w:tcBorders>
              <w:top w:val="nil"/>
              <w:left w:val="nil"/>
              <w:bottom w:val="single" w:sz="4" w:space="0" w:color="000000"/>
              <w:right w:val="single" w:sz="4" w:space="0" w:color="000000"/>
            </w:tcBorders>
            <w:shd w:val="clear" w:color="auto" w:fill="9BC2E6"/>
            <w:vAlign w:val="center"/>
          </w:tcPr>
          <w:p w14:paraId="0986D6DA"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IDT</w:t>
            </w:r>
          </w:p>
        </w:tc>
        <w:tc>
          <w:tcPr>
            <w:tcW w:w="2268" w:type="dxa"/>
            <w:tcBorders>
              <w:top w:val="nil"/>
              <w:left w:val="nil"/>
              <w:bottom w:val="single" w:sz="4" w:space="0" w:color="000000"/>
              <w:right w:val="single" w:sz="8" w:space="0" w:color="000000"/>
            </w:tcBorders>
            <w:shd w:val="clear" w:color="auto" w:fill="9BC2E6"/>
            <w:vAlign w:val="center"/>
          </w:tcPr>
          <w:p w14:paraId="14ED0DD7"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Olea et al 2016</w:t>
            </w:r>
          </w:p>
        </w:tc>
      </w:tr>
      <w:tr w:rsidR="0037473B" w14:paraId="7B4F4E87" w14:textId="77777777" w:rsidTr="002631FC">
        <w:trPr>
          <w:trHeight w:val="308"/>
        </w:trPr>
        <w:tc>
          <w:tcPr>
            <w:tcW w:w="887" w:type="dxa"/>
            <w:tcBorders>
              <w:top w:val="nil"/>
              <w:left w:val="single" w:sz="8" w:space="0" w:color="000000"/>
              <w:bottom w:val="single" w:sz="4" w:space="0" w:color="000000"/>
              <w:right w:val="single" w:sz="4" w:space="0" w:color="000000"/>
            </w:tcBorders>
            <w:shd w:val="clear" w:color="auto" w:fill="DDEBF7"/>
            <w:vAlign w:val="center"/>
          </w:tcPr>
          <w:p w14:paraId="48092592"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FQ-B</w:t>
            </w:r>
          </w:p>
        </w:tc>
        <w:tc>
          <w:tcPr>
            <w:tcW w:w="804" w:type="dxa"/>
            <w:tcBorders>
              <w:top w:val="nil"/>
              <w:left w:val="nil"/>
              <w:bottom w:val="single" w:sz="4" w:space="0" w:color="000000"/>
              <w:right w:val="single" w:sz="4" w:space="0" w:color="000000"/>
            </w:tcBorders>
            <w:shd w:val="clear" w:color="auto" w:fill="DDEBF7"/>
            <w:vAlign w:val="center"/>
          </w:tcPr>
          <w:p w14:paraId="21F322D0"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19</w:t>
            </w:r>
          </w:p>
        </w:tc>
        <w:tc>
          <w:tcPr>
            <w:tcW w:w="993" w:type="dxa"/>
            <w:tcBorders>
              <w:top w:val="nil"/>
              <w:left w:val="nil"/>
              <w:bottom w:val="single" w:sz="4" w:space="0" w:color="000000"/>
              <w:right w:val="single" w:sz="4" w:space="0" w:color="000000"/>
            </w:tcBorders>
            <w:shd w:val="clear" w:color="auto" w:fill="DDEBF7"/>
            <w:vAlign w:val="center"/>
          </w:tcPr>
          <w:p w14:paraId="078B5810"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TAMRA-C6-TP**</w:t>
            </w:r>
          </w:p>
        </w:tc>
        <w:tc>
          <w:tcPr>
            <w:tcW w:w="2413" w:type="dxa"/>
            <w:tcBorders>
              <w:top w:val="nil"/>
              <w:left w:val="nil"/>
              <w:bottom w:val="single" w:sz="4" w:space="0" w:color="000000"/>
              <w:right w:val="single" w:sz="4" w:space="0" w:color="000000"/>
            </w:tcBorders>
            <w:shd w:val="clear" w:color="auto" w:fill="DDEBF7"/>
            <w:vAlign w:val="center"/>
          </w:tcPr>
          <w:p w14:paraId="07BE10C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GAGACCGCAACUUACACAU</w:t>
            </w:r>
          </w:p>
        </w:tc>
        <w:tc>
          <w:tcPr>
            <w:tcW w:w="989" w:type="dxa"/>
            <w:tcBorders>
              <w:top w:val="nil"/>
              <w:left w:val="nil"/>
              <w:bottom w:val="single" w:sz="4" w:space="0" w:color="000000"/>
              <w:right w:val="single" w:sz="4" w:space="0" w:color="000000"/>
            </w:tcBorders>
            <w:shd w:val="clear" w:color="auto" w:fill="DDEBF7"/>
            <w:vAlign w:val="center"/>
          </w:tcPr>
          <w:p w14:paraId="2195F676"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BHQ2</w:t>
            </w:r>
          </w:p>
        </w:tc>
        <w:tc>
          <w:tcPr>
            <w:tcW w:w="992" w:type="dxa"/>
            <w:tcBorders>
              <w:top w:val="nil"/>
              <w:left w:val="nil"/>
              <w:bottom w:val="single" w:sz="4" w:space="0" w:color="000000"/>
              <w:right w:val="single" w:sz="4" w:space="0" w:color="000000"/>
            </w:tcBorders>
            <w:shd w:val="clear" w:color="auto" w:fill="DDEBF7"/>
            <w:vAlign w:val="center"/>
          </w:tcPr>
          <w:p w14:paraId="111CDCB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IVT + Ligation</w:t>
            </w:r>
          </w:p>
        </w:tc>
        <w:tc>
          <w:tcPr>
            <w:tcW w:w="2268" w:type="dxa"/>
            <w:tcBorders>
              <w:top w:val="nil"/>
              <w:left w:val="nil"/>
              <w:bottom w:val="single" w:sz="4" w:space="0" w:color="000000"/>
              <w:right w:val="single" w:sz="8" w:space="0" w:color="000000"/>
            </w:tcBorders>
            <w:shd w:val="clear" w:color="auto" w:fill="DDEBF7"/>
            <w:vAlign w:val="center"/>
          </w:tcPr>
          <w:p w14:paraId="1B4D30A1"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Olea et al 2016</w:t>
            </w:r>
          </w:p>
        </w:tc>
      </w:tr>
      <w:tr w:rsidR="0037473B" w14:paraId="599CEB26" w14:textId="77777777" w:rsidTr="002631FC">
        <w:trPr>
          <w:trHeight w:val="324"/>
        </w:trPr>
        <w:tc>
          <w:tcPr>
            <w:tcW w:w="887" w:type="dxa"/>
            <w:tcBorders>
              <w:top w:val="nil"/>
              <w:left w:val="single" w:sz="8" w:space="0" w:color="000000"/>
              <w:bottom w:val="single" w:sz="8" w:space="0" w:color="000000"/>
              <w:right w:val="single" w:sz="4" w:space="0" w:color="000000"/>
            </w:tcBorders>
            <w:shd w:val="clear" w:color="auto" w:fill="9BC2E6"/>
            <w:vAlign w:val="center"/>
          </w:tcPr>
          <w:p w14:paraId="2C847A2B"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Penta-BHQ2</w:t>
            </w:r>
          </w:p>
        </w:tc>
        <w:tc>
          <w:tcPr>
            <w:tcW w:w="804" w:type="dxa"/>
            <w:tcBorders>
              <w:top w:val="nil"/>
              <w:left w:val="nil"/>
              <w:bottom w:val="single" w:sz="8" w:space="0" w:color="000000"/>
              <w:right w:val="single" w:sz="4" w:space="0" w:color="000000"/>
            </w:tcBorders>
            <w:shd w:val="clear" w:color="auto" w:fill="9BC2E6"/>
            <w:vAlign w:val="center"/>
          </w:tcPr>
          <w:p w14:paraId="714F9777"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5</w:t>
            </w:r>
          </w:p>
        </w:tc>
        <w:tc>
          <w:tcPr>
            <w:tcW w:w="993" w:type="dxa"/>
            <w:tcBorders>
              <w:top w:val="nil"/>
              <w:left w:val="nil"/>
              <w:bottom w:val="single" w:sz="8" w:space="0" w:color="000000"/>
              <w:right w:val="single" w:sz="4" w:space="0" w:color="000000"/>
            </w:tcBorders>
            <w:shd w:val="clear" w:color="auto" w:fill="9BC2E6"/>
            <w:vAlign w:val="center"/>
          </w:tcPr>
          <w:p w14:paraId="157293E3"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P**</w:t>
            </w:r>
          </w:p>
        </w:tc>
        <w:tc>
          <w:tcPr>
            <w:tcW w:w="2413" w:type="dxa"/>
            <w:tcBorders>
              <w:top w:val="nil"/>
              <w:left w:val="nil"/>
              <w:bottom w:val="single" w:sz="8" w:space="0" w:color="000000"/>
              <w:right w:val="single" w:sz="4" w:space="0" w:color="000000"/>
            </w:tcBorders>
            <w:shd w:val="clear" w:color="auto" w:fill="9BC2E6"/>
            <w:vAlign w:val="center"/>
          </w:tcPr>
          <w:p w14:paraId="67A0356B"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CACAU</w:t>
            </w:r>
          </w:p>
        </w:tc>
        <w:tc>
          <w:tcPr>
            <w:tcW w:w="989" w:type="dxa"/>
            <w:tcBorders>
              <w:top w:val="nil"/>
              <w:left w:val="nil"/>
              <w:bottom w:val="single" w:sz="8" w:space="0" w:color="000000"/>
              <w:right w:val="single" w:sz="4" w:space="0" w:color="000000"/>
            </w:tcBorders>
            <w:shd w:val="clear" w:color="auto" w:fill="9BC2E6"/>
            <w:vAlign w:val="center"/>
          </w:tcPr>
          <w:p w14:paraId="082E2E6E"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BHQ2</w:t>
            </w:r>
          </w:p>
        </w:tc>
        <w:tc>
          <w:tcPr>
            <w:tcW w:w="992" w:type="dxa"/>
            <w:tcBorders>
              <w:top w:val="nil"/>
              <w:left w:val="nil"/>
              <w:bottom w:val="single" w:sz="8" w:space="0" w:color="000000"/>
              <w:right w:val="single" w:sz="4" w:space="0" w:color="000000"/>
            </w:tcBorders>
            <w:shd w:val="clear" w:color="auto" w:fill="9BC2E6"/>
            <w:vAlign w:val="center"/>
          </w:tcPr>
          <w:p w14:paraId="6EB7DC4B"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IDT</w:t>
            </w:r>
          </w:p>
        </w:tc>
        <w:tc>
          <w:tcPr>
            <w:tcW w:w="2268" w:type="dxa"/>
            <w:tcBorders>
              <w:top w:val="nil"/>
              <w:left w:val="nil"/>
              <w:bottom w:val="single" w:sz="8" w:space="0" w:color="000000"/>
              <w:right w:val="single" w:sz="8" w:space="0" w:color="000000"/>
            </w:tcBorders>
            <w:shd w:val="clear" w:color="auto" w:fill="9BC2E6"/>
            <w:vAlign w:val="center"/>
          </w:tcPr>
          <w:p w14:paraId="1E8B1B24" w14:textId="77777777" w:rsidR="0037473B" w:rsidRPr="002631FC" w:rsidRDefault="000C6205">
            <w:pPr>
              <w:spacing w:after="0" w:line="240" w:lineRule="auto"/>
              <w:jc w:val="center"/>
              <w:rPr>
                <w:rFonts w:ascii="Arial" w:eastAsia="Arial" w:hAnsi="Arial" w:cs="Arial"/>
                <w:color w:val="000000"/>
                <w:sz w:val="20"/>
                <w:szCs w:val="20"/>
              </w:rPr>
            </w:pPr>
            <w:r w:rsidRPr="002631FC">
              <w:rPr>
                <w:rFonts w:ascii="Arial" w:eastAsia="Arial" w:hAnsi="Arial" w:cs="Arial"/>
                <w:color w:val="000000"/>
                <w:sz w:val="20"/>
                <w:szCs w:val="20"/>
              </w:rPr>
              <w:t xml:space="preserve"> - this paper - </w:t>
            </w:r>
          </w:p>
        </w:tc>
      </w:tr>
      <w:tr w:rsidR="0037473B" w14:paraId="743F5CBA" w14:textId="77777777" w:rsidTr="002631FC">
        <w:trPr>
          <w:trHeight w:val="86"/>
        </w:trPr>
        <w:tc>
          <w:tcPr>
            <w:tcW w:w="5097" w:type="dxa"/>
            <w:gridSpan w:val="4"/>
            <w:tcBorders>
              <w:top w:val="nil"/>
              <w:left w:val="nil"/>
              <w:bottom w:val="nil"/>
              <w:right w:val="nil"/>
            </w:tcBorders>
            <w:shd w:val="clear" w:color="auto" w:fill="auto"/>
            <w:vAlign w:val="center"/>
          </w:tcPr>
          <w:p w14:paraId="73F5FE0C" w14:textId="77777777" w:rsidR="0037473B" w:rsidRDefault="000C6205">
            <w:pPr>
              <w:spacing w:after="0" w:line="240" w:lineRule="auto"/>
              <w:rPr>
                <w:rFonts w:ascii="Arial" w:eastAsia="Arial" w:hAnsi="Arial" w:cs="Arial"/>
                <w:sz w:val="20"/>
                <w:szCs w:val="20"/>
              </w:rPr>
            </w:pPr>
            <w:r>
              <w:rPr>
                <w:rFonts w:ascii="Arial" w:eastAsia="Arial" w:hAnsi="Arial" w:cs="Arial"/>
                <w:sz w:val="20"/>
                <w:szCs w:val="20"/>
              </w:rPr>
              <w:t xml:space="preserve">* Bases in bold red color are substitution mutations that render the sequences catalytically inactive. </w:t>
            </w:r>
          </w:p>
          <w:p w14:paraId="3F200C1E" w14:textId="77777777" w:rsidR="0037473B" w:rsidRDefault="000C6205">
            <w:pPr>
              <w:spacing w:after="0" w:line="240" w:lineRule="auto"/>
              <w:rPr>
                <w:rFonts w:ascii="Arial" w:eastAsia="Arial" w:hAnsi="Arial" w:cs="Arial"/>
                <w:sz w:val="20"/>
                <w:szCs w:val="20"/>
              </w:rPr>
            </w:pPr>
            <w:r>
              <w:rPr>
                <w:rFonts w:ascii="Arial" w:eastAsia="Arial" w:hAnsi="Arial" w:cs="Arial"/>
                <w:sz w:val="20"/>
                <w:szCs w:val="20"/>
              </w:rPr>
              <w:t>** P = phosphate, TP = triphosphate</w:t>
            </w:r>
          </w:p>
        </w:tc>
        <w:tc>
          <w:tcPr>
            <w:tcW w:w="989" w:type="dxa"/>
            <w:tcBorders>
              <w:top w:val="nil"/>
              <w:left w:val="nil"/>
              <w:bottom w:val="nil"/>
              <w:right w:val="nil"/>
            </w:tcBorders>
            <w:shd w:val="clear" w:color="auto" w:fill="auto"/>
            <w:vAlign w:val="center"/>
          </w:tcPr>
          <w:p w14:paraId="4B7DBB2E" w14:textId="77777777" w:rsidR="0037473B" w:rsidRDefault="0037473B">
            <w:pPr>
              <w:spacing w:after="0" w:line="240" w:lineRule="auto"/>
              <w:rPr>
                <w:rFonts w:ascii="Arial" w:eastAsia="Arial" w:hAnsi="Arial" w:cs="Arial"/>
                <w:sz w:val="20"/>
                <w:szCs w:val="20"/>
              </w:rPr>
            </w:pPr>
          </w:p>
        </w:tc>
        <w:tc>
          <w:tcPr>
            <w:tcW w:w="992" w:type="dxa"/>
            <w:tcBorders>
              <w:top w:val="nil"/>
              <w:left w:val="nil"/>
              <w:bottom w:val="nil"/>
              <w:right w:val="nil"/>
            </w:tcBorders>
            <w:shd w:val="clear" w:color="auto" w:fill="auto"/>
            <w:vAlign w:val="center"/>
          </w:tcPr>
          <w:p w14:paraId="3182BD36" w14:textId="77777777" w:rsidR="0037473B" w:rsidRDefault="0037473B">
            <w:pPr>
              <w:spacing w:after="0" w:line="240" w:lineRule="auto"/>
              <w:jc w:val="center"/>
              <w:rPr>
                <w:rFonts w:ascii="Arial" w:eastAsia="Arial" w:hAnsi="Arial" w:cs="Arial"/>
                <w:sz w:val="20"/>
                <w:szCs w:val="20"/>
              </w:rPr>
            </w:pPr>
          </w:p>
        </w:tc>
        <w:tc>
          <w:tcPr>
            <w:tcW w:w="2268" w:type="dxa"/>
            <w:tcBorders>
              <w:top w:val="nil"/>
              <w:left w:val="nil"/>
              <w:bottom w:val="nil"/>
              <w:right w:val="nil"/>
            </w:tcBorders>
            <w:shd w:val="clear" w:color="auto" w:fill="auto"/>
            <w:vAlign w:val="center"/>
          </w:tcPr>
          <w:p w14:paraId="7FA190DD" w14:textId="77777777" w:rsidR="0037473B" w:rsidRDefault="0037473B">
            <w:pPr>
              <w:spacing w:after="0" w:line="240" w:lineRule="auto"/>
              <w:jc w:val="center"/>
              <w:rPr>
                <w:rFonts w:ascii="Arial" w:eastAsia="Arial" w:hAnsi="Arial" w:cs="Arial"/>
                <w:sz w:val="20"/>
                <w:szCs w:val="20"/>
              </w:rPr>
            </w:pPr>
          </w:p>
        </w:tc>
      </w:tr>
    </w:tbl>
    <w:p w14:paraId="3DD541E2" w14:textId="77777777" w:rsidR="004A0720" w:rsidRDefault="004A0720">
      <w:pPr>
        <w:rPr>
          <w:rFonts w:ascii="Arial" w:eastAsia="Arial" w:hAnsi="Arial" w:cs="Arial"/>
          <w:sz w:val="24"/>
          <w:szCs w:val="24"/>
        </w:rPr>
      </w:pPr>
    </w:p>
    <w:p w14:paraId="394D4DC0" w14:textId="77777777" w:rsidR="0037473B" w:rsidRDefault="004A0720">
      <w:pPr>
        <w:rPr>
          <w:rFonts w:ascii="Arial" w:eastAsia="Arial" w:hAnsi="Arial" w:cs="Arial"/>
          <w:sz w:val="24"/>
          <w:szCs w:val="24"/>
        </w:rPr>
      </w:pPr>
      <w:r>
        <w:rPr>
          <w:rFonts w:ascii="Arial" w:eastAsia="Arial" w:hAnsi="Arial" w:cs="Arial"/>
          <w:sz w:val="24"/>
          <w:szCs w:val="24"/>
        </w:rPr>
        <w:br w:type="page"/>
      </w:r>
    </w:p>
    <w:p w14:paraId="25A97598" w14:textId="3124DCD5" w:rsidR="00D24826" w:rsidRDefault="00342873" w:rsidP="00342873">
      <w:pPr>
        <w:pStyle w:val="Heading1"/>
        <w:rPr>
          <w:rFonts w:ascii="Arial" w:hAnsi="Arial" w:cs="Arial"/>
          <w:sz w:val="28"/>
        </w:rPr>
      </w:pPr>
      <w:bookmarkStart w:id="3" w:name="_Toc112772051"/>
      <w:r w:rsidRPr="004A0720">
        <w:rPr>
          <w:rFonts w:ascii="Arial" w:hAnsi="Arial" w:cs="Arial"/>
          <w:sz w:val="28"/>
        </w:rPr>
        <w:lastRenderedPageBreak/>
        <w:t xml:space="preserve">Supplementary </w:t>
      </w:r>
      <w:r>
        <w:rPr>
          <w:rFonts w:ascii="Arial" w:hAnsi="Arial" w:cs="Arial"/>
          <w:sz w:val="28"/>
        </w:rPr>
        <w:t>Figures</w:t>
      </w:r>
      <w:bookmarkEnd w:id="3"/>
    </w:p>
    <w:p w14:paraId="6E38B111" w14:textId="77777777" w:rsidR="00342873" w:rsidRPr="00342873" w:rsidRDefault="00342873" w:rsidP="00342873"/>
    <w:p w14:paraId="347CDAE0" w14:textId="24F58C76" w:rsidR="00342873" w:rsidRDefault="00342873" w:rsidP="00D24826">
      <w:pPr>
        <w:jc w:val="center"/>
        <w:rPr>
          <w:rFonts w:ascii="Arial" w:eastAsia="Arial" w:hAnsi="Arial" w:cs="Arial"/>
          <w:sz w:val="24"/>
          <w:szCs w:val="24"/>
        </w:rPr>
      </w:pPr>
      <w:r>
        <w:rPr>
          <w:rFonts w:ascii="Arial" w:eastAsia="Arial" w:hAnsi="Arial" w:cs="Arial"/>
          <w:noProof/>
          <w:sz w:val="24"/>
          <w:szCs w:val="24"/>
        </w:rPr>
        <w:drawing>
          <wp:inline distT="0" distB="0" distL="0" distR="0" wp14:anchorId="7B1A4742" wp14:editId="4508C897">
            <wp:extent cx="5760720" cy="35585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760720" cy="3558540"/>
                    </a:xfrm>
                    <a:prstGeom prst="rect">
                      <a:avLst/>
                    </a:prstGeom>
                    <a:noFill/>
                    <a:ln>
                      <a:noFill/>
                    </a:ln>
                  </pic:spPr>
                </pic:pic>
              </a:graphicData>
            </a:graphic>
          </wp:inline>
        </w:drawing>
      </w:r>
    </w:p>
    <w:p w14:paraId="711118D7" w14:textId="77777777" w:rsidR="004A0720" w:rsidRPr="004A0720" w:rsidRDefault="000C6205" w:rsidP="004A0720">
      <w:pPr>
        <w:pStyle w:val="Heading2"/>
        <w:rPr>
          <w:rFonts w:ascii="Arial" w:hAnsi="Arial" w:cs="Arial"/>
          <w:sz w:val="20"/>
          <w:szCs w:val="20"/>
        </w:rPr>
      </w:pPr>
      <w:bookmarkStart w:id="4" w:name="_Toc112772052"/>
      <w:r w:rsidRPr="004A0720">
        <w:rPr>
          <w:rFonts w:ascii="Arial" w:hAnsi="Arial" w:cs="Arial"/>
          <w:sz w:val="20"/>
          <w:szCs w:val="20"/>
        </w:rPr>
        <w:t>Supplementary Figure 1:</w:t>
      </w:r>
      <w:r w:rsidR="004A0720">
        <w:rPr>
          <w:rFonts w:ascii="Arial" w:hAnsi="Arial" w:cs="Arial"/>
          <w:sz w:val="20"/>
          <w:szCs w:val="20"/>
        </w:rPr>
        <w:t xml:space="preserve"> </w:t>
      </w:r>
      <w:r>
        <w:rPr>
          <w:rFonts w:ascii="Arial" w:eastAsia="Arial" w:hAnsi="Arial" w:cs="Arial"/>
          <w:sz w:val="20"/>
          <w:szCs w:val="20"/>
        </w:rPr>
        <w:t>Secondary structures of RNA systems used in the study.</w:t>
      </w:r>
      <w:bookmarkEnd w:id="4"/>
      <w:r>
        <w:rPr>
          <w:rFonts w:ascii="Arial" w:eastAsia="Arial" w:hAnsi="Arial" w:cs="Arial"/>
          <w:sz w:val="20"/>
          <w:szCs w:val="20"/>
        </w:rPr>
        <w:t xml:space="preserve"> </w:t>
      </w:r>
    </w:p>
    <w:p w14:paraId="37F2DB07" w14:textId="77777777" w:rsidR="0037473B" w:rsidRPr="004A0720" w:rsidRDefault="000C6205" w:rsidP="002631FC">
      <w:pPr>
        <w:spacing w:after="0"/>
        <w:jc w:val="both"/>
        <w:rPr>
          <w:rFonts w:ascii="Arial" w:eastAsia="Arial" w:hAnsi="Arial" w:cs="Arial"/>
          <w:b/>
          <w:sz w:val="20"/>
          <w:szCs w:val="20"/>
        </w:rPr>
      </w:pPr>
      <w:r>
        <w:rPr>
          <w:rFonts w:ascii="Arial" w:eastAsia="Arial" w:hAnsi="Arial" w:cs="Arial"/>
          <w:b/>
          <w:sz w:val="20"/>
          <w:szCs w:val="20"/>
        </w:rPr>
        <w:t>a)</w:t>
      </w:r>
      <w:r>
        <w:rPr>
          <w:rFonts w:ascii="Arial" w:eastAsia="Arial" w:hAnsi="Arial" w:cs="Arial"/>
          <w:sz w:val="20"/>
          <w:szCs w:val="20"/>
        </w:rPr>
        <w:t xml:space="preserve"> The hammerhead ribozyme system shows the ribozyme in grey and the substrate in yellow. The substrate used for microscopy had a fluorophore and quencher attached to the 5’ and 3’ ends, respectively. The substrate for PAGE analysis instead only had a nucleotide linker region and fluorophore at the 5’ end. </w:t>
      </w:r>
      <w:r>
        <w:rPr>
          <w:rFonts w:ascii="Arial" w:eastAsia="Arial" w:hAnsi="Arial" w:cs="Arial"/>
          <w:b/>
          <w:sz w:val="20"/>
          <w:szCs w:val="20"/>
        </w:rPr>
        <w:t xml:space="preserve">b) </w:t>
      </w:r>
      <w:r>
        <w:rPr>
          <w:rFonts w:ascii="Arial" w:eastAsia="Arial" w:hAnsi="Arial" w:cs="Arial"/>
          <w:sz w:val="20"/>
          <w:szCs w:val="20"/>
        </w:rPr>
        <w:t xml:space="preserve">Structure of the R3C derived ligase (grey) and its modified substrate (yellow), adopted from Olea </w:t>
      </w:r>
      <w:r w:rsidR="00196849">
        <w:rPr>
          <w:rFonts w:ascii="Arial" w:eastAsia="Arial" w:hAnsi="Arial" w:cs="Arial"/>
          <w:sz w:val="20"/>
          <w:szCs w:val="20"/>
        </w:rPr>
        <w:t>and Joyce</w:t>
      </w:r>
      <w:r>
        <w:rPr>
          <w:rFonts w:ascii="Arial" w:eastAsia="Arial" w:hAnsi="Arial" w:cs="Arial"/>
          <w:sz w:val="20"/>
          <w:szCs w:val="20"/>
        </w:rPr>
        <w:t xml:space="preserve"> 2016. Ligation results in the release of the fluorophore (green) and consequent increase in fluorescence. </w:t>
      </w:r>
      <w:r>
        <w:rPr>
          <w:rFonts w:ascii="Arial" w:eastAsia="Arial" w:hAnsi="Arial" w:cs="Arial"/>
          <w:b/>
          <w:sz w:val="20"/>
          <w:szCs w:val="20"/>
        </w:rPr>
        <w:t>c)</w:t>
      </w:r>
      <w:r>
        <w:rPr>
          <w:rFonts w:ascii="Arial" w:eastAsia="Arial" w:hAnsi="Arial" w:cs="Arial"/>
          <w:sz w:val="20"/>
          <w:szCs w:val="20"/>
        </w:rPr>
        <w:t xml:space="preserve"> Structure of the R3C autocatalytic ligase </w:t>
      </w:r>
      <w:r w:rsidR="005F2E33">
        <w:rPr>
          <w:rFonts w:ascii="Arial" w:eastAsia="Arial" w:hAnsi="Arial" w:cs="Arial"/>
          <w:sz w:val="20"/>
          <w:szCs w:val="20"/>
        </w:rPr>
        <w:t xml:space="preserve">F1 </w:t>
      </w:r>
      <w:r>
        <w:rPr>
          <w:rFonts w:ascii="Arial" w:eastAsia="Arial" w:hAnsi="Arial" w:cs="Arial"/>
          <w:sz w:val="20"/>
          <w:szCs w:val="20"/>
        </w:rPr>
        <w:t>(grey) bound to its two substrates (yellow)</w:t>
      </w:r>
      <w:r w:rsidR="00196849">
        <w:rPr>
          <w:rFonts w:ascii="Arial" w:eastAsia="Arial" w:hAnsi="Arial" w:cs="Arial"/>
          <w:sz w:val="20"/>
          <w:szCs w:val="20"/>
        </w:rPr>
        <w:t>, from Robertson and Joyce 2014</w:t>
      </w:r>
      <w:r>
        <w:rPr>
          <w:rFonts w:ascii="Arial" w:eastAsia="Arial" w:hAnsi="Arial" w:cs="Arial"/>
          <w:sz w:val="20"/>
          <w:szCs w:val="20"/>
        </w:rPr>
        <w:t>. The red box indicates the base pair that was mutated</w:t>
      </w:r>
      <w:r w:rsidR="00196849">
        <w:rPr>
          <w:rFonts w:ascii="Arial" w:eastAsia="Arial" w:hAnsi="Arial" w:cs="Arial"/>
          <w:sz w:val="20"/>
          <w:szCs w:val="20"/>
        </w:rPr>
        <w:t xml:space="preserve"> in this work</w:t>
      </w:r>
      <w:r>
        <w:rPr>
          <w:rFonts w:ascii="Arial" w:eastAsia="Arial" w:hAnsi="Arial" w:cs="Arial"/>
          <w:sz w:val="20"/>
          <w:szCs w:val="20"/>
        </w:rPr>
        <w:t xml:space="preserve"> from [U-G] to [U-A] in the Cy5-A version to downregulate </w:t>
      </w:r>
      <w:r w:rsidR="001E32E4">
        <w:rPr>
          <w:rFonts w:ascii="Arial" w:eastAsia="Arial" w:hAnsi="Arial" w:cs="Arial"/>
          <w:sz w:val="20"/>
          <w:szCs w:val="20"/>
        </w:rPr>
        <w:t>background activity</w:t>
      </w:r>
      <w:r>
        <w:rPr>
          <w:rFonts w:ascii="Arial" w:eastAsia="Arial" w:hAnsi="Arial" w:cs="Arial"/>
          <w:sz w:val="20"/>
          <w:szCs w:val="20"/>
        </w:rPr>
        <w:t>.</w:t>
      </w:r>
    </w:p>
    <w:p w14:paraId="7AC97D2C" w14:textId="7D041774" w:rsidR="00342873" w:rsidRDefault="00342873">
      <w:pPr>
        <w:rPr>
          <w:rFonts w:ascii="Arial" w:eastAsia="Arial" w:hAnsi="Arial" w:cs="Arial"/>
          <w:sz w:val="20"/>
          <w:szCs w:val="20"/>
        </w:rPr>
      </w:pPr>
      <w:r>
        <w:rPr>
          <w:rFonts w:ascii="Arial" w:eastAsia="Arial" w:hAnsi="Arial" w:cs="Arial"/>
          <w:sz w:val="20"/>
          <w:szCs w:val="20"/>
        </w:rPr>
        <w:br w:type="page"/>
      </w:r>
    </w:p>
    <w:p w14:paraId="2104ABBD" w14:textId="77777777" w:rsidR="00D24826" w:rsidRDefault="00D24826">
      <w:pPr>
        <w:jc w:val="both"/>
        <w:rPr>
          <w:rFonts w:ascii="Arial" w:eastAsia="Arial" w:hAnsi="Arial" w:cs="Arial"/>
          <w:sz w:val="20"/>
          <w:szCs w:val="20"/>
        </w:rPr>
      </w:pPr>
    </w:p>
    <w:p w14:paraId="1ED3F4D3" w14:textId="77777777" w:rsidR="00D24826" w:rsidRDefault="00F357A7" w:rsidP="00D24826">
      <w:pPr>
        <w:jc w:val="center"/>
        <w:rPr>
          <w:rFonts w:ascii="Arial" w:eastAsia="Arial" w:hAnsi="Arial" w:cs="Arial"/>
          <w:b/>
          <w:sz w:val="20"/>
          <w:szCs w:val="20"/>
        </w:rPr>
      </w:pPr>
      <w:r>
        <w:rPr>
          <w:noProof/>
        </w:rPr>
        <w:drawing>
          <wp:inline distT="0" distB="0" distL="0" distR="0" wp14:anchorId="4FC0B890" wp14:editId="6998B61C">
            <wp:extent cx="5772024" cy="2004060"/>
            <wp:effectExtent l="0" t="0" r="63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72024" cy="2004060"/>
                    </a:xfrm>
                    <a:prstGeom prst="rect">
                      <a:avLst/>
                    </a:prstGeom>
                    <a:noFill/>
                    <a:ln>
                      <a:noFill/>
                    </a:ln>
                  </pic:spPr>
                </pic:pic>
              </a:graphicData>
            </a:graphic>
          </wp:inline>
        </w:drawing>
      </w:r>
    </w:p>
    <w:p w14:paraId="44641599" w14:textId="77777777" w:rsidR="009B1F9F" w:rsidRPr="009B1F9F" w:rsidRDefault="000C6205" w:rsidP="009B1F9F">
      <w:pPr>
        <w:pStyle w:val="Heading2"/>
        <w:rPr>
          <w:rFonts w:ascii="Arial" w:hAnsi="Arial" w:cs="Arial"/>
          <w:sz w:val="20"/>
          <w:szCs w:val="20"/>
        </w:rPr>
      </w:pPr>
      <w:bookmarkStart w:id="5" w:name="_Toc112772053"/>
      <w:r w:rsidRPr="009B1F9F">
        <w:rPr>
          <w:rFonts w:ascii="Arial" w:hAnsi="Arial" w:cs="Arial"/>
          <w:sz w:val="20"/>
          <w:szCs w:val="20"/>
        </w:rPr>
        <w:t xml:space="preserve">Supplementary Figure 2: Time course of hammerhead activity </w:t>
      </w:r>
      <w:r w:rsidRPr="009B1F9F">
        <w:rPr>
          <w:rFonts w:ascii="Arial" w:hAnsi="Arial" w:cs="Arial"/>
          <w:i/>
          <w:sz w:val="20"/>
          <w:szCs w:val="20"/>
        </w:rPr>
        <w:t xml:space="preserve">in vitro </w:t>
      </w:r>
      <w:r w:rsidRPr="009B1F9F">
        <w:rPr>
          <w:rFonts w:ascii="Arial" w:hAnsi="Arial" w:cs="Arial"/>
          <w:sz w:val="20"/>
          <w:szCs w:val="20"/>
        </w:rPr>
        <w:t>supplemented with sucrose.</w:t>
      </w:r>
      <w:bookmarkEnd w:id="5"/>
      <w:r w:rsidRPr="009B1F9F">
        <w:rPr>
          <w:rFonts w:ascii="Arial" w:hAnsi="Arial" w:cs="Arial"/>
          <w:sz w:val="20"/>
          <w:szCs w:val="20"/>
        </w:rPr>
        <w:t xml:space="preserve"> </w:t>
      </w:r>
    </w:p>
    <w:p w14:paraId="4E9D6B58" w14:textId="77777777" w:rsidR="001E32E4" w:rsidRDefault="002F78C5" w:rsidP="009B1F9F">
      <w:pPr>
        <w:spacing w:after="0"/>
        <w:jc w:val="both"/>
        <w:rPr>
          <w:rFonts w:ascii="Arial" w:eastAsia="Arial" w:hAnsi="Arial" w:cs="Arial"/>
          <w:sz w:val="20"/>
          <w:szCs w:val="20"/>
        </w:rPr>
      </w:pPr>
      <w:r w:rsidRPr="002F78C5">
        <w:rPr>
          <w:rFonts w:ascii="Arial" w:eastAsia="Arial" w:hAnsi="Arial" w:cs="Arial"/>
          <w:b/>
          <w:sz w:val="20"/>
          <w:szCs w:val="20"/>
        </w:rPr>
        <w:t>a)</w:t>
      </w:r>
      <w:r>
        <w:rPr>
          <w:rFonts w:ascii="Arial" w:eastAsia="Arial" w:hAnsi="Arial" w:cs="Arial"/>
          <w:sz w:val="20"/>
          <w:szCs w:val="20"/>
        </w:rPr>
        <w:t xml:space="preserve"> </w:t>
      </w:r>
      <w:r w:rsidR="000C6205">
        <w:rPr>
          <w:rFonts w:ascii="Arial" w:eastAsia="Arial" w:hAnsi="Arial" w:cs="Arial"/>
          <w:sz w:val="20"/>
          <w:szCs w:val="20"/>
        </w:rPr>
        <w:t>Gel image and of the following reaction: 2.5</w:t>
      </w:r>
      <w:r w:rsidR="00196849">
        <w:rPr>
          <w:rFonts w:ascii="Arial" w:eastAsia="Arial" w:hAnsi="Arial" w:cs="Arial"/>
          <w:sz w:val="20"/>
          <w:szCs w:val="20"/>
        </w:rPr>
        <w:t xml:space="preserve"> </w:t>
      </w:r>
      <w:r w:rsidR="000C6205">
        <w:rPr>
          <w:rFonts w:ascii="Arial" w:eastAsia="Arial" w:hAnsi="Arial" w:cs="Arial"/>
          <w:sz w:val="20"/>
          <w:szCs w:val="20"/>
        </w:rPr>
        <w:t>µM of hammerhead ribozyme was incubated with 5</w:t>
      </w:r>
      <w:r w:rsidR="00196849">
        <w:rPr>
          <w:rFonts w:ascii="Arial" w:eastAsia="Arial" w:hAnsi="Arial" w:cs="Arial"/>
          <w:sz w:val="20"/>
          <w:szCs w:val="20"/>
        </w:rPr>
        <w:t xml:space="preserve"> </w:t>
      </w:r>
      <w:r w:rsidR="000C6205">
        <w:rPr>
          <w:rFonts w:ascii="Arial" w:eastAsia="Arial" w:hAnsi="Arial" w:cs="Arial"/>
          <w:sz w:val="20"/>
          <w:szCs w:val="20"/>
        </w:rPr>
        <w:t>µM Cy5-tagged HH-substrate with 900</w:t>
      </w:r>
      <w:r w:rsidR="00196849">
        <w:rPr>
          <w:rFonts w:ascii="Arial" w:eastAsia="Arial" w:hAnsi="Arial" w:cs="Arial"/>
          <w:sz w:val="20"/>
          <w:szCs w:val="20"/>
        </w:rPr>
        <w:t xml:space="preserve"> </w:t>
      </w:r>
      <w:r w:rsidR="000C6205">
        <w:rPr>
          <w:rFonts w:ascii="Arial" w:eastAsia="Arial" w:hAnsi="Arial" w:cs="Arial"/>
          <w:sz w:val="20"/>
          <w:szCs w:val="20"/>
        </w:rPr>
        <w:t>mM sucrose, 4</w:t>
      </w:r>
      <w:r w:rsidR="00196849">
        <w:rPr>
          <w:rFonts w:ascii="Arial" w:eastAsia="Arial" w:hAnsi="Arial" w:cs="Arial"/>
          <w:sz w:val="20"/>
          <w:szCs w:val="20"/>
        </w:rPr>
        <w:t xml:space="preserve"> </w:t>
      </w:r>
      <w:r w:rsidR="000C6205">
        <w:rPr>
          <w:rFonts w:ascii="Arial" w:eastAsia="Arial" w:hAnsi="Arial" w:cs="Arial"/>
          <w:sz w:val="20"/>
          <w:szCs w:val="20"/>
        </w:rPr>
        <w:t>mM magnesium chloride and 20</w:t>
      </w:r>
      <w:r w:rsidR="00196849">
        <w:rPr>
          <w:rFonts w:ascii="Arial" w:eastAsia="Arial" w:hAnsi="Arial" w:cs="Arial"/>
          <w:sz w:val="20"/>
          <w:szCs w:val="20"/>
        </w:rPr>
        <w:t xml:space="preserve"> </w:t>
      </w:r>
      <w:r w:rsidR="000C6205">
        <w:rPr>
          <w:rFonts w:ascii="Arial" w:eastAsia="Arial" w:hAnsi="Arial" w:cs="Arial"/>
          <w:sz w:val="20"/>
          <w:szCs w:val="20"/>
        </w:rPr>
        <w:t>mM Tris-HCl pH 8.3. Samples were quenched at the indicated timepoints by the addition of 4 volumes of HH-RNA loading buffer (10</w:t>
      </w:r>
      <w:r w:rsidR="00196849">
        <w:rPr>
          <w:rFonts w:ascii="Arial" w:eastAsia="Arial" w:hAnsi="Arial" w:cs="Arial"/>
          <w:sz w:val="20"/>
          <w:szCs w:val="20"/>
        </w:rPr>
        <w:t xml:space="preserve"> </w:t>
      </w:r>
      <w:r w:rsidR="000C6205">
        <w:rPr>
          <w:rFonts w:ascii="Arial" w:eastAsia="Arial" w:hAnsi="Arial" w:cs="Arial"/>
          <w:sz w:val="20"/>
          <w:szCs w:val="20"/>
        </w:rPr>
        <w:t>mM EDTA in Formamide). Samples were heat denatured at 85</w:t>
      </w:r>
      <w:r w:rsidR="00196849">
        <w:rPr>
          <w:rFonts w:ascii="Arial" w:eastAsia="Arial" w:hAnsi="Arial" w:cs="Arial"/>
          <w:sz w:val="20"/>
          <w:szCs w:val="20"/>
        </w:rPr>
        <w:t xml:space="preserve"> </w:t>
      </w:r>
      <w:r w:rsidR="000C6205">
        <w:rPr>
          <w:rFonts w:ascii="Arial" w:eastAsia="Arial" w:hAnsi="Arial" w:cs="Arial"/>
          <w:sz w:val="20"/>
          <w:szCs w:val="20"/>
        </w:rPr>
        <w:t>°C for 5 minutes before loading onto a 20</w:t>
      </w:r>
      <w:r w:rsidR="00196849">
        <w:rPr>
          <w:rFonts w:ascii="Arial" w:eastAsia="Arial" w:hAnsi="Arial" w:cs="Arial"/>
          <w:sz w:val="20"/>
          <w:szCs w:val="20"/>
        </w:rPr>
        <w:t xml:space="preserve"> </w:t>
      </w:r>
      <w:r w:rsidR="000C6205">
        <w:rPr>
          <w:rFonts w:ascii="Arial" w:eastAsia="Arial" w:hAnsi="Arial" w:cs="Arial"/>
          <w:sz w:val="20"/>
          <w:szCs w:val="20"/>
        </w:rPr>
        <w:t xml:space="preserve">% PAGE. </w:t>
      </w:r>
      <w:r w:rsidRPr="002F78C5">
        <w:rPr>
          <w:rFonts w:ascii="Arial" w:eastAsia="Arial" w:hAnsi="Arial" w:cs="Arial"/>
          <w:b/>
          <w:sz w:val="20"/>
          <w:szCs w:val="20"/>
        </w:rPr>
        <w:t>b)</w:t>
      </w:r>
      <w:r>
        <w:rPr>
          <w:rFonts w:ascii="Arial" w:eastAsia="Arial" w:hAnsi="Arial" w:cs="Arial"/>
          <w:sz w:val="20"/>
          <w:szCs w:val="20"/>
        </w:rPr>
        <w:t xml:space="preserve"> Plot of HH-min cleavage yields from b</w:t>
      </w:r>
      <w:r w:rsidR="000C6205">
        <w:rPr>
          <w:rFonts w:ascii="Arial" w:eastAsia="Arial" w:hAnsi="Arial" w:cs="Arial"/>
          <w:sz w:val="20"/>
          <w:szCs w:val="20"/>
        </w:rPr>
        <w:t>and intensit</w:t>
      </w:r>
      <w:r>
        <w:rPr>
          <w:rFonts w:ascii="Arial" w:eastAsia="Arial" w:hAnsi="Arial" w:cs="Arial"/>
          <w:sz w:val="20"/>
          <w:szCs w:val="20"/>
        </w:rPr>
        <w:t>y</w:t>
      </w:r>
      <w:r w:rsidR="000C6205">
        <w:rPr>
          <w:rFonts w:ascii="Arial" w:eastAsia="Arial" w:hAnsi="Arial" w:cs="Arial"/>
          <w:sz w:val="20"/>
          <w:szCs w:val="20"/>
        </w:rPr>
        <w:t xml:space="preserve"> </w:t>
      </w:r>
      <w:r>
        <w:rPr>
          <w:rFonts w:ascii="Arial" w:eastAsia="Arial" w:hAnsi="Arial" w:cs="Arial"/>
          <w:sz w:val="20"/>
          <w:szCs w:val="20"/>
        </w:rPr>
        <w:t>measurements of the gel image</w:t>
      </w:r>
      <w:r w:rsidR="000C6205">
        <w:rPr>
          <w:rFonts w:ascii="Arial" w:eastAsia="Arial" w:hAnsi="Arial" w:cs="Arial"/>
          <w:sz w:val="20"/>
          <w:szCs w:val="20"/>
        </w:rPr>
        <w:t xml:space="preserve">. Data points are fitted to an exponential plateau equation. Error bars represent standard deviation (N=3). </w:t>
      </w:r>
    </w:p>
    <w:p w14:paraId="082BE3DE"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16D16769" w14:textId="77777777" w:rsidR="00D24826" w:rsidRDefault="00D24826">
      <w:pPr>
        <w:jc w:val="both"/>
        <w:rPr>
          <w:rFonts w:ascii="Arial" w:eastAsia="Arial" w:hAnsi="Arial" w:cs="Arial"/>
          <w:sz w:val="20"/>
          <w:szCs w:val="20"/>
        </w:rPr>
      </w:pPr>
    </w:p>
    <w:p w14:paraId="7A78DD9D" w14:textId="77777777" w:rsidR="0037473B" w:rsidRDefault="00F357A7">
      <w:pPr>
        <w:jc w:val="center"/>
        <w:rPr>
          <w:rFonts w:ascii="Arial" w:eastAsia="Arial" w:hAnsi="Arial" w:cs="Arial"/>
          <w:sz w:val="20"/>
          <w:szCs w:val="20"/>
        </w:rPr>
      </w:pPr>
      <w:r>
        <w:rPr>
          <w:rFonts w:ascii="Arial" w:eastAsia="Arial" w:hAnsi="Arial" w:cs="Arial"/>
          <w:noProof/>
          <w:sz w:val="20"/>
          <w:szCs w:val="20"/>
        </w:rPr>
        <w:drawing>
          <wp:inline distT="0" distB="0" distL="0" distR="0" wp14:anchorId="42924683" wp14:editId="07FB69D1">
            <wp:extent cx="5711981" cy="1737360"/>
            <wp:effectExtent l="0" t="0" r="317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29711" cy="1742753"/>
                    </a:xfrm>
                    <a:prstGeom prst="rect">
                      <a:avLst/>
                    </a:prstGeom>
                    <a:noFill/>
                    <a:ln>
                      <a:noFill/>
                    </a:ln>
                  </pic:spPr>
                </pic:pic>
              </a:graphicData>
            </a:graphic>
          </wp:inline>
        </w:drawing>
      </w:r>
    </w:p>
    <w:p w14:paraId="09DAD244" w14:textId="77777777" w:rsidR="009B1F9F" w:rsidRPr="009B1F9F" w:rsidRDefault="000C6205" w:rsidP="009B1F9F">
      <w:pPr>
        <w:pStyle w:val="Heading2"/>
        <w:rPr>
          <w:rFonts w:ascii="Arial" w:hAnsi="Arial" w:cs="Arial"/>
          <w:sz w:val="20"/>
        </w:rPr>
      </w:pPr>
      <w:bookmarkStart w:id="6" w:name="_Toc112772054"/>
      <w:r w:rsidRPr="009B1F9F">
        <w:rPr>
          <w:rFonts w:ascii="Arial" w:hAnsi="Arial" w:cs="Arial"/>
          <w:sz w:val="20"/>
        </w:rPr>
        <w:t xml:space="preserve">Supplementary Figure 3: </w:t>
      </w:r>
      <w:r w:rsidR="00643394" w:rsidRPr="009B1F9F">
        <w:rPr>
          <w:rFonts w:ascii="Arial" w:hAnsi="Arial" w:cs="Arial"/>
          <w:sz w:val="20"/>
        </w:rPr>
        <w:t>Hammerhead activity in GUVs.</w:t>
      </w:r>
      <w:bookmarkEnd w:id="6"/>
      <w:r w:rsidR="00643394" w:rsidRPr="009B1F9F">
        <w:rPr>
          <w:rFonts w:ascii="Arial" w:hAnsi="Arial" w:cs="Arial"/>
          <w:sz w:val="20"/>
        </w:rPr>
        <w:t xml:space="preserve"> </w:t>
      </w:r>
    </w:p>
    <w:p w14:paraId="2AC1227E" w14:textId="77777777" w:rsidR="0037473B" w:rsidRDefault="00643394" w:rsidP="009B1F9F">
      <w:pPr>
        <w:spacing w:after="0"/>
        <w:jc w:val="both"/>
        <w:rPr>
          <w:rFonts w:ascii="Arial" w:eastAsia="Arial" w:hAnsi="Arial" w:cs="Arial"/>
          <w:sz w:val="20"/>
          <w:szCs w:val="20"/>
        </w:rPr>
      </w:pPr>
      <w:r>
        <w:rPr>
          <w:rFonts w:ascii="Arial" w:eastAsia="Arial" w:hAnsi="Arial" w:cs="Arial"/>
          <w:b/>
          <w:sz w:val="20"/>
          <w:szCs w:val="20"/>
        </w:rPr>
        <w:t xml:space="preserve">a-b) </w:t>
      </w:r>
      <w:r w:rsidRPr="00643394">
        <w:rPr>
          <w:rFonts w:ascii="Arial" w:eastAsia="Arial" w:hAnsi="Arial" w:cs="Arial"/>
          <w:sz w:val="20"/>
          <w:szCs w:val="20"/>
        </w:rPr>
        <w:t>Control experiments of FT cycling on HH-sub cleavage with</w:t>
      </w:r>
      <w:r>
        <w:rPr>
          <w:rFonts w:ascii="Arial" w:eastAsia="Arial" w:hAnsi="Arial" w:cs="Arial"/>
          <w:sz w:val="20"/>
          <w:szCs w:val="20"/>
        </w:rPr>
        <w:t xml:space="preserve"> </w:t>
      </w:r>
      <w:r w:rsidRPr="00643394">
        <w:rPr>
          <w:rFonts w:ascii="Arial" w:eastAsia="Arial" w:hAnsi="Arial" w:cs="Arial"/>
          <w:b/>
          <w:sz w:val="20"/>
          <w:szCs w:val="20"/>
        </w:rPr>
        <w:t>a)</w:t>
      </w:r>
      <w:r w:rsidRPr="00643394">
        <w:rPr>
          <w:rFonts w:ascii="Arial" w:eastAsia="Arial" w:hAnsi="Arial" w:cs="Arial"/>
          <w:sz w:val="20"/>
          <w:szCs w:val="20"/>
        </w:rPr>
        <w:t xml:space="preserve"> empty GUVs or</w:t>
      </w:r>
      <w:r>
        <w:rPr>
          <w:rFonts w:ascii="Arial" w:eastAsia="Arial" w:hAnsi="Arial" w:cs="Arial"/>
          <w:sz w:val="20"/>
          <w:szCs w:val="20"/>
        </w:rPr>
        <w:t xml:space="preserve"> </w:t>
      </w:r>
      <w:r w:rsidRPr="00643394">
        <w:rPr>
          <w:rFonts w:ascii="Arial" w:eastAsia="Arial" w:hAnsi="Arial" w:cs="Arial"/>
          <w:b/>
          <w:sz w:val="20"/>
          <w:szCs w:val="20"/>
        </w:rPr>
        <w:t>b)</w:t>
      </w:r>
      <w:r w:rsidRPr="00643394">
        <w:rPr>
          <w:rFonts w:ascii="Arial" w:eastAsia="Arial" w:hAnsi="Arial" w:cs="Arial"/>
          <w:sz w:val="20"/>
          <w:szCs w:val="20"/>
        </w:rPr>
        <w:t xml:space="preserve"> the inactive HH-</w:t>
      </w:r>
      <w:proofErr w:type="spellStart"/>
      <w:r w:rsidRPr="00643394">
        <w:rPr>
          <w:rFonts w:ascii="Arial" w:eastAsia="Arial" w:hAnsi="Arial" w:cs="Arial"/>
          <w:sz w:val="20"/>
          <w:szCs w:val="20"/>
        </w:rPr>
        <w:t>mut</w:t>
      </w:r>
      <w:proofErr w:type="spellEnd"/>
      <w:r w:rsidRPr="00643394">
        <w:rPr>
          <w:rFonts w:ascii="Arial" w:eastAsia="Arial" w:hAnsi="Arial" w:cs="Arial"/>
          <w:sz w:val="20"/>
          <w:szCs w:val="20"/>
        </w:rPr>
        <w:t>. The lack of fluorescence increase suggests that HH-FQ-sub is not cleaved by reaction conditions or FT-cycles.</w:t>
      </w:r>
      <w:r>
        <w:rPr>
          <w:rFonts w:ascii="Arial" w:eastAsia="Arial" w:hAnsi="Arial" w:cs="Arial"/>
          <w:b/>
          <w:sz w:val="20"/>
          <w:szCs w:val="20"/>
        </w:rPr>
        <w:t xml:space="preserve"> c) </w:t>
      </w:r>
      <w:r w:rsidR="000C6205">
        <w:rPr>
          <w:rFonts w:ascii="Arial" w:eastAsia="Arial" w:hAnsi="Arial" w:cs="Arial"/>
          <w:sz w:val="20"/>
          <w:szCs w:val="20"/>
        </w:rPr>
        <w:t>GUVs encapsulating 2.5</w:t>
      </w:r>
      <w:r w:rsidR="00D61690">
        <w:rPr>
          <w:rFonts w:ascii="Arial" w:eastAsia="Arial" w:hAnsi="Arial" w:cs="Arial"/>
          <w:sz w:val="20"/>
          <w:szCs w:val="20"/>
        </w:rPr>
        <w:t xml:space="preserve"> </w:t>
      </w:r>
      <w:r w:rsidR="000C6205">
        <w:rPr>
          <w:rFonts w:ascii="Arial" w:eastAsia="Arial" w:hAnsi="Arial" w:cs="Arial"/>
          <w:sz w:val="20"/>
          <w:szCs w:val="20"/>
        </w:rPr>
        <w:t>µM Cy5-tagged HH-substrate were mixed with GUVs containing only buffer, 5</w:t>
      </w:r>
      <w:r w:rsidR="00196849">
        <w:rPr>
          <w:rFonts w:ascii="Arial" w:eastAsia="Arial" w:hAnsi="Arial" w:cs="Arial"/>
          <w:sz w:val="20"/>
          <w:szCs w:val="20"/>
        </w:rPr>
        <w:t xml:space="preserve"> </w:t>
      </w:r>
      <w:r w:rsidR="000C6205">
        <w:rPr>
          <w:rFonts w:ascii="Arial" w:eastAsia="Arial" w:hAnsi="Arial" w:cs="Arial"/>
          <w:sz w:val="20"/>
          <w:szCs w:val="20"/>
        </w:rPr>
        <w:t>µM HH-</w:t>
      </w:r>
      <w:proofErr w:type="spellStart"/>
      <w:r w:rsidR="000C6205">
        <w:rPr>
          <w:rFonts w:ascii="Arial" w:eastAsia="Arial" w:hAnsi="Arial" w:cs="Arial"/>
          <w:sz w:val="20"/>
          <w:szCs w:val="20"/>
        </w:rPr>
        <w:t>mut</w:t>
      </w:r>
      <w:proofErr w:type="spellEnd"/>
      <w:r w:rsidR="000C6205">
        <w:rPr>
          <w:rFonts w:ascii="Arial" w:eastAsia="Arial" w:hAnsi="Arial" w:cs="Arial"/>
          <w:sz w:val="20"/>
          <w:szCs w:val="20"/>
        </w:rPr>
        <w:t>, or 5</w:t>
      </w:r>
      <w:r w:rsidR="00196849">
        <w:rPr>
          <w:rFonts w:ascii="Arial" w:eastAsia="Arial" w:hAnsi="Arial" w:cs="Arial"/>
          <w:sz w:val="20"/>
          <w:szCs w:val="20"/>
        </w:rPr>
        <w:t xml:space="preserve"> </w:t>
      </w:r>
      <w:r w:rsidR="000C6205">
        <w:rPr>
          <w:rFonts w:ascii="Arial" w:eastAsia="Arial" w:hAnsi="Arial" w:cs="Arial"/>
          <w:sz w:val="20"/>
          <w:szCs w:val="20"/>
        </w:rPr>
        <w:t>µM HH-min and subjected to one freeze-thaw cycle followed by a 60-minute incubation at 37</w:t>
      </w:r>
      <w:r w:rsidR="00196849">
        <w:rPr>
          <w:rFonts w:ascii="Arial" w:eastAsia="Arial" w:hAnsi="Arial" w:cs="Arial"/>
          <w:sz w:val="20"/>
          <w:szCs w:val="20"/>
        </w:rPr>
        <w:t xml:space="preserve"> </w:t>
      </w:r>
      <w:r w:rsidR="000C6205">
        <w:rPr>
          <w:rFonts w:ascii="Arial" w:eastAsia="Arial" w:hAnsi="Arial" w:cs="Arial"/>
          <w:sz w:val="20"/>
          <w:szCs w:val="20"/>
        </w:rPr>
        <w:t>°C. Samples were washed with outer phase buffer, concentrated and quenched in 2 volumes GUV loading buffer (25</w:t>
      </w:r>
      <w:r w:rsidR="00196849">
        <w:rPr>
          <w:rFonts w:ascii="Arial" w:eastAsia="Arial" w:hAnsi="Arial" w:cs="Arial"/>
          <w:sz w:val="20"/>
          <w:szCs w:val="20"/>
        </w:rPr>
        <w:t xml:space="preserve"> </w:t>
      </w:r>
      <w:r w:rsidR="000C6205">
        <w:rPr>
          <w:rFonts w:ascii="Arial" w:eastAsia="Arial" w:hAnsi="Arial" w:cs="Arial"/>
          <w:sz w:val="20"/>
          <w:szCs w:val="20"/>
        </w:rPr>
        <w:t>mM EDTA, 0.3</w:t>
      </w:r>
      <w:r w:rsidR="00196849">
        <w:rPr>
          <w:rFonts w:ascii="Arial" w:eastAsia="Arial" w:hAnsi="Arial" w:cs="Arial"/>
          <w:sz w:val="20"/>
          <w:szCs w:val="20"/>
        </w:rPr>
        <w:t xml:space="preserve"> </w:t>
      </w:r>
      <w:r w:rsidR="000C6205">
        <w:rPr>
          <w:rFonts w:ascii="Arial" w:eastAsia="Arial" w:hAnsi="Arial" w:cs="Arial"/>
          <w:sz w:val="20"/>
          <w:szCs w:val="20"/>
        </w:rPr>
        <w:t>% Triton X-100 in Formamide). They were heat denatured at 85</w:t>
      </w:r>
      <w:r w:rsidR="00A41235">
        <w:rPr>
          <w:rFonts w:ascii="Arial" w:eastAsia="Arial" w:hAnsi="Arial" w:cs="Arial"/>
          <w:sz w:val="20"/>
          <w:szCs w:val="20"/>
        </w:rPr>
        <w:t xml:space="preserve"> </w:t>
      </w:r>
      <w:r w:rsidR="000C6205">
        <w:rPr>
          <w:rFonts w:ascii="Arial" w:eastAsia="Arial" w:hAnsi="Arial" w:cs="Arial"/>
          <w:sz w:val="20"/>
          <w:szCs w:val="20"/>
        </w:rPr>
        <w:t>°C for 5 minutes before loading onto a 20</w:t>
      </w:r>
      <w:r w:rsidR="00196849">
        <w:rPr>
          <w:rFonts w:ascii="Arial" w:eastAsia="Arial" w:hAnsi="Arial" w:cs="Arial"/>
          <w:sz w:val="20"/>
          <w:szCs w:val="20"/>
        </w:rPr>
        <w:t xml:space="preserve"> </w:t>
      </w:r>
      <w:r w:rsidR="000C6205">
        <w:rPr>
          <w:rFonts w:ascii="Arial" w:eastAsia="Arial" w:hAnsi="Arial" w:cs="Arial"/>
          <w:sz w:val="20"/>
          <w:szCs w:val="20"/>
        </w:rPr>
        <w:t>% PAGE.</w:t>
      </w:r>
      <w:r w:rsidR="001F7026">
        <w:rPr>
          <w:rFonts w:ascii="Arial" w:eastAsia="Arial" w:hAnsi="Arial" w:cs="Arial"/>
          <w:sz w:val="20"/>
          <w:szCs w:val="20"/>
        </w:rPr>
        <w:t xml:space="preserve"> All scale bars represent 10 µm.</w:t>
      </w:r>
    </w:p>
    <w:p w14:paraId="4E55008F" w14:textId="77777777" w:rsidR="00584A5F" w:rsidRDefault="00584A5F">
      <w:pPr>
        <w:rPr>
          <w:rFonts w:ascii="Arial" w:eastAsia="Arial" w:hAnsi="Arial" w:cs="Arial"/>
          <w:b/>
          <w:sz w:val="20"/>
          <w:szCs w:val="20"/>
        </w:rPr>
      </w:pPr>
      <w:r>
        <w:rPr>
          <w:rFonts w:ascii="Arial" w:eastAsia="Arial" w:hAnsi="Arial" w:cs="Arial"/>
          <w:b/>
          <w:sz w:val="20"/>
          <w:szCs w:val="20"/>
        </w:rPr>
        <w:br w:type="page"/>
      </w:r>
    </w:p>
    <w:p w14:paraId="2E033E0D" w14:textId="77777777" w:rsidR="00643394" w:rsidRDefault="00643394">
      <w:pPr>
        <w:jc w:val="both"/>
        <w:rPr>
          <w:rFonts w:ascii="Arial" w:eastAsia="Arial" w:hAnsi="Arial" w:cs="Arial"/>
          <w:b/>
          <w:sz w:val="20"/>
          <w:szCs w:val="20"/>
        </w:rPr>
      </w:pPr>
    </w:p>
    <w:p w14:paraId="4D7032DE" w14:textId="77777777" w:rsidR="00643394" w:rsidRDefault="00F357A7" w:rsidP="00384888">
      <w:pPr>
        <w:jc w:val="center"/>
        <w:rPr>
          <w:rFonts w:ascii="Arial" w:eastAsia="Arial" w:hAnsi="Arial" w:cs="Arial"/>
          <w:b/>
          <w:sz w:val="20"/>
          <w:szCs w:val="20"/>
        </w:rPr>
      </w:pPr>
      <w:r>
        <w:rPr>
          <w:noProof/>
        </w:rPr>
        <w:drawing>
          <wp:inline distT="0" distB="0" distL="0" distR="0" wp14:anchorId="425D0D88" wp14:editId="14059A05">
            <wp:extent cx="5709128" cy="3566160"/>
            <wp:effectExtent l="0" t="0" r="635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11935" cy="3567914"/>
                    </a:xfrm>
                    <a:prstGeom prst="rect">
                      <a:avLst/>
                    </a:prstGeom>
                    <a:noFill/>
                    <a:ln>
                      <a:noFill/>
                    </a:ln>
                  </pic:spPr>
                </pic:pic>
              </a:graphicData>
            </a:graphic>
          </wp:inline>
        </w:drawing>
      </w:r>
    </w:p>
    <w:p w14:paraId="645C46B0" w14:textId="77777777" w:rsidR="009B1F9F" w:rsidRPr="009B1F9F" w:rsidRDefault="00847691" w:rsidP="009B1F9F">
      <w:pPr>
        <w:pStyle w:val="Heading2"/>
        <w:rPr>
          <w:rFonts w:ascii="Arial" w:hAnsi="Arial" w:cs="Arial"/>
          <w:sz w:val="20"/>
          <w:szCs w:val="20"/>
        </w:rPr>
      </w:pPr>
      <w:bookmarkStart w:id="7" w:name="_Toc112772055"/>
      <w:r w:rsidRPr="009B1F9F">
        <w:rPr>
          <w:rFonts w:ascii="Arial" w:hAnsi="Arial" w:cs="Arial"/>
          <w:sz w:val="20"/>
          <w:szCs w:val="20"/>
        </w:rPr>
        <w:t>Supplementary Figure 4: Effect of MgCl</w:t>
      </w:r>
      <w:r w:rsidRPr="009B1F9F">
        <w:rPr>
          <w:rFonts w:ascii="Arial" w:hAnsi="Arial" w:cs="Arial"/>
          <w:sz w:val="20"/>
          <w:szCs w:val="20"/>
          <w:vertAlign w:val="subscript"/>
        </w:rPr>
        <w:t>2</w:t>
      </w:r>
      <w:r w:rsidRPr="009B1F9F">
        <w:rPr>
          <w:rFonts w:ascii="Arial" w:hAnsi="Arial" w:cs="Arial"/>
          <w:sz w:val="20"/>
          <w:szCs w:val="20"/>
        </w:rPr>
        <w:t xml:space="preserve"> on emulsion transfer GUV preparation.</w:t>
      </w:r>
      <w:bookmarkEnd w:id="7"/>
      <w:r w:rsidRPr="009B1F9F">
        <w:rPr>
          <w:rFonts w:ascii="Arial" w:hAnsi="Arial" w:cs="Arial"/>
          <w:sz w:val="20"/>
          <w:szCs w:val="20"/>
        </w:rPr>
        <w:t xml:space="preserve"> </w:t>
      </w:r>
    </w:p>
    <w:p w14:paraId="4310B830" w14:textId="77777777" w:rsidR="00D30486" w:rsidRPr="00847691" w:rsidRDefault="00847691" w:rsidP="009B1F9F">
      <w:pPr>
        <w:spacing w:after="0"/>
        <w:jc w:val="both"/>
        <w:rPr>
          <w:rFonts w:ascii="Arial" w:eastAsia="Arial" w:hAnsi="Arial" w:cs="Arial"/>
          <w:b/>
          <w:noProof/>
          <w:sz w:val="20"/>
          <w:szCs w:val="20"/>
        </w:rPr>
      </w:pPr>
      <w:r w:rsidRPr="00847691">
        <w:rPr>
          <w:rFonts w:ascii="Arial" w:hAnsi="Arial" w:cs="Arial"/>
          <w:b/>
          <w:bCs/>
          <w:sz w:val="20"/>
          <w:szCs w:val="20"/>
        </w:rPr>
        <w:t>a)</w:t>
      </w:r>
      <w:r w:rsidRPr="00847691">
        <w:rPr>
          <w:rFonts w:ascii="Arial" w:hAnsi="Arial" w:cs="Arial"/>
          <w:sz w:val="20"/>
          <w:szCs w:val="20"/>
        </w:rPr>
        <w:t xml:space="preserve"> Confocal microscopy images of GUVs encapsulating a fluorescent marker (3 µM 5’-Atto655-(CA)13-3’) prepared with increasing magnesium in the R3C buffers. </w:t>
      </w:r>
      <w:r w:rsidRPr="00847691">
        <w:rPr>
          <w:rFonts w:ascii="Arial" w:hAnsi="Arial" w:cs="Arial"/>
          <w:b/>
          <w:bCs/>
          <w:sz w:val="20"/>
          <w:szCs w:val="20"/>
        </w:rPr>
        <w:t xml:space="preserve">b) </w:t>
      </w:r>
      <w:r w:rsidRPr="00847691">
        <w:rPr>
          <w:rFonts w:ascii="Arial" w:hAnsi="Arial" w:cs="Arial"/>
          <w:sz w:val="20"/>
          <w:szCs w:val="20"/>
        </w:rPr>
        <w:t>Mean fluorescence intensities of GUVs extracted from the confocal images showing a decrease in GUV intensity with increasing magnesium concentration. We thus work in a reasonable concentration range to ensure both sufficiently high ribozyme activity and compatibility with our GUV preparation method. Scale bar represents 20 µm.</w:t>
      </w:r>
    </w:p>
    <w:p w14:paraId="7376D2A4" w14:textId="77777777" w:rsidR="00584A5F" w:rsidRDefault="00584A5F">
      <w:pPr>
        <w:rPr>
          <w:rFonts w:ascii="Arial" w:eastAsia="Arial" w:hAnsi="Arial" w:cs="Arial"/>
          <w:b/>
          <w:sz w:val="20"/>
          <w:szCs w:val="20"/>
        </w:rPr>
      </w:pPr>
      <w:r>
        <w:rPr>
          <w:rFonts w:ascii="Arial" w:eastAsia="Arial" w:hAnsi="Arial" w:cs="Arial"/>
          <w:b/>
          <w:sz w:val="20"/>
          <w:szCs w:val="20"/>
        </w:rPr>
        <w:br w:type="page"/>
      </w:r>
    </w:p>
    <w:p w14:paraId="307BC92D" w14:textId="77777777" w:rsidR="00D30486" w:rsidRDefault="00D30486">
      <w:pPr>
        <w:jc w:val="both"/>
        <w:rPr>
          <w:rFonts w:ascii="Arial" w:eastAsia="Arial" w:hAnsi="Arial" w:cs="Arial"/>
          <w:b/>
          <w:sz w:val="20"/>
          <w:szCs w:val="20"/>
        </w:rPr>
      </w:pPr>
    </w:p>
    <w:p w14:paraId="17E196E5" w14:textId="77777777" w:rsidR="00D24826" w:rsidRDefault="00F357A7" w:rsidP="00F357A7">
      <w:pPr>
        <w:rPr>
          <w:rFonts w:ascii="Arial" w:eastAsia="Arial" w:hAnsi="Arial" w:cs="Arial"/>
          <w:b/>
          <w:sz w:val="20"/>
          <w:szCs w:val="20"/>
        </w:rPr>
      </w:pPr>
      <w:r>
        <w:rPr>
          <w:rFonts w:ascii="Arial" w:eastAsia="Arial" w:hAnsi="Arial" w:cs="Arial"/>
          <w:b/>
          <w:noProof/>
          <w:sz w:val="20"/>
          <w:szCs w:val="20"/>
        </w:rPr>
        <w:drawing>
          <wp:inline distT="0" distB="0" distL="0" distR="0" wp14:anchorId="677B9C09" wp14:editId="4021D829">
            <wp:extent cx="5636410" cy="2849880"/>
            <wp:effectExtent l="0" t="0" r="254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r="7912"/>
                    <a:stretch/>
                  </pic:blipFill>
                  <pic:spPr bwMode="auto">
                    <a:xfrm>
                      <a:off x="0" y="0"/>
                      <a:ext cx="5654957" cy="2859258"/>
                    </a:xfrm>
                    <a:prstGeom prst="rect">
                      <a:avLst/>
                    </a:prstGeom>
                    <a:noFill/>
                    <a:ln>
                      <a:noFill/>
                    </a:ln>
                    <a:extLst>
                      <a:ext uri="{53640926-AAD7-44D8-BBD7-CCE9431645EC}">
                        <a14:shadowObscured xmlns:a14="http://schemas.microsoft.com/office/drawing/2010/main"/>
                      </a:ext>
                    </a:extLst>
                  </pic:spPr>
                </pic:pic>
              </a:graphicData>
            </a:graphic>
          </wp:inline>
        </w:drawing>
      </w:r>
    </w:p>
    <w:p w14:paraId="446696F9" w14:textId="77777777" w:rsidR="00F52E24" w:rsidRPr="003C18D1" w:rsidRDefault="000C6205" w:rsidP="003C18D1">
      <w:pPr>
        <w:pStyle w:val="Heading2"/>
        <w:rPr>
          <w:rFonts w:ascii="Arial" w:hAnsi="Arial" w:cs="Arial"/>
          <w:sz w:val="20"/>
          <w:szCs w:val="20"/>
        </w:rPr>
      </w:pPr>
      <w:bookmarkStart w:id="8" w:name="_Toc112772056"/>
      <w:r w:rsidRPr="003C18D1">
        <w:rPr>
          <w:rFonts w:ascii="Arial" w:hAnsi="Arial" w:cs="Arial"/>
          <w:sz w:val="20"/>
          <w:szCs w:val="20"/>
        </w:rPr>
        <w:t xml:space="preserve">Supplementary Figure 5: </w:t>
      </w:r>
      <w:r w:rsidRPr="003C18D1">
        <w:rPr>
          <w:rFonts w:ascii="Arial" w:hAnsi="Arial" w:cs="Arial"/>
          <w:i/>
          <w:sz w:val="20"/>
          <w:szCs w:val="20"/>
        </w:rPr>
        <w:t xml:space="preserve">in vitro </w:t>
      </w:r>
      <w:r w:rsidRPr="003C18D1">
        <w:rPr>
          <w:rFonts w:ascii="Arial" w:hAnsi="Arial" w:cs="Arial"/>
          <w:sz w:val="20"/>
          <w:szCs w:val="20"/>
        </w:rPr>
        <w:t>characterization of the enzymatically synthesized TAMRA-B-BHQ2 substrate.</w:t>
      </w:r>
      <w:bookmarkEnd w:id="8"/>
      <w:r w:rsidRPr="003C18D1">
        <w:rPr>
          <w:rFonts w:ascii="Arial" w:hAnsi="Arial" w:cs="Arial"/>
          <w:sz w:val="20"/>
          <w:szCs w:val="20"/>
        </w:rPr>
        <w:t xml:space="preserve"> </w:t>
      </w:r>
    </w:p>
    <w:p w14:paraId="2EBAA8BF" w14:textId="77777777" w:rsidR="0037473B" w:rsidRDefault="000C6205" w:rsidP="003C18D1">
      <w:pPr>
        <w:spacing w:after="0"/>
        <w:jc w:val="both"/>
        <w:rPr>
          <w:rFonts w:ascii="Arial" w:eastAsia="Arial" w:hAnsi="Arial" w:cs="Arial"/>
          <w:sz w:val="20"/>
          <w:szCs w:val="20"/>
        </w:rPr>
      </w:pPr>
      <w:r>
        <w:rPr>
          <w:rFonts w:ascii="Arial" w:eastAsia="Arial" w:hAnsi="Arial" w:cs="Arial"/>
          <w:b/>
          <w:sz w:val="20"/>
          <w:szCs w:val="20"/>
        </w:rPr>
        <w:t xml:space="preserve">a) </w:t>
      </w:r>
      <w:r>
        <w:rPr>
          <w:rFonts w:ascii="Arial" w:eastAsia="Arial" w:hAnsi="Arial" w:cs="Arial"/>
          <w:sz w:val="20"/>
          <w:szCs w:val="20"/>
        </w:rPr>
        <w:t>Raw fluorescence of the FQ-B substrate before and after quencher attachment. Quenching efficiency is calculated to be 92</w:t>
      </w:r>
      <w:r w:rsidR="000F7345">
        <w:rPr>
          <w:rFonts w:ascii="Arial" w:eastAsia="Arial" w:hAnsi="Arial" w:cs="Arial"/>
          <w:sz w:val="20"/>
          <w:szCs w:val="20"/>
        </w:rPr>
        <w:t xml:space="preserve"> </w:t>
      </w:r>
      <w:r>
        <w:rPr>
          <w:rFonts w:ascii="Arial" w:eastAsia="Arial" w:hAnsi="Arial" w:cs="Arial"/>
          <w:sz w:val="20"/>
          <w:szCs w:val="20"/>
        </w:rPr>
        <w:t>% using the equation QE = (1-(</w:t>
      </w:r>
      <w:proofErr w:type="gramStart"/>
      <w:r>
        <w:rPr>
          <w:rFonts w:ascii="Arial" w:eastAsia="Arial" w:hAnsi="Arial" w:cs="Arial"/>
          <w:sz w:val="20"/>
          <w:szCs w:val="20"/>
        </w:rPr>
        <w:t>Fluorescence[</w:t>
      </w:r>
      <w:proofErr w:type="gramEnd"/>
      <w:r>
        <w:rPr>
          <w:rFonts w:ascii="Arial" w:eastAsia="Arial" w:hAnsi="Arial" w:cs="Arial"/>
          <w:sz w:val="20"/>
          <w:szCs w:val="20"/>
        </w:rPr>
        <w:t xml:space="preserve">TAMRA-B-BHQ2]/Fluorescence[TAMRA-B])) * 100. </w:t>
      </w:r>
      <w:r>
        <w:rPr>
          <w:rFonts w:ascii="Arial" w:eastAsia="Arial" w:hAnsi="Arial" w:cs="Arial"/>
          <w:b/>
          <w:sz w:val="20"/>
          <w:szCs w:val="20"/>
        </w:rPr>
        <w:t>b)</w:t>
      </w:r>
      <w:r>
        <w:rPr>
          <w:rFonts w:ascii="Arial" w:eastAsia="Arial" w:hAnsi="Arial" w:cs="Arial"/>
          <w:sz w:val="20"/>
          <w:szCs w:val="20"/>
        </w:rPr>
        <w:t xml:space="preserve"> Single turnover kinetics employing 2</w:t>
      </w:r>
      <w:r w:rsidR="000F7345">
        <w:rPr>
          <w:rFonts w:ascii="Arial" w:eastAsia="Arial" w:hAnsi="Arial" w:cs="Arial"/>
          <w:sz w:val="20"/>
          <w:szCs w:val="20"/>
        </w:rPr>
        <w:t xml:space="preserve"> </w:t>
      </w:r>
      <w:r>
        <w:rPr>
          <w:rFonts w:ascii="Arial" w:eastAsia="Arial" w:hAnsi="Arial" w:cs="Arial"/>
          <w:sz w:val="20"/>
          <w:szCs w:val="20"/>
        </w:rPr>
        <w:t>µM FQ-B and 5</w:t>
      </w:r>
      <w:r w:rsidR="000F7345">
        <w:rPr>
          <w:rFonts w:ascii="Arial" w:eastAsia="Arial" w:hAnsi="Arial" w:cs="Arial"/>
          <w:sz w:val="20"/>
          <w:szCs w:val="20"/>
        </w:rPr>
        <w:t xml:space="preserve"> </w:t>
      </w:r>
      <w:r>
        <w:rPr>
          <w:rFonts w:ascii="Arial" w:eastAsia="Arial" w:hAnsi="Arial" w:cs="Arial"/>
          <w:sz w:val="20"/>
          <w:szCs w:val="20"/>
        </w:rPr>
        <w:t>µM each of rt-F and rt-A-short with 20</w:t>
      </w:r>
      <w:r w:rsidR="000F7345">
        <w:rPr>
          <w:rFonts w:ascii="Arial" w:eastAsia="Arial" w:hAnsi="Arial" w:cs="Arial"/>
          <w:sz w:val="20"/>
          <w:szCs w:val="20"/>
        </w:rPr>
        <w:t xml:space="preserve"> </w:t>
      </w:r>
      <w:r>
        <w:rPr>
          <w:rFonts w:ascii="Arial" w:eastAsia="Arial" w:hAnsi="Arial" w:cs="Arial"/>
          <w:sz w:val="20"/>
          <w:szCs w:val="20"/>
        </w:rPr>
        <w:t>mM MgCl</w:t>
      </w:r>
      <w:r>
        <w:rPr>
          <w:rFonts w:ascii="Arial" w:eastAsia="Arial" w:hAnsi="Arial" w:cs="Arial"/>
          <w:sz w:val="20"/>
          <w:szCs w:val="20"/>
          <w:vertAlign w:val="subscript"/>
        </w:rPr>
        <w:t>2</w:t>
      </w:r>
      <w:r>
        <w:rPr>
          <w:rFonts w:ascii="Arial" w:eastAsia="Arial" w:hAnsi="Arial" w:cs="Arial"/>
          <w:sz w:val="20"/>
          <w:szCs w:val="20"/>
        </w:rPr>
        <w:t>, pH 8.5 at 42</w:t>
      </w:r>
      <w:r w:rsidR="000F7345">
        <w:rPr>
          <w:rFonts w:ascii="Arial" w:eastAsia="Arial" w:hAnsi="Arial" w:cs="Arial"/>
          <w:sz w:val="20"/>
          <w:szCs w:val="20"/>
        </w:rPr>
        <w:t xml:space="preserve"> </w:t>
      </w:r>
      <w:r>
        <w:rPr>
          <w:rFonts w:ascii="Arial" w:eastAsia="Arial" w:hAnsi="Arial" w:cs="Arial"/>
          <w:sz w:val="20"/>
          <w:szCs w:val="20"/>
        </w:rPr>
        <w:t>°C. Negative control contains only substrate in buffer. Reactions were assembled on ice then transferred to a microplate. Fluorescence emission was measured by exciting at 545</w:t>
      </w:r>
      <w:r w:rsidR="009E122D">
        <w:rPr>
          <w:rFonts w:ascii="Arial" w:eastAsia="Arial" w:hAnsi="Arial" w:cs="Arial"/>
          <w:sz w:val="20"/>
          <w:szCs w:val="20"/>
        </w:rPr>
        <w:t xml:space="preserve"> nm</w:t>
      </w:r>
      <w:r>
        <w:rPr>
          <w:rFonts w:ascii="Arial" w:eastAsia="Arial" w:hAnsi="Arial" w:cs="Arial"/>
          <w:sz w:val="20"/>
          <w:szCs w:val="20"/>
        </w:rPr>
        <w:t xml:space="preserve"> and detecting emission at 590</w:t>
      </w:r>
      <w:r w:rsidR="009E122D">
        <w:rPr>
          <w:rFonts w:ascii="Arial" w:eastAsia="Arial" w:hAnsi="Arial" w:cs="Arial"/>
          <w:sz w:val="20"/>
          <w:szCs w:val="20"/>
        </w:rPr>
        <w:t xml:space="preserve"> </w:t>
      </w:r>
      <w:r>
        <w:rPr>
          <w:rFonts w:ascii="Arial" w:eastAsia="Arial" w:hAnsi="Arial" w:cs="Arial"/>
          <w:sz w:val="20"/>
          <w:szCs w:val="20"/>
        </w:rPr>
        <w:t>nm. Error bars represent standard deviation (N=3).</w:t>
      </w:r>
    </w:p>
    <w:p w14:paraId="49E87C81" w14:textId="77777777" w:rsidR="00584A5F" w:rsidRDefault="00584A5F">
      <w:pPr>
        <w:rPr>
          <w:rFonts w:ascii="Arial" w:eastAsia="Arial" w:hAnsi="Arial" w:cs="Arial"/>
          <w:b/>
          <w:sz w:val="20"/>
          <w:szCs w:val="20"/>
        </w:rPr>
      </w:pPr>
      <w:r>
        <w:rPr>
          <w:rFonts w:ascii="Arial" w:eastAsia="Arial" w:hAnsi="Arial" w:cs="Arial"/>
          <w:b/>
          <w:sz w:val="20"/>
          <w:szCs w:val="20"/>
        </w:rPr>
        <w:br w:type="page"/>
      </w:r>
    </w:p>
    <w:p w14:paraId="76FD47E3" w14:textId="77777777" w:rsidR="00D24826" w:rsidRDefault="00D24826">
      <w:pPr>
        <w:jc w:val="both"/>
        <w:rPr>
          <w:rFonts w:ascii="Arial" w:eastAsia="Arial" w:hAnsi="Arial" w:cs="Arial"/>
          <w:b/>
          <w:sz w:val="20"/>
          <w:szCs w:val="20"/>
        </w:rPr>
      </w:pPr>
    </w:p>
    <w:p w14:paraId="6DBBC64C" w14:textId="77777777" w:rsidR="0037473B" w:rsidRDefault="00F357A7" w:rsidP="00D24826">
      <w:pPr>
        <w:jc w:val="center"/>
        <w:rPr>
          <w:rFonts w:ascii="Arial" w:eastAsia="Arial" w:hAnsi="Arial" w:cs="Arial"/>
          <w:b/>
          <w:sz w:val="20"/>
          <w:szCs w:val="20"/>
        </w:rPr>
      </w:pPr>
      <w:r>
        <w:rPr>
          <w:noProof/>
        </w:rPr>
        <w:drawing>
          <wp:inline distT="0" distB="0" distL="0" distR="0" wp14:anchorId="73FEC492" wp14:editId="275AB1E9">
            <wp:extent cx="5661660" cy="2241920"/>
            <wp:effectExtent l="0" t="0" r="0" b="635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70897" cy="2245578"/>
                    </a:xfrm>
                    <a:prstGeom prst="rect">
                      <a:avLst/>
                    </a:prstGeom>
                    <a:noFill/>
                    <a:ln>
                      <a:noFill/>
                    </a:ln>
                  </pic:spPr>
                </pic:pic>
              </a:graphicData>
            </a:graphic>
          </wp:inline>
        </w:drawing>
      </w:r>
    </w:p>
    <w:p w14:paraId="57B3551B" w14:textId="77777777" w:rsidR="00CF4918" w:rsidRPr="00CF4918" w:rsidRDefault="009E122D" w:rsidP="00CF4918">
      <w:pPr>
        <w:pStyle w:val="Heading2"/>
        <w:rPr>
          <w:rFonts w:ascii="Arial" w:hAnsi="Arial" w:cs="Arial"/>
          <w:sz w:val="20"/>
        </w:rPr>
      </w:pPr>
      <w:bookmarkStart w:id="9" w:name="_Toc112772057"/>
      <w:r w:rsidRPr="00CF4918">
        <w:rPr>
          <w:rFonts w:ascii="Arial" w:hAnsi="Arial" w:cs="Arial"/>
          <w:sz w:val="20"/>
        </w:rPr>
        <w:t>Supplementary Figure 6: Membrane interactions of encapsulated RNA.</w:t>
      </w:r>
      <w:bookmarkEnd w:id="9"/>
      <w:r w:rsidRPr="00CF4918">
        <w:rPr>
          <w:rFonts w:ascii="Arial" w:hAnsi="Arial" w:cs="Arial"/>
          <w:sz w:val="20"/>
        </w:rPr>
        <w:t xml:space="preserve"> </w:t>
      </w:r>
    </w:p>
    <w:p w14:paraId="15D4E49F" w14:textId="77777777" w:rsidR="0037473B" w:rsidRDefault="009E122D" w:rsidP="00CF4918">
      <w:pPr>
        <w:spacing w:after="0"/>
        <w:jc w:val="both"/>
        <w:rPr>
          <w:rFonts w:ascii="Arial" w:hAnsi="Arial" w:cs="Arial"/>
          <w:sz w:val="20"/>
          <w:szCs w:val="20"/>
        </w:rPr>
      </w:pPr>
      <w:r w:rsidRPr="009E122D">
        <w:rPr>
          <w:rFonts w:ascii="Arial" w:hAnsi="Arial" w:cs="Arial"/>
          <w:b/>
          <w:bCs/>
          <w:sz w:val="20"/>
          <w:szCs w:val="20"/>
        </w:rPr>
        <w:t xml:space="preserve">a) </w:t>
      </w:r>
      <w:r w:rsidRPr="009E122D">
        <w:rPr>
          <w:rFonts w:ascii="Arial" w:hAnsi="Arial" w:cs="Arial"/>
          <w:sz w:val="20"/>
          <w:szCs w:val="20"/>
        </w:rPr>
        <w:t xml:space="preserve">Confocal microscopy images of the R3C ligase assay in GUVs before FT. Substrate vesicles (green) contained 10 µM FQ-B and 20 µM rt-A-short. </w:t>
      </w:r>
      <w:r w:rsidRPr="009E122D">
        <w:rPr>
          <w:rFonts w:ascii="Arial" w:hAnsi="Arial" w:cs="Arial"/>
          <w:b/>
          <w:bCs/>
          <w:sz w:val="20"/>
          <w:szCs w:val="20"/>
        </w:rPr>
        <w:t xml:space="preserve">b-d) </w:t>
      </w:r>
      <w:r w:rsidRPr="009E122D">
        <w:rPr>
          <w:rFonts w:ascii="Arial" w:hAnsi="Arial" w:cs="Arial"/>
          <w:sz w:val="20"/>
          <w:szCs w:val="20"/>
        </w:rPr>
        <w:t xml:space="preserve">Close-up of boxes in </w:t>
      </w:r>
      <w:r w:rsidRPr="009E122D">
        <w:rPr>
          <w:rFonts w:ascii="Arial" w:hAnsi="Arial" w:cs="Arial"/>
          <w:b/>
          <w:bCs/>
          <w:sz w:val="20"/>
          <w:szCs w:val="20"/>
        </w:rPr>
        <w:t>a)</w:t>
      </w:r>
      <w:r w:rsidRPr="009E122D">
        <w:rPr>
          <w:rFonts w:ascii="Arial" w:hAnsi="Arial" w:cs="Arial"/>
          <w:sz w:val="20"/>
          <w:szCs w:val="20"/>
        </w:rPr>
        <w:t xml:space="preserve">. </w:t>
      </w:r>
      <w:r w:rsidRPr="009E122D">
        <w:rPr>
          <w:rFonts w:ascii="Arial" w:hAnsi="Arial" w:cs="Arial"/>
          <w:b/>
          <w:bCs/>
          <w:sz w:val="20"/>
          <w:szCs w:val="20"/>
        </w:rPr>
        <w:t>e)</w:t>
      </w:r>
      <w:r w:rsidRPr="009E122D">
        <w:rPr>
          <w:rFonts w:ascii="Arial" w:hAnsi="Arial" w:cs="Arial"/>
          <w:sz w:val="20"/>
          <w:szCs w:val="20"/>
        </w:rPr>
        <w:t xml:space="preserve"> Fluorescence intensity across 2 GUVs along the dotted line shown in</w:t>
      </w:r>
      <w:r w:rsidRPr="009E122D">
        <w:rPr>
          <w:rFonts w:ascii="Arial" w:hAnsi="Arial" w:cs="Arial"/>
          <w:b/>
          <w:bCs/>
          <w:sz w:val="20"/>
          <w:szCs w:val="20"/>
        </w:rPr>
        <w:t xml:space="preserve"> c)</w:t>
      </w:r>
      <w:r w:rsidRPr="009E122D">
        <w:rPr>
          <w:rFonts w:ascii="Arial" w:hAnsi="Arial" w:cs="Arial"/>
          <w:sz w:val="20"/>
          <w:szCs w:val="20"/>
        </w:rPr>
        <w:t>. The peaks at the extremities suggest that the fluorescent RNA</w:t>
      </w:r>
      <w:r>
        <w:rPr>
          <w:rFonts w:ascii="Arial" w:hAnsi="Arial" w:cs="Arial"/>
          <w:sz w:val="20"/>
          <w:szCs w:val="20"/>
        </w:rPr>
        <w:t xml:space="preserve"> (FQ-B)</w:t>
      </w:r>
      <w:r w:rsidRPr="009E122D">
        <w:rPr>
          <w:rFonts w:ascii="Arial" w:hAnsi="Arial" w:cs="Arial"/>
          <w:sz w:val="20"/>
          <w:szCs w:val="20"/>
        </w:rPr>
        <w:t xml:space="preserve"> is interacting with the inner leaflet of the membrane thus promoting a local increase in concentration. Scale bars represent 30 µm in (a) and 10 µm in </w:t>
      </w:r>
      <w:r w:rsidRPr="00CF4918">
        <w:rPr>
          <w:rFonts w:ascii="Arial" w:hAnsi="Arial" w:cs="Arial"/>
          <w:b/>
          <w:sz w:val="20"/>
          <w:szCs w:val="20"/>
        </w:rPr>
        <w:t>b-d)</w:t>
      </w:r>
      <w:r w:rsidRPr="009E122D">
        <w:rPr>
          <w:rFonts w:ascii="Arial" w:hAnsi="Arial" w:cs="Arial"/>
          <w:sz w:val="20"/>
          <w:szCs w:val="20"/>
        </w:rPr>
        <w:t>.</w:t>
      </w:r>
    </w:p>
    <w:p w14:paraId="23536C40"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526C8779" w14:textId="77777777" w:rsidR="00D24826" w:rsidRDefault="00D24826">
      <w:pPr>
        <w:jc w:val="both"/>
        <w:rPr>
          <w:rFonts w:ascii="Arial" w:eastAsia="Arial" w:hAnsi="Arial" w:cs="Arial"/>
          <w:sz w:val="20"/>
          <w:szCs w:val="20"/>
        </w:rPr>
      </w:pPr>
    </w:p>
    <w:p w14:paraId="28961DF3" w14:textId="77777777" w:rsidR="0037473B" w:rsidRDefault="00F357A7">
      <w:pPr>
        <w:jc w:val="center"/>
        <w:rPr>
          <w:rFonts w:ascii="Arial" w:eastAsia="Arial" w:hAnsi="Arial" w:cs="Arial"/>
          <w:sz w:val="20"/>
          <w:szCs w:val="20"/>
        </w:rPr>
      </w:pPr>
      <w:r>
        <w:rPr>
          <w:rFonts w:ascii="Arial" w:eastAsia="Arial" w:hAnsi="Arial" w:cs="Arial"/>
          <w:noProof/>
          <w:sz w:val="20"/>
          <w:szCs w:val="20"/>
        </w:rPr>
        <w:drawing>
          <wp:inline distT="0" distB="0" distL="0" distR="0" wp14:anchorId="07237D09" wp14:editId="77806914">
            <wp:extent cx="3375660" cy="2629819"/>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397174" cy="2646580"/>
                    </a:xfrm>
                    <a:prstGeom prst="rect">
                      <a:avLst/>
                    </a:prstGeom>
                    <a:noFill/>
                    <a:ln>
                      <a:noFill/>
                    </a:ln>
                  </pic:spPr>
                </pic:pic>
              </a:graphicData>
            </a:graphic>
          </wp:inline>
        </w:drawing>
      </w:r>
    </w:p>
    <w:p w14:paraId="2207C9D2" w14:textId="77777777" w:rsidR="00570654" w:rsidRPr="00570654" w:rsidRDefault="000C6205" w:rsidP="00570654">
      <w:pPr>
        <w:pStyle w:val="Heading2"/>
        <w:rPr>
          <w:rFonts w:ascii="Arial" w:hAnsi="Arial" w:cs="Arial"/>
          <w:sz w:val="20"/>
          <w:szCs w:val="20"/>
        </w:rPr>
      </w:pPr>
      <w:bookmarkStart w:id="10" w:name="_Toc112772058"/>
      <w:r w:rsidRPr="00570654">
        <w:rPr>
          <w:rFonts w:ascii="Arial" w:hAnsi="Arial" w:cs="Arial"/>
          <w:sz w:val="20"/>
          <w:szCs w:val="20"/>
        </w:rPr>
        <w:t>Supplementary Figure 7: Fluorescence intensity inside GUVs decreases upon freezing and thawing.</w:t>
      </w:r>
      <w:bookmarkEnd w:id="10"/>
      <w:r w:rsidRPr="00570654">
        <w:rPr>
          <w:rFonts w:ascii="Arial" w:hAnsi="Arial" w:cs="Arial"/>
          <w:sz w:val="20"/>
          <w:szCs w:val="20"/>
        </w:rPr>
        <w:t xml:space="preserve"> </w:t>
      </w:r>
    </w:p>
    <w:p w14:paraId="1FD64F43" w14:textId="77777777" w:rsidR="0037473B" w:rsidRDefault="000C6205" w:rsidP="00570654">
      <w:pPr>
        <w:spacing w:after="0"/>
        <w:jc w:val="both"/>
        <w:rPr>
          <w:rFonts w:ascii="Arial" w:eastAsia="Arial" w:hAnsi="Arial" w:cs="Arial"/>
          <w:sz w:val="20"/>
          <w:szCs w:val="20"/>
        </w:rPr>
      </w:pPr>
      <w:r>
        <w:rPr>
          <w:rFonts w:ascii="Arial" w:eastAsia="Arial" w:hAnsi="Arial" w:cs="Arial"/>
          <w:sz w:val="20"/>
          <w:szCs w:val="20"/>
        </w:rPr>
        <w:t>GUV intensity distributions before (grey) and after FT-cycling (blue</w:t>
      </w:r>
      <w:r w:rsidRPr="009E122D">
        <w:rPr>
          <w:rFonts w:ascii="Arial" w:eastAsia="Arial" w:hAnsi="Arial" w:cs="Arial"/>
          <w:sz w:val="20"/>
          <w:szCs w:val="20"/>
        </w:rPr>
        <w:t xml:space="preserve">). </w:t>
      </w:r>
      <w:r w:rsidR="009E122D" w:rsidRPr="009E122D">
        <w:rPr>
          <w:rFonts w:ascii="Arial" w:hAnsi="Arial" w:cs="Arial"/>
          <w:sz w:val="20"/>
          <w:szCs w:val="20"/>
        </w:rPr>
        <w:t>Vesicles initially contained 900 mM sucrose and 3 µM 5’-Atto655-(CA)</w:t>
      </w:r>
      <w:r w:rsidR="009E122D" w:rsidRPr="004212CC">
        <w:rPr>
          <w:rFonts w:ascii="Arial" w:hAnsi="Arial" w:cs="Arial"/>
          <w:sz w:val="20"/>
          <w:szCs w:val="20"/>
          <w:vertAlign w:val="subscript"/>
        </w:rPr>
        <w:t>13</w:t>
      </w:r>
      <w:r w:rsidR="009E122D" w:rsidRPr="009E122D">
        <w:rPr>
          <w:rFonts w:ascii="Arial" w:hAnsi="Arial" w:cs="Arial"/>
          <w:sz w:val="20"/>
          <w:szCs w:val="20"/>
        </w:rPr>
        <w:t xml:space="preserve">-3’. </w:t>
      </w:r>
      <w:r>
        <w:rPr>
          <w:rFonts w:ascii="Arial" w:eastAsia="Arial" w:hAnsi="Arial" w:cs="Arial"/>
          <w:sz w:val="20"/>
          <w:szCs w:val="20"/>
        </w:rPr>
        <w:t xml:space="preserve">GUV intensity distribution after freeze-thawing is shifted to lower intensities indicating content loss (CL) due to content dilution in the outer phase. Number n is accounting for the number of GUVs evaluated. </w:t>
      </w:r>
    </w:p>
    <w:p w14:paraId="7BAB8C3C"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7F2FE443" w14:textId="77777777" w:rsidR="00D24826" w:rsidRPr="00D24826" w:rsidRDefault="00D24826">
      <w:pPr>
        <w:jc w:val="both"/>
        <w:rPr>
          <w:rFonts w:ascii="Arial" w:eastAsia="Arial" w:hAnsi="Arial" w:cs="Arial"/>
          <w:sz w:val="20"/>
          <w:szCs w:val="20"/>
        </w:rPr>
      </w:pPr>
    </w:p>
    <w:p w14:paraId="6B54D1F4" w14:textId="77777777" w:rsidR="002825A7" w:rsidRDefault="00F357A7" w:rsidP="00D24826">
      <w:pPr>
        <w:jc w:val="center"/>
        <w:rPr>
          <w:rFonts w:ascii="Arial" w:eastAsia="Arial" w:hAnsi="Arial" w:cs="Arial"/>
          <w:b/>
          <w:sz w:val="20"/>
          <w:szCs w:val="20"/>
        </w:rPr>
      </w:pPr>
      <w:r>
        <w:rPr>
          <w:noProof/>
        </w:rPr>
        <w:drawing>
          <wp:inline distT="0" distB="0" distL="0" distR="0" wp14:anchorId="144C27EB" wp14:editId="48A41B64">
            <wp:extent cx="3695700" cy="2166808"/>
            <wp:effectExtent l="0" t="0" r="0" b="508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712478" cy="2176645"/>
                    </a:xfrm>
                    <a:prstGeom prst="rect">
                      <a:avLst/>
                    </a:prstGeom>
                    <a:noFill/>
                    <a:ln>
                      <a:noFill/>
                    </a:ln>
                  </pic:spPr>
                </pic:pic>
              </a:graphicData>
            </a:graphic>
          </wp:inline>
        </w:drawing>
      </w:r>
    </w:p>
    <w:p w14:paraId="300761F9" w14:textId="77777777" w:rsidR="00570654" w:rsidRPr="00570654" w:rsidRDefault="000C6205" w:rsidP="00570654">
      <w:pPr>
        <w:pStyle w:val="Heading2"/>
        <w:rPr>
          <w:rFonts w:ascii="Arial" w:hAnsi="Arial" w:cs="Arial"/>
          <w:sz w:val="20"/>
          <w:szCs w:val="20"/>
        </w:rPr>
      </w:pPr>
      <w:bookmarkStart w:id="11" w:name="_Toc112772059"/>
      <w:r w:rsidRPr="00570654">
        <w:rPr>
          <w:rFonts w:ascii="Arial" w:hAnsi="Arial" w:cs="Arial"/>
          <w:sz w:val="20"/>
          <w:szCs w:val="20"/>
        </w:rPr>
        <w:t>Supplementary Figure 8: Gel electrophoresis of RNA ligation by R3C ligase ribozyme F</w:t>
      </w:r>
      <w:r w:rsidR="002825A7" w:rsidRPr="00570654">
        <w:rPr>
          <w:rFonts w:ascii="Arial" w:hAnsi="Arial" w:cs="Arial"/>
          <w:sz w:val="20"/>
          <w:szCs w:val="20"/>
        </w:rPr>
        <w:t>1</w:t>
      </w:r>
      <w:r w:rsidRPr="00570654">
        <w:rPr>
          <w:rFonts w:ascii="Arial" w:hAnsi="Arial" w:cs="Arial"/>
          <w:sz w:val="20"/>
          <w:szCs w:val="20"/>
        </w:rPr>
        <w:t xml:space="preserve"> </w:t>
      </w:r>
      <w:r w:rsidRPr="00570654">
        <w:rPr>
          <w:rFonts w:ascii="Arial" w:hAnsi="Arial" w:cs="Arial"/>
          <w:i/>
          <w:sz w:val="20"/>
          <w:szCs w:val="20"/>
        </w:rPr>
        <w:t>in vitro</w:t>
      </w:r>
      <w:r w:rsidRPr="00570654">
        <w:rPr>
          <w:rFonts w:ascii="Arial" w:hAnsi="Arial" w:cs="Arial"/>
          <w:sz w:val="20"/>
          <w:szCs w:val="20"/>
        </w:rPr>
        <w:t>.</w:t>
      </w:r>
      <w:bookmarkEnd w:id="11"/>
      <w:r w:rsidRPr="00570654">
        <w:rPr>
          <w:rFonts w:ascii="Arial" w:hAnsi="Arial" w:cs="Arial"/>
          <w:sz w:val="20"/>
          <w:szCs w:val="20"/>
        </w:rPr>
        <w:t xml:space="preserve"> </w:t>
      </w:r>
    </w:p>
    <w:p w14:paraId="26464954" w14:textId="77777777" w:rsidR="0037473B" w:rsidRPr="00D24826" w:rsidRDefault="000C6205" w:rsidP="00570654">
      <w:pPr>
        <w:spacing w:after="0"/>
        <w:jc w:val="both"/>
        <w:rPr>
          <w:rFonts w:ascii="Arial" w:eastAsia="Arial" w:hAnsi="Arial" w:cs="Arial"/>
          <w:sz w:val="20"/>
          <w:szCs w:val="20"/>
        </w:rPr>
      </w:pPr>
      <w:r>
        <w:rPr>
          <w:rFonts w:ascii="Arial" w:eastAsia="Arial" w:hAnsi="Arial" w:cs="Arial"/>
          <w:sz w:val="20"/>
          <w:szCs w:val="20"/>
        </w:rPr>
        <w:t>Activity was assayed in 50</w:t>
      </w:r>
      <w:r w:rsidR="00F62E64">
        <w:rPr>
          <w:rFonts w:ascii="Arial" w:eastAsia="Arial" w:hAnsi="Arial" w:cs="Arial"/>
          <w:sz w:val="20"/>
          <w:szCs w:val="20"/>
        </w:rPr>
        <w:t xml:space="preserve"> </w:t>
      </w:r>
      <w:r>
        <w:rPr>
          <w:rFonts w:ascii="Arial" w:eastAsia="Arial" w:hAnsi="Arial" w:cs="Arial"/>
          <w:sz w:val="20"/>
          <w:szCs w:val="20"/>
        </w:rPr>
        <w:t>mM EPPS buffer pH 8.5 supplemented with 20</w:t>
      </w:r>
      <w:r w:rsidR="00F62E64">
        <w:rPr>
          <w:rFonts w:ascii="Arial" w:eastAsia="Arial" w:hAnsi="Arial" w:cs="Arial"/>
          <w:sz w:val="20"/>
          <w:szCs w:val="20"/>
        </w:rPr>
        <w:t xml:space="preserve"> </w:t>
      </w:r>
      <w:r>
        <w:rPr>
          <w:rFonts w:ascii="Arial" w:eastAsia="Arial" w:hAnsi="Arial" w:cs="Arial"/>
          <w:sz w:val="20"/>
          <w:szCs w:val="20"/>
        </w:rPr>
        <w:t>mM magnesium chloride, 900</w:t>
      </w:r>
      <w:r w:rsidR="00F62E64">
        <w:rPr>
          <w:rFonts w:ascii="Arial" w:eastAsia="Arial" w:hAnsi="Arial" w:cs="Arial"/>
          <w:sz w:val="20"/>
          <w:szCs w:val="20"/>
        </w:rPr>
        <w:t xml:space="preserve"> </w:t>
      </w:r>
      <w:r>
        <w:rPr>
          <w:rFonts w:ascii="Arial" w:eastAsia="Arial" w:hAnsi="Arial" w:cs="Arial"/>
          <w:sz w:val="20"/>
          <w:szCs w:val="20"/>
        </w:rPr>
        <w:t>mM sucrose at 42</w:t>
      </w:r>
      <w:r w:rsidR="00F62E64">
        <w:rPr>
          <w:rFonts w:ascii="Arial" w:eastAsia="Arial" w:hAnsi="Arial" w:cs="Arial"/>
          <w:sz w:val="20"/>
          <w:szCs w:val="20"/>
        </w:rPr>
        <w:t xml:space="preserve"> </w:t>
      </w:r>
      <w:r>
        <w:rPr>
          <w:rFonts w:ascii="Arial" w:eastAsia="Arial" w:hAnsi="Arial" w:cs="Arial"/>
          <w:sz w:val="20"/>
          <w:szCs w:val="20"/>
        </w:rPr>
        <w:t>°C. The substrate concentrations were equal in control and in the reaction: 0.5</w:t>
      </w:r>
      <w:r w:rsidR="00F62E64">
        <w:rPr>
          <w:rFonts w:ascii="Arial" w:eastAsia="Arial" w:hAnsi="Arial" w:cs="Arial"/>
          <w:sz w:val="20"/>
          <w:szCs w:val="20"/>
        </w:rPr>
        <w:t xml:space="preserve"> </w:t>
      </w:r>
      <w:r>
        <w:rPr>
          <w:rFonts w:ascii="Arial" w:eastAsia="Arial" w:hAnsi="Arial" w:cs="Arial"/>
          <w:sz w:val="20"/>
          <w:szCs w:val="20"/>
        </w:rPr>
        <w:t>µM Cy5-A, 4.5</w:t>
      </w:r>
      <w:r w:rsidR="00F62E64">
        <w:rPr>
          <w:rFonts w:ascii="Arial" w:eastAsia="Arial" w:hAnsi="Arial" w:cs="Arial"/>
          <w:sz w:val="20"/>
          <w:szCs w:val="20"/>
        </w:rPr>
        <w:t xml:space="preserve"> </w:t>
      </w:r>
      <w:r>
        <w:rPr>
          <w:rFonts w:ascii="Arial" w:eastAsia="Arial" w:hAnsi="Arial" w:cs="Arial"/>
          <w:sz w:val="20"/>
          <w:szCs w:val="20"/>
        </w:rPr>
        <w:t>µM Hyper-A, and 12</w:t>
      </w:r>
      <w:r w:rsidR="00F62E64">
        <w:rPr>
          <w:rFonts w:ascii="Arial" w:eastAsia="Arial" w:hAnsi="Arial" w:cs="Arial"/>
          <w:sz w:val="20"/>
          <w:szCs w:val="20"/>
        </w:rPr>
        <w:t xml:space="preserve"> </w:t>
      </w:r>
      <w:r>
        <w:rPr>
          <w:rFonts w:ascii="Arial" w:eastAsia="Arial" w:hAnsi="Arial" w:cs="Arial"/>
          <w:sz w:val="20"/>
          <w:szCs w:val="20"/>
        </w:rPr>
        <w:t>µM B. The control has no ribozyme added. The reaction was seeded with 0.5</w:t>
      </w:r>
      <w:r w:rsidR="008163A7">
        <w:rPr>
          <w:rFonts w:ascii="Arial" w:eastAsia="Arial" w:hAnsi="Arial" w:cs="Arial"/>
          <w:sz w:val="20"/>
          <w:szCs w:val="20"/>
        </w:rPr>
        <w:t xml:space="preserve"> </w:t>
      </w:r>
      <w:r>
        <w:rPr>
          <w:rFonts w:ascii="Arial" w:eastAsia="Arial" w:hAnsi="Arial" w:cs="Arial"/>
          <w:sz w:val="20"/>
          <w:szCs w:val="20"/>
        </w:rPr>
        <w:t>µM ribozyme. Samples were collected by quenching 1</w:t>
      </w:r>
      <w:r w:rsidR="00F62E64">
        <w:rPr>
          <w:rFonts w:ascii="Arial" w:eastAsia="Arial" w:hAnsi="Arial" w:cs="Arial"/>
          <w:sz w:val="20"/>
          <w:szCs w:val="20"/>
        </w:rPr>
        <w:t xml:space="preserve"> </w:t>
      </w:r>
      <w:r>
        <w:rPr>
          <w:rFonts w:ascii="Arial" w:eastAsia="Arial" w:hAnsi="Arial" w:cs="Arial"/>
          <w:sz w:val="20"/>
          <w:szCs w:val="20"/>
        </w:rPr>
        <w:t>µL in 9</w:t>
      </w:r>
      <w:r w:rsidR="00F62E64">
        <w:rPr>
          <w:rFonts w:ascii="Arial" w:eastAsia="Arial" w:hAnsi="Arial" w:cs="Arial"/>
          <w:sz w:val="20"/>
          <w:szCs w:val="20"/>
        </w:rPr>
        <w:t xml:space="preserve"> </w:t>
      </w:r>
      <w:r>
        <w:rPr>
          <w:rFonts w:ascii="Arial" w:eastAsia="Arial" w:hAnsi="Arial" w:cs="Arial"/>
          <w:sz w:val="20"/>
          <w:szCs w:val="20"/>
        </w:rPr>
        <w:t>µL R3C loading buffer</w:t>
      </w:r>
      <w:r w:rsidR="00F62E64">
        <w:rPr>
          <w:rFonts w:ascii="Arial" w:eastAsia="Arial" w:hAnsi="Arial" w:cs="Arial"/>
          <w:sz w:val="20"/>
          <w:szCs w:val="20"/>
        </w:rPr>
        <w:t xml:space="preserve"> (25 mM EDTA in formamide)</w:t>
      </w:r>
      <w:r>
        <w:rPr>
          <w:rFonts w:ascii="Arial" w:eastAsia="Arial" w:hAnsi="Arial" w:cs="Arial"/>
          <w:sz w:val="20"/>
          <w:szCs w:val="20"/>
        </w:rPr>
        <w:t>. They were then heat denatured at 85</w:t>
      </w:r>
      <w:r w:rsidR="00F62E64">
        <w:rPr>
          <w:rFonts w:ascii="Arial" w:eastAsia="Arial" w:hAnsi="Arial" w:cs="Arial"/>
          <w:sz w:val="20"/>
          <w:szCs w:val="20"/>
        </w:rPr>
        <w:t xml:space="preserve"> </w:t>
      </w:r>
      <w:r>
        <w:rPr>
          <w:rFonts w:ascii="Arial" w:eastAsia="Arial" w:hAnsi="Arial" w:cs="Arial"/>
          <w:sz w:val="20"/>
          <w:szCs w:val="20"/>
        </w:rPr>
        <w:t>°C for 5 minutes before loading onto a 12</w:t>
      </w:r>
      <w:r w:rsidR="00F62E64">
        <w:rPr>
          <w:rFonts w:ascii="Arial" w:eastAsia="Arial" w:hAnsi="Arial" w:cs="Arial"/>
          <w:sz w:val="20"/>
          <w:szCs w:val="20"/>
        </w:rPr>
        <w:t xml:space="preserve"> </w:t>
      </w:r>
      <w:r>
        <w:rPr>
          <w:rFonts w:ascii="Arial" w:eastAsia="Arial" w:hAnsi="Arial" w:cs="Arial"/>
          <w:sz w:val="20"/>
          <w:szCs w:val="20"/>
        </w:rPr>
        <w:t xml:space="preserve">% PAGE. The control reaction shows a band at the final time point corresponding to product formation, suggesting that </w:t>
      </w:r>
      <w:r w:rsidR="00F62E64">
        <w:rPr>
          <w:rFonts w:ascii="Arial" w:eastAsia="Arial" w:hAnsi="Arial" w:cs="Arial"/>
          <w:sz w:val="20"/>
          <w:szCs w:val="20"/>
        </w:rPr>
        <w:t>residual activity in substrate oligonucleotides</w:t>
      </w:r>
      <w:r>
        <w:rPr>
          <w:rFonts w:ascii="Arial" w:eastAsia="Arial" w:hAnsi="Arial" w:cs="Arial"/>
          <w:sz w:val="20"/>
          <w:szCs w:val="20"/>
        </w:rPr>
        <w:t xml:space="preserve"> can catalyze the ligation reaction in absence of ribozyme.</w:t>
      </w:r>
    </w:p>
    <w:p w14:paraId="7177D402" w14:textId="77777777" w:rsidR="00584A5F" w:rsidRDefault="00584A5F">
      <w:pPr>
        <w:rPr>
          <w:rFonts w:ascii="Arial" w:eastAsia="Arial" w:hAnsi="Arial" w:cs="Arial"/>
          <w:b/>
          <w:sz w:val="20"/>
          <w:szCs w:val="20"/>
        </w:rPr>
      </w:pPr>
      <w:r>
        <w:rPr>
          <w:rFonts w:ascii="Arial" w:eastAsia="Arial" w:hAnsi="Arial" w:cs="Arial"/>
          <w:b/>
          <w:sz w:val="20"/>
          <w:szCs w:val="20"/>
        </w:rPr>
        <w:br w:type="page"/>
      </w:r>
    </w:p>
    <w:p w14:paraId="1D0D4F48" w14:textId="77777777" w:rsidR="0037473B" w:rsidRDefault="0037473B">
      <w:pPr>
        <w:jc w:val="both"/>
        <w:rPr>
          <w:rFonts w:ascii="Arial" w:eastAsia="Arial" w:hAnsi="Arial" w:cs="Arial"/>
          <w:b/>
          <w:sz w:val="20"/>
          <w:szCs w:val="20"/>
        </w:rPr>
      </w:pPr>
    </w:p>
    <w:p w14:paraId="22A74F0E" w14:textId="77777777" w:rsidR="0037473B" w:rsidRDefault="000C6205" w:rsidP="00D24826">
      <w:pPr>
        <w:jc w:val="center"/>
        <w:rPr>
          <w:rFonts w:ascii="Arial" w:eastAsia="Arial" w:hAnsi="Arial" w:cs="Arial"/>
          <w:b/>
          <w:sz w:val="20"/>
          <w:szCs w:val="20"/>
        </w:rPr>
      </w:pPr>
      <w:r>
        <w:rPr>
          <w:noProof/>
        </w:rPr>
        <w:drawing>
          <wp:inline distT="0" distB="0" distL="0" distR="0" wp14:anchorId="5ABBADEF" wp14:editId="6D0C8529">
            <wp:extent cx="5476875" cy="3582670"/>
            <wp:effectExtent l="0" t="0" r="9525" b="0"/>
            <wp:docPr id="32"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15">
                      <a:extLst>
                        <a:ext uri="{28A0092B-C50C-407E-A947-70E740481C1C}">
                          <a14:useLocalDpi xmlns:a14="http://schemas.microsoft.com/office/drawing/2010/main" val="0"/>
                        </a:ext>
                      </a:extLst>
                    </a:blip>
                    <a:srcRect/>
                    <a:stretch>
                      <a:fillRect/>
                    </a:stretch>
                  </pic:blipFill>
                  <pic:spPr>
                    <a:xfrm>
                      <a:off x="0" y="0"/>
                      <a:ext cx="5476875" cy="3582670"/>
                    </a:xfrm>
                    <a:prstGeom prst="rect">
                      <a:avLst/>
                    </a:prstGeom>
                    <a:ln/>
                  </pic:spPr>
                </pic:pic>
              </a:graphicData>
            </a:graphic>
          </wp:inline>
        </w:drawing>
      </w:r>
    </w:p>
    <w:p w14:paraId="07909405" w14:textId="77777777" w:rsidR="00E00B47" w:rsidRPr="00E00B47" w:rsidRDefault="000C6205" w:rsidP="00E00B47">
      <w:pPr>
        <w:pStyle w:val="Heading2"/>
        <w:rPr>
          <w:rFonts w:ascii="Arial" w:hAnsi="Arial" w:cs="Arial"/>
          <w:sz w:val="20"/>
          <w:szCs w:val="20"/>
        </w:rPr>
      </w:pPr>
      <w:bookmarkStart w:id="12" w:name="_Toc112772060"/>
      <w:r w:rsidRPr="00E00B47">
        <w:rPr>
          <w:rFonts w:ascii="Arial" w:hAnsi="Arial" w:cs="Arial"/>
          <w:sz w:val="20"/>
          <w:szCs w:val="20"/>
        </w:rPr>
        <w:t>Supplementary Figure 9: R3C autocatalytic ligase tetrameric substrate complex.</w:t>
      </w:r>
      <w:bookmarkEnd w:id="12"/>
      <w:r w:rsidRPr="00E00B47">
        <w:rPr>
          <w:rFonts w:ascii="Arial" w:hAnsi="Arial" w:cs="Arial"/>
          <w:sz w:val="20"/>
          <w:szCs w:val="20"/>
        </w:rPr>
        <w:t xml:space="preserve"> </w:t>
      </w:r>
    </w:p>
    <w:p w14:paraId="508B45AD" w14:textId="77777777" w:rsidR="0037473B" w:rsidRDefault="000C6205" w:rsidP="00E00B47">
      <w:pPr>
        <w:spacing w:after="0"/>
        <w:jc w:val="both"/>
        <w:rPr>
          <w:rFonts w:ascii="Arial" w:eastAsia="Arial" w:hAnsi="Arial" w:cs="Arial"/>
          <w:sz w:val="20"/>
          <w:szCs w:val="20"/>
        </w:rPr>
      </w:pPr>
      <w:r>
        <w:rPr>
          <w:rFonts w:ascii="Arial" w:eastAsia="Arial" w:hAnsi="Arial" w:cs="Arial"/>
          <w:sz w:val="20"/>
          <w:szCs w:val="20"/>
        </w:rPr>
        <w:t xml:space="preserve">Secondary structure of the 2A2B substrate tetramer that can form by complementary base pairing.  </w:t>
      </w:r>
    </w:p>
    <w:p w14:paraId="09FCF117"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47B9C0C5" w14:textId="77777777" w:rsidR="00D24826" w:rsidRPr="00D24826" w:rsidRDefault="00D24826">
      <w:pPr>
        <w:jc w:val="both"/>
        <w:rPr>
          <w:rFonts w:ascii="Arial" w:eastAsia="Arial" w:hAnsi="Arial" w:cs="Arial"/>
          <w:sz w:val="20"/>
          <w:szCs w:val="20"/>
        </w:rPr>
      </w:pPr>
    </w:p>
    <w:p w14:paraId="3C250EFF" w14:textId="77777777" w:rsidR="00D24826" w:rsidRDefault="00F357A7" w:rsidP="00D24826">
      <w:pPr>
        <w:jc w:val="center"/>
        <w:rPr>
          <w:rFonts w:ascii="Arial" w:eastAsia="Arial" w:hAnsi="Arial" w:cs="Arial"/>
          <w:b/>
          <w:sz w:val="20"/>
          <w:szCs w:val="20"/>
        </w:rPr>
      </w:pPr>
      <w:r>
        <w:rPr>
          <w:noProof/>
        </w:rPr>
        <w:drawing>
          <wp:inline distT="0" distB="0" distL="0" distR="0" wp14:anchorId="145D5FD9" wp14:editId="1186B07D">
            <wp:extent cx="5692140" cy="2049824"/>
            <wp:effectExtent l="0" t="0" r="381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701051" cy="2053033"/>
                    </a:xfrm>
                    <a:prstGeom prst="rect">
                      <a:avLst/>
                    </a:prstGeom>
                    <a:noFill/>
                    <a:ln>
                      <a:noFill/>
                    </a:ln>
                  </pic:spPr>
                </pic:pic>
              </a:graphicData>
            </a:graphic>
          </wp:inline>
        </w:drawing>
      </w:r>
    </w:p>
    <w:p w14:paraId="74BD26C6" w14:textId="77777777" w:rsidR="00611BF6" w:rsidRPr="00611BF6" w:rsidRDefault="000C6205" w:rsidP="00611BF6">
      <w:pPr>
        <w:pStyle w:val="Heading2"/>
        <w:rPr>
          <w:rFonts w:ascii="Arial" w:hAnsi="Arial" w:cs="Arial"/>
          <w:i/>
          <w:sz w:val="20"/>
          <w:szCs w:val="20"/>
        </w:rPr>
      </w:pPr>
      <w:bookmarkStart w:id="13" w:name="_Toc112772061"/>
      <w:r w:rsidRPr="00611BF6">
        <w:rPr>
          <w:rFonts w:ascii="Arial" w:hAnsi="Arial" w:cs="Arial"/>
          <w:sz w:val="20"/>
          <w:szCs w:val="20"/>
        </w:rPr>
        <w:t>Supplementary Figure 10: Serial transfer of Cy5-A and Hyper-</w:t>
      </w:r>
      <w:proofErr w:type="spellStart"/>
      <w:r w:rsidRPr="00611BF6">
        <w:rPr>
          <w:rFonts w:ascii="Arial" w:hAnsi="Arial" w:cs="Arial"/>
          <w:sz w:val="20"/>
          <w:szCs w:val="20"/>
        </w:rPr>
        <w:t>A</w:t>
      </w:r>
      <w:proofErr w:type="spellEnd"/>
      <w:r w:rsidRPr="00611BF6">
        <w:rPr>
          <w:rFonts w:ascii="Arial" w:hAnsi="Arial" w:cs="Arial"/>
          <w:sz w:val="20"/>
          <w:szCs w:val="20"/>
        </w:rPr>
        <w:t xml:space="preserve"> </w:t>
      </w:r>
      <w:r w:rsidRPr="00611BF6">
        <w:rPr>
          <w:rFonts w:ascii="Arial" w:hAnsi="Arial" w:cs="Arial"/>
          <w:i/>
          <w:sz w:val="20"/>
          <w:szCs w:val="20"/>
        </w:rPr>
        <w:t>in vitro.</w:t>
      </w:r>
      <w:bookmarkEnd w:id="13"/>
      <w:r w:rsidRPr="00611BF6">
        <w:rPr>
          <w:rFonts w:ascii="Arial" w:hAnsi="Arial" w:cs="Arial"/>
          <w:i/>
          <w:sz w:val="20"/>
          <w:szCs w:val="20"/>
        </w:rPr>
        <w:t xml:space="preserve"> </w:t>
      </w:r>
    </w:p>
    <w:p w14:paraId="1785677A" w14:textId="77777777" w:rsidR="0037473B" w:rsidRDefault="000C6205" w:rsidP="00611BF6">
      <w:pPr>
        <w:spacing w:after="0"/>
        <w:jc w:val="both"/>
        <w:rPr>
          <w:rFonts w:ascii="Arial" w:eastAsia="Arial" w:hAnsi="Arial" w:cs="Arial"/>
          <w:sz w:val="20"/>
          <w:szCs w:val="20"/>
        </w:rPr>
      </w:pPr>
      <w:r>
        <w:rPr>
          <w:rFonts w:ascii="Arial" w:eastAsia="Arial" w:hAnsi="Arial" w:cs="Arial"/>
          <w:sz w:val="20"/>
          <w:szCs w:val="20"/>
        </w:rPr>
        <w:t xml:space="preserve">Gel images and band intensity graphs showing the yield of newly synthesized ribozyme following serial transfers of the previous generations. </w:t>
      </w:r>
      <w:r>
        <w:rPr>
          <w:rFonts w:ascii="Arial" w:eastAsia="Arial" w:hAnsi="Arial" w:cs="Arial"/>
          <w:b/>
          <w:sz w:val="20"/>
          <w:szCs w:val="20"/>
        </w:rPr>
        <w:t xml:space="preserve">(a) </w:t>
      </w:r>
      <w:r>
        <w:rPr>
          <w:rFonts w:ascii="Arial" w:eastAsia="Arial" w:hAnsi="Arial" w:cs="Arial"/>
          <w:sz w:val="20"/>
          <w:szCs w:val="20"/>
        </w:rPr>
        <w:t>10</w:t>
      </w:r>
      <w:r w:rsidR="00432C50">
        <w:rPr>
          <w:rFonts w:ascii="Arial" w:eastAsia="Arial" w:hAnsi="Arial" w:cs="Arial"/>
          <w:sz w:val="20"/>
          <w:szCs w:val="20"/>
        </w:rPr>
        <w:t xml:space="preserve"> </w:t>
      </w:r>
      <w:r>
        <w:rPr>
          <w:rFonts w:ascii="Arial" w:eastAsia="Arial" w:hAnsi="Arial" w:cs="Arial"/>
          <w:sz w:val="20"/>
          <w:szCs w:val="20"/>
        </w:rPr>
        <w:t>µM Cy5-A were mixed with 10</w:t>
      </w:r>
      <w:r w:rsidR="00432C50">
        <w:rPr>
          <w:rFonts w:ascii="Arial" w:eastAsia="Arial" w:hAnsi="Arial" w:cs="Arial"/>
          <w:sz w:val="20"/>
          <w:szCs w:val="20"/>
        </w:rPr>
        <w:t xml:space="preserve"> </w:t>
      </w:r>
      <w:r>
        <w:rPr>
          <w:rFonts w:ascii="Arial" w:eastAsia="Arial" w:hAnsi="Arial" w:cs="Arial"/>
          <w:sz w:val="20"/>
          <w:szCs w:val="20"/>
        </w:rPr>
        <w:t>µM of B and 1</w:t>
      </w:r>
      <w:r w:rsidR="00432C50">
        <w:rPr>
          <w:rFonts w:ascii="Arial" w:eastAsia="Arial" w:hAnsi="Arial" w:cs="Arial"/>
          <w:sz w:val="20"/>
          <w:szCs w:val="20"/>
        </w:rPr>
        <w:t xml:space="preserve"> </w:t>
      </w:r>
      <w:r>
        <w:rPr>
          <w:rFonts w:ascii="Arial" w:eastAsia="Arial" w:hAnsi="Arial" w:cs="Arial"/>
          <w:sz w:val="20"/>
          <w:szCs w:val="20"/>
        </w:rPr>
        <w:t>µM ribozyme in 20</w:t>
      </w:r>
      <w:r w:rsidR="00432C50">
        <w:rPr>
          <w:rFonts w:ascii="Arial" w:eastAsia="Arial" w:hAnsi="Arial" w:cs="Arial"/>
          <w:sz w:val="20"/>
          <w:szCs w:val="20"/>
        </w:rPr>
        <w:t xml:space="preserve"> </w:t>
      </w:r>
      <w:r>
        <w:rPr>
          <w:rFonts w:ascii="Arial" w:eastAsia="Arial" w:hAnsi="Arial" w:cs="Arial"/>
          <w:sz w:val="20"/>
          <w:szCs w:val="20"/>
        </w:rPr>
        <w:t>mM MgCl</w:t>
      </w:r>
      <w:r>
        <w:rPr>
          <w:rFonts w:ascii="Arial" w:eastAsia="Arial" w:hAnsi="Arial" w:cs="Arial"/>
          <w:sz w:val="20"/>
          <w:szCs w:val="20"/>
          <w:vertAlign w:val="subscript"/>
        </w:rPr>
        <w:t>2</w:t>
      </w:r>
      <w:r>
        <w:rPr>
          <w:rFonts w:ascii="Arial" w:eastAsia="Arial" w:hAnsi="Arial" w:cs="Arial"/>
          <w:sz w:val="20"/>
          <w:szCs w:val="20"/>
        </w:rPr>
        <w:t xml:space="preserve"> at pH 8.5. The reaction was incubated for 30 minutes at 42</w:t>
      </w:r>
      <w:r w:rsidR="00432C50">
        <w:rPr>
          <w:rFonts w:ascii="Arial" w:eastAsia="Arial" w:hAnsi="Arial" w:cs="Arial"/>
          <w:sz w:val="20"/>
          <w:szCs w:val="20"/>
        </w:rPr>
        <w:t xml:space="preserve"> </w:t>
      </w:r>
      <w:r>
        <w:rPr>
          <w:rFonts w:ascii="Arial" w:eastAsia="Arial" w:hAnsi="Arial" w:cs="Arial"/>
          <w:sz w:val="20"/>
          <w:szCs w:val="20"/>
        </w:rPr>
        <w:t>°C, after which 1</w:t>
      </w:r>
      <w:r w:rsidR="00432C50">
        <w:rPr>
          <w:rFonts w:ascii="Arial" w:eastAsia="Arial" w:hAnsi="Arial" w:cs="Arial"/>
          <w:sz w:val="20"/>
          <w:szCs w:val="20"/>
        </w:rPr>
        <w:t xml:space="preserve"> </w:t>
      </w:r>
      <w:r>
        <w:rPr>
          <w:rFonts w:ascii="Arial" w:eastAsia="Arial" w:hAnsi="Arial" w:cs="Arial"/>
          <w:sz w:val="20"/>
          <w:szCs w:val="20"/>
        </w:rPr>
        <w:t>µL of the reaction was transferred to 9</w:t>
      </w:r>
      <w:r w:rsidR="00432C50">
        <w:rPr>
          <w:rFonts w:ascii="Arial" w:eastAsia="Arial" w:hAnsi="Arial" w:cs="Arial"/>
          <w:sz w:val="20"/>
          <w:szCs w:val="20"/>
        </w:rPr>
        <w:t xml:space="preserve"> </w:t>
      </w:r>
      <w:r>
        <w:rPr>
          <w:rFonts w:ascii="Arial" w:eastAsia="Arial" w:hAnsi="Arial" w:cs="Arial"/>
          <w:sz w:val="20"/>
          <w:szCs w:val="20"/>
        </w:rPr>
        <w:t>µL of fresh substrate mix and the incubation was repeated. This was done several times to achieve 1x10</w:t>
      </w:r>
      <w:r>
        <w:rPr>
          <w:rFonts w:ascii="Arial" w:eastAsia="Arial" w:hAnsi="Arial" w:cs="Arial"/>
          <w:sz w:val="20"/>
          <w:szCs w:val="20"/>
          <w:vertAlign w:val="superscript"/>
        </w:rPr>
        <w:t xml:space="preserve">6 </w:t>
      </w:r>
      <w:r>
        <w:rPr>
          <w:rFonts w:ascii="Arial" w:eastAsia="Arial" w:hAnsi="Arial" w:cs="Arial"/>
          <w:sz w:val="20"/>
          <w:szCs w:val="20"/>
        </w:rPr>
        <w:t>dilution of the starting reactants. Samples were taken at the initial and final timepoints of a generation by quenching 1</w:t>
      </w:r>
      <w:r w:rsidR="00432C50">
        <w:rPr>
          <w:rFonts w:ascii="Arial" w:eastAsia="Arial" w:hAnsi="Arial" w:cs="Arial"/>
          <w:sz w:val="20"/>
          <w:szCs w:val="20"/>
        </w:rPr>
        <w:t xml:space="preserve"> </w:t>
      </w:r>
      <w:r>
        <w:rPr>
          <w:rFonts w:ascii="Arial" w:eastAsia="Arial" w:hAnsi="Arial" w:cs="Arial"/>
          <w:sz w:val="20"/>
          <w:szCs w:val="20"/>
        </w:rPr>
        <w:t>µL of reaction with 9</w:t>
      </w:r>
      <w:r w:rsidR="00432C50">
        <w:rPr>
          <w:rFonts w:ascii="Arial" w:eastAsia="Arial" w:hAnsi="Arial" w:cs="Arial"/>
          <w:sz w:val="20"/>
          <w:szCs w:val="20"/>
        </w:rPr>
        <w:t xml:space="preserve"> </w:t>
      </w:r>
      <w:r>
        <w:rPr>
          <w:rFonts w:ascii="Arial" w:eastAsia="Arial" w:hAnsi="Arial" w:cs="Arial"/>
          <w:sz w:val="20"/>
          <w:szCs w:val="20"/>
        </w:rPr>
        <w:t>µL R3C RNA loading buffer (25</w:t>
      </w:r>
      <w:r w:rsidR="008163A7">
        <w:rPr>
          <w:rFonts w:ascii="Arial" w:eastAsia="Arial" w:hAnsi="Arial" w:cs="Arial"/>
          <w:sz w:val="20"/>
          <w:szCs w:val="20"/>
        </w:rPr>
        <w:t xml:space="preserve"> </w:t>
      </w:r>
      <w:r>
        <w:rPr>
          <w:rFonts w:ascii="Arial" w:eastAsia="Arial" w:hAnsi="Arial" w:cs="Arial"/>
          <w:sz w:val="20"/>
          <w:szCs w:val="20"/>
        </w:rPr>
        <w:t>mM EDTA in formamide). Samples were heat denatured at 85</w:t>
      </w:r>
      <w:r w:rsidR="00432C50">
        <w:rPr>
          <w:rFonts w:ascii="Arial" w:eastAsia="Arial" w:hAnsi="Arial" w:cs="Arial"/>
          <w:sz w:val="20"/>
          <w:szCs w:val="20"/>
        </w:rPr>
        <w:t xml:space="preserve"> </w:t>
      </w:r>
      <w:r>
        <w:rPr>
          <w:rFonts w:ascii="Arial" w:eastAsia="Arial" w:hAnsi="Arial" w:cs="Arial"/>
          <w:sz w:val="20"/>
          <w:szCs w:val="20"/>
        </w:rPr>
        <w:t>°C for 5 minutes before loading onto a 12</w:t>
      </w:r>
      <w:r w:rsidR="00432C50">
        <w:rPr>
          <w:rFonts w:ascii="Arial" w:eastAsia="Arial" w:hAnsi="Arial" w:cs="Arial"/>
          <w:sz w:val="20"/>
          <w:szCs w:val="20"/>
        </w:rPr>
        <w:t xml:space="preserve"> </w:t>
      </w:r>
      <w:r>
        <w:rPr>
          <w:rFonts w:ascii="Arial" w:eastAsia="Arial" w:hAnsi="Arial" w:cs="Arial"/>
          <w:sz w:val="20"/>
          <w:szCs w:val="20"/>
        </w:rPr>
        <w:t xml:space="preserve">% denaturing PAGE. The absence of new ribozyme in the later generations indicates that the product formed from the ligation of Cy5-A and B is indeed inactive. </w:t>
      </w:r>
      <w:r>
        <w:rPr>
          <w:rFonts w:ascii="Arial" w:eastAsia="Arial" w:hAnsi="Arial" w:cs="Arial"/>
          <w:b/>
          <w:sz w:val="20"/>
          <w:szCs w:val="20"/>
        </w:rPr>
        <w:t xml:space="preserve">(b) </w:t>
      </w:r>
      <w:r>
        <w:rPr>
          <w:rFonts w:ascii="Arial" w:eastAsia="Arial" w:hAnsi="Arial" w:cs="Arial"/>
          <w:sz w:val="20"/>
          <w:szCs w:val="20"/>
        </w:rPr>
        <w:t>9</w:t>
      </w:r>
      <w:r w:rsidR="00432C50">
        <w:rPr>
          <w:rFonts w:ascii="Arial" w:eastAsia="Arial" w:hAnsi="Arial" w:cs="Arial"/>
          <w:sz w:val="20"/>
          <w:szCs w:val="20"/>
        </w:rPr>
        <w:t xml:space="preserve"> </w:t>
      </w:r>
      <w:r>
        <w:rPr>
          <w:rFonts w:ascii="Arial" w:eastAsia="Arial" w:hAnsi="Arial" w:cs="Arial"/>
          <w:sz w:val="20"/>
          <w:szCs w:val="20"/>
        </w:rPr>
        <w:t>µM Hyper-A, 1</w:t>
      </w:r>
      <w:r w:rsidR="00432C50">
        <w:rPr>
          <w:rFonts w:ascii="Arial" w:eastAsia="Arial" w:hAnsi="Arial" w:cs="Arial"/>
          <w:sz w:val="20"/>
          <w:szCs w:val="20"/>
        </w:rPr>
        <w:t xml:space="preserve"> </w:t>
      </w:r>
      <w:r>
        <w:rPr>
          <w:rFonts w:ascii="Arial" w:eastAsia="Arial" w:hAnsi="Arial" w:cs="Arial"/>
          <w:sz w:val="20"/>
          <w:szCs w:val="20"/>
        </w:rPr>
        <w:t>µM Cy5-A and 10</w:t>
      </w:r>
      <w:r w:rsidR="00432C50">
        <w:rPr>
          <w:rFonts w:ascii="Arial" w:eastAsia="Arial" w:hAnsi="Arial" w:cs="Arial"/>
          <w:sz w:val="20"/>
          <w:szCs w:val="20"/>
        </w:rPr>
        <w:t xml:space="preserve"> </w:t>
      </w:r>
      <w:r>
        <w:rPr>
          <w:rFonts w:ascii="Arial" w:eastAsia="Arial" w:hAnsi="Arial" w:cs="Arial"/>
          <w:sz w:val="20"/>
          <w:szCs w:val="20"/>
        </w:rPr>
        <w:t>µM B were mixed without any ribozyme in 20</w:t>
      </w:r>
      <w:r w:rsidR="00432C50">
        <w:rPr>
          <w:rFonts w:ascii="Arial" w:eastAsia="Arial" w:hAnsi="Arial" w:cs="Arial"/>
          <w:sz w:val="20"/>
          <w:szCs w:val="20"/>
        </w:rPr>
        <w:t xml:space="preserve"> </w:t>
      </w:r>
      <w:r>
        <w:rPr>
          <w:rFonts w:ascii="Arial" w:eastAsia="Arial" w:hAnsi="Arial" w:cs="Arial"/>
          <w:sz w:val="20"/>
          <w:szCs w:val="20"/>
        </w:rPr>
        <w:t>mM MgCl</w:t>
      </w:r>
      <w:r>
        <w:rPr>
          <w:rFonts w:ascii="Arial" w:eastAsia="Arial" w:hAnsi="Arial" w:cs="Arial"/>
          <w:sz w:val="20"/>
          <w:szCs w:val="20"/>
          <w:vertAlign w:val="subscript"/>
        </w:rPr>
        <w:t>2</w:t>
      </w:r>
      <w:r>
        <w:rPr>
          <w:rFonts w:ascii="Arial" w:eastAsia="Arial" w:hAnsi="Arial" w:cs="Arial"/>
          <w:sz w:val="20"/>
          <w:szCs w:val="20"/>
        </w:rPr>
        <w:t xml:space="preserve"> at pH 8.5. Incubation, transfers and electrophoresis protocol was the same as in </w:t>
      </w:r>
      <w:r>
        <w:rPr>
          <w:rFonts w:ascii="Arial" w:eastAsia="Arial" w:hAnsi="Arial" w:cs="Arial"/>
          <w:b/>
          <w:sz w:val="20"/>
          <w:szCs w:val="20"/>
        </w:rPr>
        <w:t>(a)</w:t>
      </w:r>
      <w:r>
        <w:rPr>
          <w:rFonts w:ascii="Arial" w:eastAsia="Arial" w:hAnsi="Arial" w:cs="Arial"/>
          <w:sz w:val="20"/>
          <w:szCs w:val="20"/>
        </w:rPr>
        <w:t xml:space="preserve">. The presence of a product band after the first incubation suggests that the Hyper-A substrate is also catalytically active. </w:t>
      </w:r>
      <w:r>
        <w:rPr>
          <w:rFonts w:ascii="Arial" w:eastAsia="Arial" w:hAnsi="Arial" w:cs="Arial"/>
          <w:b/>
          <w:sz w:val="20"/>
          <w:szCs w:val="20"/>
        </w:rPr>
        <w:t>(c)</w:t>
      </w:r>
      <w:r>
        <w:rPr>
          <w:rFonts w:ascii="Arial" w:eastAsia="Arial" w:hAnsi="Arial" w:cs="Arial"/>
          <w:sz w:val="20"/>
          <w:szCs w:val="20"/>
        </w:rPr>
        <w:t xml:space="preserve"> Positive control showing 9</w:t>
      </w:r>
      <w:r w:rsidR="00432C50">
        <w:rPr>
          <w:rFonts w:ascii="Arial" w:eastAsia="Arial" w:hAnsi="Arial" w:cs="Arial"/>
          <w:sz w:val="20"/>
          <w:szCs w:val="20"/>
        </w:rPr>
        <w:t xml:space="preserve"> </w:t>
      </w:r>
      <w:r>
        <w:rPr>
          <w:rFonts w:ascii="Arial" w:eastAsia="Arial" w:hAnsi="Arial" w:cs="Arial"/>
          <w:sz w:val="20"/>
          <w:szCs w:val="20"/>
        </w:rPr>
        <w:t>µM Hyper-A, 1</w:t>
      </w:r>
      <w:r w:rsidR="00432C50">
        <w:rPr>
          <w:rFonts w:ascii="Arial" w:eastAsia="Arial" w:hAnsi="Arial" w:cs="Arial"/>
          <w:sz w:val="20"/>
          <w:szCs w:val="20"/>
        </w:rPr>
        <w:t xml:space="preserve"> </w:t>
      </w:r>
      <w:r>
        <w:rPr>
          <w:rFonts w:ascii="Arial" w:eastAsia="Arial" w:hAnsi="Arial" w:cs="Arial"/>
          <w:sz w:val="20"/>
          <w:szCs w:val="20"/>
        </w:rPr>
        <w:t>µM Cy5-A, 10</w:t>
      </w:r>
      <w:r w:rsidR="00432C50">
        <w:rPr>
          <w:rFonts w:ascii="Arial" w:eastAsia="Arial" w:hAnsi="Arial" w:cs="Arial"/>
          <w:sz w:val="20"/>
          <w:szCs w:val="20"/>
        </w:rPr>
        <w:t xml:space="preserve"> </w:t>
      </w:r>
      <w:r>
        <w:rPr>
          <w:rFonts w:ascii="Arial" w:eastAsia="Arial" w:hAnsi="Arial" w:cs="Arial"/>
          <w:sz w:val="20"/>
          <w:szCs w:val="20"/>
        </w:rPr>
        <w:t>µM B and 1</w:t>
      </w:r>
      <w:r w:rsidR="00432C50">
        <w:rPr>
          <w:rFonts w:ascii="Arial" w:eastAsia="Arial" w:hAnsi="Arial" w:cs="Arial"/>
          <w:sz w:val="20"/>
          <w:szCs w:val="20"/>
        </w:rPr>
        <w:t xml:space="preserve"> </w:t>
      </w:r>
      <w:r>
        <w:rPr>
          <w:rFonts w:ascii="Arial" w:eastAsia="Arial" w:hAnsi="Arial" w:cs="Arial"/>
          <w:sz w:val="20"/>
          <w:szCs w:val="20"/>
        </w:rPr>
        <w:t>µM F ribozyme were incubated in 20</w:t>
      </w:r>
      <w:r w:rsidR="00432C50">
        <w:rPr>
          <w:rFonts w:ascii="Arial" w:eastAsia="Arial" w:hAnsi="Arial" w:cs="Arial"/>
          <w:sz w:val="20"/>
          <w:szCs w:val="20"/>
        </w:rPr>
        <w:t xml:space="preserve"> </w:t>
      </w:r>
      <w:r>
        <w:rPr>
          <w:rFonts w:ascii="Arial" w:eastAsia="Arial" w:hAnsi="Arial" w:cs="Arial"/>
          <w:sz w:val="20"/>
          <w:szCs w:val="20"/>
        </w:rPr>
        <w:t>mM MgCl</w:t>
      </w:r>
      <w:r>
        <w:rPr>
          <w:rFonts w:ascii="Arial" w:eastAsia="Arial" w:hAnsi="Arial" w:cs="Arial"/>
          <w:sz w:val="20"/>
          <w:szCs w:val="20"/>
          <w:vertAlign w:val="subscript"/>
        </w:rPr>
        <w:t>2</w:t>
      </w:r>
      <w:r>
        <w:rPr>
          <w:rFonts w:ascii="Arial" w:eastAsia="Arial" w:hAnsi="Arial" w:cs="Arial"/>
          <w:sz w:val="20"/>
          <w:szCs w:val="20"/>
        </w:rPr>
        <w:t xml:space="preserve"> at pH 8.5. The system is autocatalytic because the product that forms can catalyze the formation of more product. Even after 1-million-fold dilution of the initial ribozyme (1</w:t>
      </w:r>
      <w:r w:rsidR="008163A7">
        <w:rPr>
          <w:rFonts w:ascii="Arial" w:eastAsia="Arial" w:hAnsi="Arial" w:cs="Arial"/>
          <w:sz w:val="20"/>
          <w:szCs w:val="20"/>
        </w:rPr>
        <w:t xml:space="preserve"> </w:t>
      </w:r>
      <w:r>
        <w:rPr>
          <w:rFonts w:ascii="Arial" w:eastAsia="Arial" w:hAnsi="Arial" w:cs="Arial"/>
          <w:sz w:val="20"/>
          <w:szCs w:val="20"/>
        </w:rPr>
        <w:t>µM</w:t>
      </w:r>
      <w:r w:rsidR="00432C50">
        <w:rPr>
          <w:rFonts w:ascii="Arial" w:eastAsia="Arial" w:hAnsi="Arial" w:cs="Arial"/>
          <w:sz w:val="20"/>
          <w:szCs w:val="20"/>
        </w:rPr>
        <w:t xml:space="preserve"> to </w:t>
      </w:r>
      <w:r>
        <w:rPr>
          <w:rFonts w:ascii="Arial" w:eastAsia="Arial" w:hAnsi="Arial" w:cs="Arial"/>
          <w:sz w:val="20"/>
          <w:szCs w:val="20"/>
        </w:rPr>
        <w:t>1</w:t>
      </w:r>
      <w:r w:rsidR="008163A7">
        <w:rPr>
          <w:rFonts w:ascii="Arial" w:eastAsia="Arial" w:hAnsi="Arial" w:cs="Arial"/>
          <w:sz w:val="20"/>
          <w:szCs w:val="20"/>
        </w:rPr>
        <w:t xml:space="preserve"> </w:t>
      </w:r>
      <w:proofErr w:type="spellStart"/>
      <w:r>
        <w:rPr>
          <w:rFonts w:ascii="Arial" w:eastAsia="Arial" w:hAnsi="Arial" w:cs="Arial"/>
          <w:sz w:val="20"/>
          <w:szCs w:val="20"/>
        </w:rPr>
        <w:t>pM</w:t>
      </w:r>
      <w:proofErr w:type="spellEnd"/>
      <w:r>
        <w:rPr>
          <w:rFonts w:ascii="Arial" w:eastAsia="Arial" w:hAnsi="Arial" w:cs="Arial"/>
          <w:sz w:val="20"/>
          <w:szCs w:val="20"/>
        </w:rPr>
        <w:t xml:space="preserve">), roughly the same amount of product is obtained under the same incubation period as the first generation. Together these data prove that the Cy5-A substrate is in fact inactive while the Hyper-A substrate </w:t>
      </w:r>
      <w:r w:rsidR="00432C50">
        <w:rPr>
          <w:rFonts w:ascii="Arial" w:eastAsia="Arial" w:hAnsi="Arial" w:cs="Arial"/>
          <w:sz w:val="20"/>
          <w:szCs w:val="20"/>
        </w:rPr>
        <w:t>retains some</w:t>
      </w:r>
      <w:r>
        <w:rPr>
          <w:rFonts w:ascii="Arial" w:eastAsia="Arial" w:hAnsi="Arial" w:cs="Arial"/>
          <w:sz w:val="20"/>
          <w:szCs w:val="20"/>
        </w:rPr>
        <w:t xml:space="preserve"> activ</w:t>
      </w:r>
      <w:r w:rsidR="00432C50">
        <w:rPr>
          <w:rFonts w:ascii="Arial" w:eastAsia="Arial" w:hAnsi="Arial" w:cs="Arial"/>
          <w:sz w:val="20"/>
          <w:szCs w:val="20"/>
        </w:rPr>
        <w:t>ity</w:t>
      </w:r>
      <w:r>
        <w:rPr>
          <w:rFonts w:ascii="Arial" w:eastAsia="Arial" w:hAnsi="Arial" w:cs="Arial"/>
          <w:sz w:val="20"/>
          <w:szCs w:val="20"/>
        </w:rPr>
        <w:t xml:space="preserve">. </w:t>
      </w:r>
    </w:p>
    <w:p w14:paraId="73DF7C5F" w14:textId="77777777" w:rsidR="00D24826" w:rsidRPr="00D24826" w:rsidRDefault="00D24826">
      <w:pPr>
        <w:jc w:val="both"/>
        <w:rPr>
          <w:rFonts w:ascii="Arial" w:eastAsia="Arial" w:hAnsi="Arial" w:cs="Arial"/>
          <w:b/>
          <w:sz w:val="20"/>
          <w:szCs w:val="20"/>
        </w:rPr>
      </w:pPr>
    </w:p>
    <w:p w14:paraId="5FB34C89" w14:textId="77777777" w:rsidR="0037473B" w:rsidRDefault="00F357A7" w:rsidP="00584A5F">
      <w:pPr>
        <w:jc w:val="center"/>
        <w:rPr>
          <w:rFonts w:ascii="Arial" w:eastAsia="Arial" w:hAnsi="Arial" w:cs="Arial"/>
          <w:sz w:val="20"/>
          <w:szCs w:val="20"/>
        </w:rPr>
      </w:pPr>
      <w:r>
        <w:rPr>
          <w:rFonts w:ascii="Arial" w:eastAsia="Arial" w:hAnsi="Arial" w:cs="Arial"/>
          <w:noProof/>
          <w:sz w:val="20"/>
          <w:szCs w:val="20"/>
        </w:rPr>
        <w:lastRenderedPageBreak/>
        <w:drawing>
          <wp:inline distT="0" distB="0" distL="0" distR="0" wp14:anchorId="7D62A1B7" wp14:editId="23934FCA">
            <wp:extent cx="5699760" cy="569976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699760" cy="5699760"/>
                    </a:xfrm>
                    <a:prstGeom prst="rect">
                      <a:avLst/>
                    </a:prstGeom>
                    <a:noFill/>
                    <a:ln>
                      <a:noFill/>
                    </a:ln>
                  </pic:spPr>
                </pic:pic>
              </a:graphicData>
            </a:graphic>
          </wp:inline>
        </w:drawing>
      </w:r>
    </w:p>
    <w:p w14:paraId="7C8BFFB4" w14:textId="77777777" w:rsidR="00064213" w:rsidRPr="00064213" w:rsidRDefault="00A27FC1" w:rsidP="00064213">
      <w:pPr>
        <w:pStyle w:val="Heading2"/>
        <w:rPr>
          <w:rFonts w:ascii="Arial" w:hAnsi="Arial" w:cs="Arial"/>
          <w:sz w:val="20"/>
        </w:rPr>
      </w:pPr>
      <w:bookmarkStart w:id="14" w:name="_Toc112772062"/>
      <w:r w:rsidRPr="00064213">
        <w:rPr>
          <w:rFonts w:ascii="Arial" w:hAnsi="Arial" w:cs="Arial"/>
          <w:sz w:val="20"/>
        </w:rPr>
        <w:t xml:space="preserve">Supplementary Figure 11: </w:t>
      </w:r>
      <w:r w:rsidRPr="00064213">
        <w:rPr>
          <w:rFonts w:ascii="Arial" w:hAnsi="Arial" w:cs="Arial"/>
          <w:i/>
          <w:sz w:val="20"/>
        </w:rPr>
        <w:t>in vitro</w:t>
      </w:r>
      <w:r w:rsidRPr="00064213">
        <w:rPr>
          <w:rFonts w:ascii="Arial" w:hAnsi="Arial" w:cs="Arial"/>
          <w:sz w:val="20"/>
        </w:rPr>
        <w:t xml:space="preserve"> characterization of F1 and Hyper-A under desired buffer conditions.</w:t>
      </w:r>
      <w:bookmarkEnd w:id="14"/>
      <w:r w:rsidRPr="00064213">
        <w:rPr>
          <w:rFonts w:ascii="Arial" w:hAnsi="Arial" w:cs="Arial"/>
          <w:sz w:val="20"/>
        </w:rPr>
        <w:t xml:space="preserve"> </w:t>
      </w:r>
    </w:p>
    <w:p w14:paraId="21DD97BA" w14:textId="77777777" w:rsidR="00A27FC1" w:rsidRDefault="00A27FC1" w:rsidP="00064213">
      <w:pPr>
        <w:spacing w:after="0"/>
        <w:jc w:val="both"/>
        <w:rPr>
          <w:rFonts w:ascii="Arial" w:eastAsia="Arial" w:hAnsi="Arial" w:cs="Arial"/>
          <w:sz w:val="20"/>
          <w:szCs w:val="20"/>
        </w:rPr>
      </w:pPr>
      <w:r>
        <w:rPr>
          <w:rFonts w:ascii="Arial" w:eastAsia="Arial" w:hAnsi="Arial" w:cs="Arial"/>
          <w:sz w:val="20"/>
          <w:szCs w:val="20"/>
        </w:rPr>
        <w:t>Reaction cycles illustrating the ligation of inactive Cy5-A substrate</w:t>
      </w:r>
      <w:r w:rsidR="002E7F9D">
        <w:rPr>
          <w:rFonts w:ascii="Arial" w:eastAsia="Arial" w:hAnsi="Arial" w:cs="Arial"/>
          <w:sz w:val="20"/>
          <w:szCs w:val="20"/>
        </w:rPr>
        <w:t xml:space="preserve"> to B substrate</w:t>
      </w:r>
      <w:r>
        <w:rPr>
          <w:rFonts w:ascii="Arial" w:eastAsia="Arial" w:hAnsi="Arial" w:cs="Arial"/>
          <w:sz w:val="20"/>
          <w:szCs w:val="20"/>
        </w:rPr>
        <w:t xml:space="preserve"> by </w:t>
      </w:r>
      <w:r w:rsidRPr="00A27FC1">
        <w:rPr>
          <w:rFonts w:ascii="Arial" w:eastAsia="Arial" w:hAnsi="Arial" w:cs="Arial"/>
          <w:b/>
          <w:sz w:val="20"/>
          <w:szCs w:val="20"/>
        </w:rPr>
        <w:t>a)</w:t>
      </w:r>
      <w:r>
        <w:rPr>
          <w:rFonts w:ascii="Arial" w:eastAsia="Arial" w:hAnsi="Arial" w:cs="Arial"/>
          <w:sz w:val="20"/>
          <w:szCs w:val="20"/>
        </w:rPr>
        <w:t xml:space="preserve"> F1 ribozyme or </w:t>
      </w:r>
      <w:r w:rsidRPr="00A27FC1">
        <w:rPr>
          <w:rFonts w:ascii="Arial" w:eastAsia="Arial" w:hAnsi="Arial" w:cs="Arial"/>
          <w:b/>
          <w:sz w:val="20"/>
          <w:szCs w:val="20"/>
        </w:rPr>
        <w:t>b)</w:t>
      </w:r>
      <w:r>
        <w:rPr>
          <w:rFonts w:ascii="Arial" w:eastAsia="Arial" w:hAnsi="Arial" w:cs="Arial"/>
          <w:sz w:val="20"/>
          <w:szCs w:val="20"/>
        </w:rPr>
        <w:t xml:space="preserve"> the Hyper-A substrate. </w:t>
      </w:r>
      <w:r w:rsidRPr="00A27FC1">
        <w:rPr>
          <w:rFonts w:ascii="Arial" w:eastAsia="Arial" w:hAnsi="Arial" w:cs="Arial"/>
          <w:b/>
          <w:sz w:val="20"/>
          <w:szCs w:val="20"/>
        </w:rPr>
        <w:t>c)</w:t>
      </w:r>
      <w:r>
        <w:rPr>
          <w:rFonts w:ascii="Arial" w:eastAsia="Arial" w:hAnsi="Arial" w:cs="Arial"/>
          <w:sz w:val="20"/>
          <w:szCs w:val="20"/>
        </w:rPr>
        <w:t xml:space="preserve"> Plot showing the ligation yields of different seeded concentrations for F1 or Hyper-A in 50 mM EPPS, 20 mM MgCl</w:t>
      </w:r>
      <w:r>
        <w:rPr>
          <w:rFonts w:ascii="Arial" w:eastAsia="Arial" w:hAnsi="Arial" w:cs="Arial"/>
          <w:sz w:val="20"/>
          <w:szCs w:val="20"/>
          <w:vertAlign w:val="subscript"/>
        </w:rPr>
        <w:t>2</w:t>
      </w:r>
      <w:r>
        <w:rPr>
          <w:rFonts w:ascii="Arial" w:eastAsia="Arial" w:hAnsi="Arial" w:cs="Arial"/>
          <w:sz w:val="20"/>
          <w:szCs w:val="20"/>
        </w:rPr>
        <w:t>, 900</w:t>
      </w:r>
      <w:r w:rsidR="00D81C38">
        <w:rPr>
          <w:rFonts w:ascii="Arial" w:eastAsia="Arial" w:hAnsi="Arial" w:cs="Arial"/>
          <w:sz w:val="20"/>
          <w:szCs w:val="20"/>
        </w:rPr>
        <w:t xml:space="preserve"> </w:t>
      </w:r>
      <w:r>
        <w:rPr>
          <w:rFonts w:ascii="Arial" w:eastAsia="Arial" w:hAnsi="Arial" w:cs="Arial"/>
          <w:sz w:val="20"/>
          <w:szCs w:val="20"/>
        </w:rPr>
        <w:t xml:space="preserve">mM sucrose at 42 °C. </w:t>
      </w:r>
      <w:r w:rsidR="002E7F9D">
        <w:rPr>
          <w:rFonts w:ascii="Arial" w:eastAsia="Arial" w:hAnsi="Arial" w:cs="Arial"/>
          <w:sz w:val="20"/>
          <w:szCs w:val="20"/>
        </w:rPr>
        <w:t>Cy-A was</w:t>
      </w:r>
      <w:r w:rsidR="000F07E6">
        <w:rPr>
          <w:rFonts w:ascii="Arial" w:eastAsia="Arial" w:hAnsi="Arial" w:cs="Arial"/>
          <w:sz w:val="20"/>
          <w:szCs w:val="20"/>
        </w:rPr>
        <w:t xml:space="preserve"> present</w:t>
      </w:r>
      <w:r w:rsidR="002E7F9D">
        <w:rPr>
          <w:rFonts w:ascii="Arial" w:eastAsia="Arial" w:hAnsi="Arial" w:cs="Arial"/>
          <w:sz w:val="20"/>
          <w:szCs w:val="20"/>
        </w:rPr>
        <w:t xml:space="preserve"> at 5 µM while B was at 7.5 µM. </w:t>
      </w:r>
      <w:r>
        <w:rPr>
          <w:rFonts w:ascii="Arial" w:eastAsia="Arial" w:hAnsi="Arial" w:cs="Arial"/>
          <w:sz w:val="20"/>
          <w:szCs w:val="20"/>
        </w:rPr>
        <w:t xml:space="preserve">Gel images can be seen in Supplementary Figure 12. </w:t>
      </w:r>
      <w:r>
        <w:rPr>
          <w:rFonts w:ascii="Arial" w:eastAsia="Arial" w:hAnsi="Arial" w:cs="Arial"/>
          <w:b/>
          <w:sz w:val="20"/>
          <w:szCs w:val="20"/>
        </w:rPr>
        <w:t>d</w:t>
      </w:r>
      <w:r w:rsidRPr="00A27FC1">
        <w:rPr>
          <w:rFonts w:ascii="Arial" w:eastAsia="Arial" w:hAnsi="Arial" w:cs="Arial"/>
          <w:b/>
          <w:sz w:val="20"/>
          <w:szCs w:val="20"/>
        </w:rPr>
        <w:t>)</w:t>
      </w:r>
      <w:r>
        <w:rPr>
          <w:rFonts w:ascii="Arial" w:eastAsia="Arial" w:hAnsi="Arial" w:cs="Arial"/>
          <w:b/>
          <w:sz w:val="20"/>
          <w:szCs w:val="20"/>
        </w:rPr>
        <w:t xml:space="preserve"> </w:t>
      </w:r>
      <w:r>
        <w:rPr>
          <w:rFonts w:ascii="Arial" w:eastAsia="Arial" w:hAnsi="Arial" w:cs="Arial"/>
          <w:sz w:val="20"/>
          <w:szCs w:val="20"/>
        </w:rPr>
        <w:t>Plot showing the ligation yields of F1 and Hyper-A after 1 hour at 42 °C</w:t>
      </w:r>
      <w:r w:rsidR="002E7F9D">
        <w:rPr>
          <w:rFonts w:ascii="Arial" w:eastAsia="Arial" w:hAnsi="Arial" w:cs="Arial"/>
          <w:sz w:val="20"/>
          <w:szCs w:val="20"/>
        </w:rPr>
        <w:t>, as a function of initial seed concentration.</w:t>
      </w:r>
      <w:r>
        <w:rPr>
          <w:rFonts w:ascii="Arial" w:eastAsia="Arial" w:hAnsi="Arial" w:cs="Arial"/>
          <w:sz w:val="20"/>
          <w:szCs w:val="20"/>
        </w:rPr>
        <w:t xml:space="preserve"> </w:t>
      </w:r>
      <w:r w:rsidR="005B19DF">
        <w:rPr>
          <w:rFonts w:ascii="Arial" w:eastAsia="Arial" w:hAnsi="Arial" w:cs="Arial"/>
          <w:sz w:val="20"/>
          <w:szCs w:val="20"/>
        </w:rPr>
        <w:t xml:space="preserve">In both plots, the data points were fitted with an exponential growth function. Error bars represent the standard deviation (N=3). </w:t>
      </w:r>
    </w:p>
    <w:p w14:paraId="4D126D72" w14:textId="77777777" w:rsidR="00D24826" w:rsidRDefault="00D24826">
      <w:pPr>
        <w:jc w:val="both"/>
        <w:rPr>
          <w:rFonts w:ascii="Arial" w:eastAsia="Arial" w:hAnsi="Arial" w:cs="Arial"/>
          <w:sz w:val="20"/>
          <w:szCs w:val="20"/>
        </w:rPr>
      </w:pPr>
    </w:p>
    <w:p w14:paraId="56FD9511" w14:textId="77777777" w:rsidR="0037473B" w:rsidRDefault="00F357A7" w:rsidP="00D24826">
      <w:pPr>
        <w:jc w:val="center"/>
        <w:rPr>
          <w:rFonts w:ascii="Arial" w:eastAsia="Arial" w:hAnsi="Arial" w:cs="Arial"/>
          <w:sz w:val="20"/>
          <w:szCs w:val="20"/>
        </w:rPr>
      </w:pPr>
      <w:r>
        <w:rPr>
          <w:noProof/>
        </w:rPr>
        <w:lastRenderedPageBreak/>
        <w:drawing>
          <wp:inline distT="0" distB="0" distL="0" distR="0" wp14:anchorId="58C48BFF" wp14:editId="073B958C">
            <wp:extent cx="5196840" cy="4123174"/>
            <wp:effectExtent l="0" t="0" r="381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198465" cy="4124463"/>
                    </a:xfrm>
                    <a:prstGeom prst="rect">
                      <a:avLst/>
                    </a:prstGeom>
                    <a:noFill/>
                    <a:ln>
                      <a:noFill/>
                    </a:ln>
                  </pic:spPr>
                </pic:pic>
              </a:graphicData>
            </a:graphic>
          </wp:inline>
        </w:drawing>
      </w:r>
    </w:p>
    <w:p w14:paraId="594C812B" w14:textId="77777777" w:rsidR="00064213" w:rsidRPr="00064213" w:rsidRDefault="000C6205" w:rsidP="00064213">
      <w:pPr>
        <w:pStyle w:val="Heading2"/>
        <w:rPr>
          <w:rFonts w:ascii="Arial" w:hAnsi="Arial" w:cs="Arial"/>
          <w:sz w:val="20"/>
          <w:szCs w:val="20"/>
        </w:rPr>
      </w:pPr>
      <w:bookmarkStart w:id="15" w:name="_Toc112772063"/>
      <w:r w:rsidRPr="00064213">
        <w:rPr>
          <w:rFonts w:ascii="Arial" w:hAnsi="Arial" w:cs="Arial"/>
          <w:sz w:val="20"/>
          <w:szCs w:val="20"/>
        </w:rPr>
        <w:t>Supplementary Figure 1</w:t>
      </w:r>
      <w:r w:rsidR="00A27FC1" w:rsidRPr="00064213">
        <w:rPr>
          <w:rFonts w:ascii="Arial" w:hAnsi="Arial" w:cs="Arial"/>
          <w:sz w:val="20"/>
          <w:szCs w:val="20"/>
        </w:rPr>
        <w:t>2</w:t>
      </w:r>
      <w:r w:rsidRPr="00064213">
        <w:rPr>
          <w:rFonts w:ascii="Arial" w:hAnsi="Arial" w:cs="Arial"/>
          <w:sz w:val="20"/>
          <w:szCs w:val="20"/>
        </w:rPr>
        <w:t>: Gel image</w:t>
      </w:r>
      <w:r w:rsidR="009937E6" w:rsidRPr="00064213">
        <w:rPr>
          <w:rFonts w:ascii="Arial" w:hAnsi="Arial" w:cs="Arial"/>
          <w:sz w:val="20"/>
          <w:szCs w:val="20"/>
        </w:rPr>
        <w:t>s</w:t>
      </w:r>
      <w:r w:rsidRPr="00064213">
        <w:rPr>
          <w:rFonts w:ascii="Arial" w:hAnsi="Arial" w:cs="Arial"/>
          <w:sz w:val="20"/>
          <w:szCs w:val="20"/>
        </w:rPr>
        <w:t xml:space="preserve"> of R3C ligase ribozyme F and the active substrate Hyper-</w:t>
      </w:r>
      <w:proofErr w:type="spellStart"/>
      <w:r w:rsidRPr="00064213">
        <w:rPr>
          <w:rFonts w:ascii="Arial" w:hAnsi="Arial" w:cs="Arial"/>
          <w:sz w:val="20"/>
          <w:szCs w:val="20"/>
        </w:rPr>
        <w:t>A</w:t>
      </w:r>
      <w:proofErr w:type="spellEnd"/>
      <w:r w:rsidRPr="00064213">
        <w:rPr>
          <w:rFonts w:ascii="Arial" w:hAnsi="Arial" w:cs="Arial"/>
          <w:sz w:val="20"/>
          <w:szCs w:val="20"/>
        </w:rPr>
        <w:t xml:space="preserve"> </w:t>
      </w:r>
      <w:r w:rsidRPr="00064213">
        <w:rPr>
          <w:rFonts w:ascii="Arial" w:hAnsi="Arial" w:cs="Arial"/>
          <w:i/>
          <w:sz w:val="20"/>
          <w:szCs w:val="20"/>
        </w:rPr>
        <w:t>in vitro</w:t>
      </w:r>
      <w:r w:rsidRPr="00064213">
        <w:rPr>
          <w:rFonts w:ascii="Arial" w:hAnsi="Arial" w:cs="Arial"/>
          <w:sz w:val="20"/>
          <w:szCs w:val="20"/>
        </w:rPr>
        <w:t>.</w:t>
      </w:r>
      <w:bookmarkEnd w:id="15"/>
      <w:r w:rsidRPr="00064213">
        <w:rPr>
          <w:rFonts w:ascii="Arial" w:hAnsi="Arial" w:cs="Arial"/>
          <w:sz w:val="20"/>
          <w:szCs w:val="20"/>
        </w:rPr>
        <w:t xml:space="preserve"> </w:t>
      </w:r>
    </w:p>
    <w:p w14:paraId="67044036" w14:textId="77777777" w:rsidR="0037473B" w:rsidRDefault="000C6205" w:rsidP="00064213">
      <w:pPr>
        <w:spacing w:after="0"/>
        <w:jc w:val="both"/>
        <w:rPr>
          <w:rFonts w:ascii="Arial" w:eastAsia="Arial" w:hAnsi="Arial" w:cs="Arial"/>
          <w:sz w:val="20"/>
          <w:szCs w:val="20"/>
        </w:rPr>
      </w:pPr>
      <w:r>
        <w:rPr>
          <w:rFonts w:ascii="Arial" w:eastAsia="Arial" w:hAnsi="Arial" w:cs="Arial"/>
          <w:sz w:val="20"/>
          <w:szCs w:val="20"/>
        </w:rPr>
        <w:t>The ribozyme F and the Hyper-A substrate were seeded at different concentrations with 5</w:t>
      </w:r>
      <w:r w:rsidR="00D81C38">
        <w:rPr>
          <w:rFonts w:ascii="Arial" w:eastAsia="Arial" w:hAnsi="Arial" w:cs="Arial"/>
          <w:sz w:val="20"/>
          <w:szCs w:val="20"/>
        </w:rPr>
        <w:t xml:space="preserve"> </w:t>
      </w:r>
      <w:r>
        <w:rPr>
          <w:rFonts w:ascii="Arial" w:eastAsia="Arial" w:hAnsi="Arial" w:cs="Arial"/>
          <w:sz w:val="20"/>
          <w:szCs w:val="20"/>
        </w:rPr>
        <w:t>µM Cy5-A and 7.5</w:t>
      </w:r>
      <w:r w:rsidR="00D81C38">
        <w:rPr>
          <w:rFonts w:ascii="Arial" w:eastAsia="Arial" w:hAnsi="Arial" w:cs="Arial"/>
          <w:sz w:val="20"/>
          <w:szCs w:val="20"/>
        </w:rPr>
        <w:t xml:space="preserve"> </w:t>
      </w:r>
      <w:r>
        <w:rPr>
          <w:rFonts w:ascii="Arial" w:eastAsia="Arial" w:hAnsi="Arial" w:cs="Arial"/>
          <w:sz w:val="20"/>
          <w:szCs w:val="20"/>
        </w:rPr>
        <w:t>µM B substrate with 900</w:t>
      </w:r>
      <w:r w:rsidR="00D81C38">
        <w:rPr>
          <w:rFonts w:ascii="Arial" w:eastAsia="Arial" w:hAnsi="Arial" w:cs="Arial"/>
          <w:sz w:val="20"/>
          <w:szCs w:val="20"/>
        </w:rPr>
        <w:t xml:space="preserve"> </w:t>
      </w:r>
      <w:r>
        <w:rPr>
          <w:rFonts w:ascii="Arial" w:eastAsia="Arial" w:hAnsi="Arial" w:cs="Arial"/>
          <w:sz w:val="20"/>
          <w:szCs w:val="20"/>
        </w:rPr>
        <w:t>mM sucrose, 20</w:t>
      </w:r>
      <w:r w:rsidR="00D81C38">
        <w:rPr>
          <w:rFonts w:ascii="Arial" w:eastAsia="Arial" w:hAnsi="Arial" w:cs="Arial"/>
          <w:sz w:val="20"/>
          <w:szCs w:val="20"/>
        </w:rPr>
        <w:t xml:space="preserve"> </w:t>
      </w:r>
      <w:r>
        <w:rPr>
          <w:rFonts w:ascii="Arial" w:eastAsia="Arial" w:hAnsi="Arial" w:cs="Arial"/>
          <w:sz w:val="20"/>
          <w:szCs w:val="20"/>
        </w:rPr>
        <w:t>mM magnesium chloride and 50</w:t>
      </w:r>
      <w:r w:rsidR="00D81C38">
        <w:rPr>
          <w:rFonts w:ascii="Arial" w:eastAsia="Arial" w:hAnsi="Arial" w:cs="Arial"/>
          <w:sz w:val="20"/>
          <w:szCs w:val="20"/>
        </w:rPr>
        <w:t xml:space="preserve"> </w:t>
      </w:r>
      <w:r>
        <w:rPr>
          <w:rFonts w:ascii="Arial" w:eastAsia="Arial" w:hAnsi="Arial" w:cs="Arial"/>
          <w:sz w:val="20"/>
          <w:szCs w:val="20"/>
        </w:rPr>
        <w:t>mM EPPS at pH 8.5. Samples were incubated at 42</w:t>
      </w:r>
      <w:r w:rsidR="00D81C38">
        <w:rPr>
          <w:rFonts w:ascii="Arial" w:eastAsia="Arial" w:hAnsi="Arial" w:cs="Arial"/>
          <w:sz w:val="20"/>
          <w:szCs w:val="20"/>
        </w:rPr>
        <w:t xml:space="preserve"> </w:t>
      </w:r>
      <w:r>
        <w:rPr>
          <w:rFonts w:ascii="Arial" w:eastAsia="Arial" w:hAnsi="Arial" w:cs="Arial"/>
          <w:sz w:val="20"/>
          <w:szCs w:val="20"/>
        </w:rPr>
        <w:t>°C and quenched at the indicated times with 9 volumes of R3C loading buffer (25</w:t>
      </w:r>
      <w:r w:rsidR="00D81C38">
        <w:rPr>
          <w:rFonts w:ascii="Arial" w:eastAsia="Arial" w:hAnsi="Arial" w:cs="Arial"/>
          <w:sz w:val="20"/>
          <w:szCs w:val="20"/>
        </w:rPr>
        <w:t xml:space="preserve"> </w:t>
      </w:r>
      <w:r>
        <w:rPr>
          <w:rFonts w:ascii="Arial" w:eastAsia="Arial" w:hAnsi="Arial" w:cs="Arial"/>
          <w:sz w:val="20"/>
          <w:szCs w:val="20"/>
        </w:rPr>
        <w:t xml:space="preserve">mM EDTA in </w:t>
      </w:r>
      <w:r w:rsidR="00D81C38">
        <w:rPr>
          <w:rFonts w:ascii="Arial" w:eastAsia="Arial" w:hAnsi="Arial" w:cs="Arial"/>
          <w:sz w:val="20"/>
          <w:szCs w:val="20"/>
        </w:rPr>
        <w:t>f</w:t>
      </w:r>
      <w:r>
        <w:rPr>
          <w:rFonts w:ascii="Arial" w:eastAsia="Arial" w:hAnsi="Arial" w:cs="Arial"/>
          <w:sz w:val="20"/>
          <w:szCs w:val="20"/>
        </w:rPr>
        <w:t>ormamide, 0.01</w:t>
      </w:r>
      <w:r w:rsidR="00D81C38">
        <w:rPr>
          <w:rFonts w:ascii="Arial" w:eastAsia="Arial" w:hAnsi="Arial" w:cs="Arial"/>
          <w:sz w:val="20"/>
          <w:szCs w:val="20"/>
        </w:rPr>
        <w:t xml:space="preserve"> </w:t>
      </w:r>
      <w:r>
        <w:rPr>
          <w:rFonts w:ascii="Arial" w:eastAsia="Arial" w:hAnsi="Arial" w:cs="Arial"/>
          <w:sz w:val="20"/>
          <w:szCs w:val="20"/>
        </w:rPr>
        <w:t>% bromophenol blue). The samples were heat denatured at 85</w:t>
      </w:r>
      <w:r w:rsidR="00D81C38">
        <w:rPr>
          <w:rFonts w:ascii="Arial" w:eastAsia="Arial" w:hAnsi="Arial" w:cs="Arial"/>
          <w:sz w:val="20"/>
          <w:szCs w:val="20"/>
        </w:rPr>
        <w:t xml:space="preserve"> </w:t>
      </w:r>
      <w:r>
        <w:rPr>
          <w:rFonts w:ascii="Arial" w:eastAsia="Arial" w:hAnsi="Arial" w:cs="Arial"/>
          <w:sz w:val="20"/>
          <w:szCs w:val="20"/>
        </w:rPr>
        <w:t>°C for 5 minutes before loading onto 12</w:t>
      </w:r>
      <w:r w:rsidR="00D81C38">
        <w:rPr>
          <w:rFonts w:ascii="Arial" w:eastAsia="Arial" w:hAnsi="Arial" w:cs="Arial"/>
          <w:sz w:val="20"/>
          <w:szCs w:val="20"/>
        </w:rPr>
        <w:t xml:space="preserve"> </w:t>
      </w:r>
      <w:r>
        <w:rPr>
          <w:rFonts w:ascii="Arial" w:eastAsia="Arial" w:hAnsi="Arial" w:cs="Arial"/>
          <w:sz w:val="20"/>
          <w:szCs w:val="20"/>
        </w:rPr>
        <w:t>% PAGE.</w:t>
      </w:r>
    </w:p>
    <w:p w14:paraId="29203F8B"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55328EDD" w14:textId="77777777" w:rsidR="00584A5F" w:rsidRDefault="00584A5F">
      <w:pPr>
        <w:jc w:val="both"/>
        <w:rPr>
          <w:rFonts w:ascii="Arial" w:eastAsia="Arial" w:hAnsi="Arial" w:cs="Arial"/>
          <w:sz w:val="20"/>
          <w:szCs w:val="20"/>
        </w:rPr>
      </w:pPr>
    </w:p>
    <w:p w14:paraId="0F9F862F" w14:textId="77777777" w:rsidR="0037473B" w:rsidRDefault="00F357A7" w:rsidP="00D24826">
      <w:pPr>
        <w:jc w:val="center"/>
        <w:rPr>
          <w:rFonts w:ascii="Arial" w:eastAsia="Arial" w:hAnsi="Arial" w:cs="Arial"/>
          <w:sz w:val="20"/>
          <w:szCs w:val="20"/>
        </w:rPr>
      </w:pPr>
      <w:r>
        <w:rPr>
          <w:noProof/>
        </w:rPr>
        <w:drawing>
          <wp:inline distT="0" distB="0" distL="0" distR="0" wp14:anchorId="13E4E285" wp14:editId="4ED2C6CE">
            <wp:extent cx="5608320" cy="2344858"/>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626499" cy="2352459"/>
                    </a:xfrm>
                    <a:prstGeom prst="rect">
                      <a:avLst/>
                    </a:prstGeom>
                    <a:noFill/>
                    <a:ln>
                      <a:noFill/>
                    </a:ln>
                  </pic:spPr>
                </pic:pic>
              </a:graphicData>
            </a:graphic>
          </wp:inline>
        </w:drawing>
      </w:r>
    </w:p>
    <w:p w14:paraId="75EB8101" w14:textId="77777777" w:rsidR="00064213" w:rsidRPr="00064213" w:rsidRDefault="000C6205" w:rsidP="00064213">
      <w:pPr>
        <w:pStyle w:val="Heading2"/>
        <w:rPr>
          <w:rFonts w:ascii="Arial" w:hAnsi="Arial" w:cs="Arial"/>
          <w:sz w:val="20"/>
          <w:szCs w:val="20"/>
        </w:rPr>
      </w:pPr>
      <w:bookmarkStart w:id="16" w:name="_Toc112772064"/>
      <w:r w:rsidRPr="00064213">
        <w:rPr>
          <w:rFonts w:ascii="Arial" w:hAnsi="Arial" w:cs="Arial"/>
          <w:sz w:val="20"/>
          <w:szCs w:val="20"/>
        </w:rPr>
        <w:t>Supplementary Figure 1</w:t>
      </w:r>
      <w:r w:rsidR="00A27FC1" w:rsidRPr="00064213">
        <w:rPr>
          <w:rFonts w:ascii="Arial" w:hAnsi="Arial" w:cs="Arial"/>
          <w:sz w:val="20"/>
          <w:szCs w:val="20"/>
        </w:rPr>
        <w:t>3</w:t>
      </w:r>
      <w:r w:rsidRPr="00064213">
        <w:rPr>
          <w:rFonts w:ascii="Arial" w:hAnsi="Arial" w:cs="Arial"/>
          <w:sz w:val="20"/>
          <w:szCs w:val="20"/>
        </w:rPr>
        <w:t>: Gel image showing the activity of the encapsulated R3C autocatalytic system under different numbers of freeze-thaw cycles.</w:t>
      </w:r>
      <w:bookmarkEnd w:id="16"/>
      <w:r w:rsidRPr="00064213">
        <w:rPr>
          <w:rFonts w:ascii="Arial" w:hAnsi="Arial" w:cs="Arial"/>
          <w:sz w:val="20"/>
          <w:szCs w:val="20"/>
        </w:rPr>
        <w:t xml:space="preserve"> </w:t>
      </w:r>
    </w:p>
    <w:p w14:paraId="66C0EB96" w14:textId="77777777" w:rsidR="0037473B" w:rsidRDefault="000C6205" w:rsidP="00064213">
      <w:pPr>
        <w:spacing w:after="0"/>
        <w:jc w:val="both"/>
        <w:rPr>
          <w:rFonts w:ascii="Arial" w:eastAsia="Arial" w:hAnsi="Arial" w:cs="Arial"/>
          <w:sz w:val="20"/>
          <w:szCs w:val="20"/>
        </w:rPr>
      </w:pPr>
      <w:r>
        <w:rPr>
          <w:rFonts w:ascii="Arial" w:eastAsia="Arial" w:hAnsi="Arial" w:cs="Arial"/>
          <w:sz w:val="20"/>
          <w:szCs w:val="20"/>
        </w:rPr>
        <w:t>Substrate GUVs were mixed with empty GUVs or with GUVs encapsulating 1</w:t>
      </w:r>
      <w:r w:rsidR="00537CCA">
        <w:rPr>
          <w:rFonts w:ascii="Arial" w:eastAsia="Arial" w:hAnsi="Arial" w:cs="Arial"/>
          <w:sz w:val="20"/>
          <w:szCs w:val="20"/>
        </w:rPr>
        <w:t xml:space="preserve"> </w:t>
      </w:r>
      <w:r>
        <w:rPr>
          <w:rFonts w:ascii="Arial" w:eastAsia="Arial" w:hAnsi="Arial" w:cs="Arial"/>
          <w:sz w:val="20"/>
          <w:szCs w:val="20"/>
        </w:rPr>
        <w:t>µM ribozyme and were subjected to cycles of freezing and thawing followed by a 60-minute incubation period at 42</w:t>
      </w:r>
      <w:r w:rsidR="00537CCA">
        <w:rPr>
          <w:rFonts w:ascii="Arial" w:eastAsia="Arial" w:hAnsi="Arial" w:cs="Arial"/>
          <w:sz w:val="20"/>
          <w:szCs w:val="20"/>
        </w:rPr>
        <w:t xml:space="preserve"> </w:t>
      </w:r>
      <w:r>
        <w:rPr>
          <w:rFonts w:ascii="Arial" w:eastAsia="Arial" w:hAnsi="Arial" w:cs="Arial"/>
          <w:sz w:val="20"/>
          <w:szCs w:val="20"/>
        </w:rPr>
        <w:t>°C. GUVs were subsequently washed with outer phase, concentrated and resuspended in 1, 2 or 3 volumes of GUV loading buffer (25</w:t>
      </w:r>
      <w:r w:rsidR="00537CCA">
        <w:rPr>
          <w:rFonts w:ascii="Arial" w:eastAsia="Arial" w:hAnsi="Arial" w:cs="Arial"/>
          <w:sz w:val="20"/>
          <w:szCs w:val="20"/>
        </w:rPr>
        <w:t xml:space="preserve"> </w:t>
      </w:r>
      <w:r>
        <w:rPr>
          <w:rFonts w:ascii="Arial" w:eastAsia="Arial" w:hAnsi="Arial" w:cs="Arial"/>
          <w:sz w:val="20"/>
          <w:szCs w:val="20"/>
        </w:rPr>
        <w:t>mM E</w:t>
      </w:r>
      <w:r w:rsidR="009E122D">
        <w:rPr>
          <w:rFonts w:ascii="Arial" w:eastAsia="Arial" w:hAnsi="Arial" w:cs="Arial"/>
          <w:sz w:val="20"/>
          <w:szCs w:val="20"/>
        </w:rPr>
        <w:t>DT</w:t>
      </w:r>
      <w:r>
        <w:rPr>
          <w:rFonts w:ascii="Arial" w:eastAsia="Arial" w:hAnsi="Arial" w:cs="Arial"/>
          <w:sz w:val="20"/>
          <w:szCs w:val="20"/>
        </w:rPr>
        <w:t>A, 0.3</w:t>
      </w:r>
      <w:r w:rsidR="00537CCA">
        <w:rPr>
          <w:rFonts w:ascii="Arial" w:eastAsia="Arial" w:hAnsi="Arial" w:cs="Arial"/>
          <w:sz w:val="20"/>
          <w:szCs w:val="20"/>
        </w:rPr>
        <w:t xml:space="preserve"> </w:t>
      </w:r>
      <w:r>
        <w:rPr>
          <w:rFonts w:ascii="Arial" w:eastAsia="Arial" w:hAnsi="Arial" w:cs="Arial"/>
          <w:sz w:val="20"/>
          <w:szCs w:val="20"/>
        </w:rPr>
        <w:t>% Triton X-100, 0.01</w:t>
      </w:r>
      <w:r w:rsidR="00537CCA">
        <w:rPr>
          <w:rFonts w:ascii="Arial" w:eastAsia="Arial" w:hAnsi="Arial" w:cs="Arial"/>
          <w:sz w:val="20"/>
          <w:szCs w:val="20"/>
        </w:rPr>
        <w:t xml:space="preserve"> </w:t>
      </w:r>
      <w:r>
        <w:rPr>
          <w:rFonts w:ascii="Arial" w:eastAsia="Arial" w:hAnsi="Arial" w:cs="Arial"/>
          <w:sz w:val="20"/>
          <w:szCs w:val="20"/>
        </w:rPr>
        <w:t>% bromophenol blue in formamide). Samples were heat denatured at 85</w:t>
      </w:r>
      <w:r w:rsidR="00537CCA">
        <w:rPr>
          <w:rFonts w:ascii="Arial" w:eastAsia="Arial" w:hAnsi="Arial" w:cs="Arial"/>
          <w:sz w:val="20"/>
          <w:szCs w:val="20"/>
        </w:rPr>
        <w:t xml:space="preserve"> </w:t>
      </w:r>
      <w:r>
        <w:rPr>
          <w:rFonts w:ascii="Arial" w:eastAsia="Arial" w:hAnsi="Arial" w:cs="Arial"/>
          <w:sz w:val="20"/>
          <w:szCs w:val="20"/>
        </w:rPr>
        <w:t>°C for 5 minutes before loading onto a 12</w:t>
      </w:r>
      <w:r w:rsidR="00537CCA">
        <w:rPr>
          <w:rFonts w:ascii="Arial" w:eastAsia="Arial" w:hAnsi="Arial" w:cs="Arial"/>
          <w:sz w:val="20"/>
          <w:szCs w:val="20"/>
        </w:rPr>
        <w:t xml:space="preserve"> </w:t>
      </w:r>
      <w:r>
        <w:rPr>
          <w:rFonts w:ascii="Arial" w:eastAsia="Arial" w:hAnsi="Arial" w:cs="Arial"/>
          <w:sz w:val="20"/>
          <w:szCs w:val="20"/>
        </w:rPr>
        <w:t>% PAGE.</w:t>
      </w:r>
      <w:bookmarkStart w:id="17" w:name="_heading=h.gjdgxs" w:colFirst="0" w:colLast="0"/>
      <w:bookmarkEnd w:id="17"/>
    </w:p>
    <w:p w14:paraId="121ACCCF"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292FE995" w14:textId="77777777" w:rsidR="00F357A7" w:rsidRDefault="00F357A7" w:rsidP="00D24826">
      <w:pPr>
        <w:jc w:val="both"/>
        <w:rPr>
          <w:rFonts w:ascii="Arial" w:eastAsia="Arial" w:hAnsi="Arial" w:cs="Arial"/>
          <w:sz w:val="20"/>
          <w:szCs w:val="20"/>
        </w:rPr>
      </w:pPr>
    </w:p>
    <w:p w14:paraId="2E20BE70" w14:textId="77777777" w:rsidR="00F357A7" w:rsidRDefault="00F357A7" w:rsidP="00D24826">
      <w:pPr>
        <w:jc w:val="both"/>
        <w:rPr>
          <w:rFonts w:ascii="Arial" w:eastAsia="Arial" w:hAnsi="Arial" w:cs="Arial"/>
          <w:sz w:val="20"/>
          <w:szCs w:val="20"/>
        </w:rPr>
      </w:pPr>
    </w:p>
    <w:p w14:paraId="3936A934" w14:textId="77777777" w:rsidR="0037473B" w:rsidRDefault="0037473B">
      <w:pPr>
        <w:rPr>
          <w:rFonts w:ascii="Arial" w:eastAsia="Arial" w:hAnsi="Arial" w:cs="Arial"/>
          <w:sz w:val="20"/>
          <w:szCs w:val="20"/>
        </w:rPr>
      </w:pPr>
    </w:p>
    <w:p w14:paraId="5C5D42E2" w14:textId="3F74A5CF" w:rsidR="0037473B" w:rsidRDefault="00F357A7" w:rsidP="002631FC">
      <w:pPr>
        <w:jc w:val="center"/>
        <w:rPr>
          <w:rFonts w:ascii="Arial" w:eastAsia="Arial" w:hAnsi="Arial" w:cs="Arial"/>
          <w:sz w:val="20"/>
          <w:szCs w:val="20"/>
        </w:rPr>
      </w:pPr>
      <w:r>
        <w:rPr>
          <w:noProof/>
        </w:rPr>
        <w:drawing>
          <wp:inline distT="0" distB="0" distL="0" distR="0" wp14:anchorId="0721B969" wp14:editId="6B3A87B2">
            <wp:extent cx="5581525" cy="2202180"/>
            <wp:effectExtent l="0" t="0" r="635"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589050" cy="2205149"/>
                    </a:xfrm>
                    <a:prstGeom prst="rect">
                      <a:avLst/>
                    </a:prstGeom>
                    <a:noFill/>
                    <a:ln>
                      <a:noFill/>
                    </a:ln>
                  </pic:spPr>
                </pic:pic>
              </a:graphicData>
            </a:graphic>
          </wp:inline>
        </w:drawing>
      </w:r>
    </w:p>
    <w:p w14:paraId="00DBD011" w14:textId="77777777" w:rsidR="00064213" w:rsidRPr="00064213" w:rsidRDefault="000C6205" w:rsidP="00064213">
      <w:pPr>
        <w:pStyle w:val="Heading2"/>
        <w:rPr>
          <w:rFonts w:ascii="Arial" w:hAnsi="Arial" w:cs="Arial"/>
          <w:sz w:val="20"/>
          <w:szCs w:val="20"/>
        </w:rPr>
      </w:pPr>
      <w:bookmarkStart w:id="18" w:name="_Toc112772065"/>
      <w:r w:rsidRPr="00064213">
        <w:rPr>
          <w:rFonts w:ascii="Arial" w:hAnsi="Arial" w:cs="Arial"/>
          <w:sz w:val="20"/>
          <w:szCs w:val="20"/>
        </w:rPr>
        <w:t>Supplementary Figure 1</w:t>
      </w:r>
      <w:r w:rsidR="00A27FC1" w:rsidRPr="00064213">
        <w:rPr>
          <w:rFonts w:ascii="Arial" w:hAnsi="Arial" w:cs="Arial"/>
          <w:sz w:val="20"/>
          <w:szCs w:val="20"/>
        </w:rPr>
        <w:t>4</w:t>
      </w:r>
      <w:r w:rsidRPr="00064213">
        <w:rPr>
          <w:rFonts w:ascii="Arial" w:hAnsi="Arial" w:cs="Arial"/>
          <w:sz w:val="20"/>
          <w:szCs w:val="20"/>
        </w:rPr>
        <w:t>: Effect of freeze-thaw (FT) cycling on GUV diameter.</w:t>
      </w:r>
      <w:bookmarkEnd w:id="18"/>
      <w:r w:rsidRPr="00064213">
        <w:rPr>
          <w:rFonts w:ascii="Arial" w:hAnsi="Arial" w:cs="Arial"/>
          <w:sz w:val="20"/>
          <w:szCs w:val="20"/>
        </w:rPr>
        <w:t xml:space="preserve"> </w:t>
      </w:r>
    </w:p>
    <w:p w14:paraId="0BC9D3B3" w14:textId="77777777" w:rsidR="0037473B" w:rsidRPr="00D24826" w:rsidRDefault="000C6205" w:rsidP="00064213">
      <w:pPr>
        <w:pStyle w:val="NormalWeb"/>
        <w:spacing w:before="0" w:beforeAutospacing="0" w:after="0" w:afterAutospacing="0"/>
        <w:jc w:val="both"/>
      </w:pPr>
      <w:r>
        <w:rPr>
          <w:rFonts w:ascii="Arial" w:eastAsia="Arial" w:hAnsi="Arial" w:cs="Arial"/>
          <w:b/>
          <w:sz w:val="20"/>
          <w:szCs w:val="20"/>
        </w:rPr>
        <w:t>a)</w:t>
      </w:r>
      <w:r>
        <w:rPr>
          <w:rFonts w:ascii="Arial" w:eastAsia="Arial" w:hAnsi="Arial" w:cs="Arial"/>
          <w:sz w:val="20"/>
          <w:szCs w:val="20"/>
        </w:rPr>
        <w:t xml:space="preserve"> Relative frequency plot of GUV count per GUV diameter before and after FT. </w:t>
      </w:r>
      <w:r>
        <w:rPr>
          <w:rFonts w:ascii="Arial" w:eastAsia="Arial" w:hAnsi="Arial" w:cs="Arial"/>
          <w:b/>
          <w:sz w:val="20"/>
          <w:szCs w:val="20"/>
        </w:rPr>
        <w:t>b-d)</w:t>
      </w:r>
      <w:r>
        <w:rPr>
          <w:rFonts w:ascii="Arial" w:eastAsia="Arial" w:hAnsi="Arial" w:cs="Arial"/>
          <w:sz w:val="20"/>
          <w:szCs w:val="20"/>
        </w:rPr>
        <w:t xml:space="preserve"> The decrease in GUV diameter as a result of FT can be explained by </w:t>
      </w:r>
      <w:r>
        <w:rPr>
          <w:rFonts w:ascii="Arial" w:eastAsia="Arial" w:hAnsi="Arial" w:cs="Arial"/>
          <w:b/>
          <w:sz w:val="20"/>
          <w:szCs w:val="20"/>
        </w:rPr>
        <w:t>b)</w:t>
      </w:r>
      <w:r>
        <w:rPr>
          <w:rFonts w:ascii="Arial" w:eastAsia="Arial" w:hAnsi="Arial" w:cs="Arial"/>
          <w:sz w:val="20"/>
          <w:szCs w:val="20"/>
        </w:rPr>
        <w:t xml:space="preserve"> </w:t>
      </w:r>
      <w:r w:rsidR="009E122D">
        <w:rPr>
          <w:rFonts w:ascii="Arial" w:eastAsia="Arial" w:hAnsi="Arial" w:cs="Arial"/>
          <w:sz w:val="20"/>
          <w:szCs w:val="20"/>
        </w:rPr>
        <w:t xml:space="preserve">local changes in </w:t>
      </w:r>
      <w:r>
        <w:rPr>
          <w:rFonts w:ascii="Arial" w:eastAsia="Arial" w:hAnsi="Arial" w:cs="Arial"/>
          <w:sz w:val="20"/>
          <w:szCs w:val="20"/>
        </w:rPr>
        <w:t xml:space="preserve">osmolarity, </w:t>
      </w:r>
      <w:r>
        <w:rPr>
          <w:rFonts w:ascii="Arial" w:eastAsia="Arial" w:hAnsi="Arial" w:cs="Arial"/>
          <w:b/>
          <w:sz w:val="20"/>
          <w:szCs w:val="20"/>
        </w:rPr>
        <w:t>c)</w:t>
      </w:r>
      <w:r>
        <w:rPr>
          <w:rFonts w:ascii="Arial" w:eastAsia="Arial" w:hAnsi="Arial" w:cs="Arial"/>
          <w:sz w:val="20"/>
          <w:szCs w:val="20"/>
        </w:rPr>
        <w:t xml:space="preserve"> ice crystal formation and </w:t>
      </w:r>
      <w:r>
        <w:rPr>
          <w:rFonts w:ascii="Arial" w:eastAsia="Arial" w:hAnsi="Arial" w:cs="Arial"/>
          <w:b/>
          <w:sz w:val="20"/>
          <w:szCs w:val="20"/>
        </w:rPr>
        <w:t>d)</w:t>
      </w:r>
      <w:r>
        <w:rPr>
          <w:rFonts w:ascii="Arial" w:eastAsia="Arial" w:hAnsi="Arial" w:cs="Arial"/>
          <w:sz w:val="20"/>
          <w:szCs w:val="20"/>
        </w:rPr>
        <w:t xml:space="preserve"> passage of GUVs through tight channels formed by fr</w:t>
      </w:r>
      <w:r w:rsidR="009E122D">
        <w:rPr>
          <w:rFonts w:ascii="Arial" w:eastAsia="Arial" w:hAnsi="Arial" w:cs="Arial"/>
          <w:sz w:val="20"/>
          <w:szCs w:val="20"/>
        </w:rPr>
        <w:t>ozen</w:t>
      </w:r>
      <w:r>
        <w:rPr>
          <w:rFonts w:ascii="Arial" w:eastAsia="Arial" w:hAnsi="Arial" w:cs="Arial"/>
          <w:sz w:val="20"/>
          <w:szCs w:val="20"/>
        </w:rPr>
        <w:t xml:space="preserve"> water.</w:t>
      </w:r>
      <w:r w:rsidR="009E122D" w:rsidRPr="009E122D">
        <w:rPr>
          <w:rFonts w:ascii="Arial" w:hAnsi="Arial" w:cs="Arial"/>
          <w:color w:val="FF0000"/>
          <w:sz w:val="20"/>
          <w:szCs w:val="20"/>
        </w:rPr>
        <w:t xml:space="preserve"> </w:t>
      </w:r>
      <w:r w:rsidR="009E122D" w:rsidRPr="009E122D">
        <w:rPr>
          <w:rFonts w:ascii="Arial" w:hAnsi="Arial" w:cs="Arial"/>
          <w:sz w:val="20"/>
          <w:szCs w:val="20"/>
        </w:rPr>
        <w:t xml:space="preserve">GUVs contained 900 mM sucrose and 3 µM Alexa Fluor 568 NHS ester. The surrounding phase consisted of a 900 mM glucose solution. Red </w:t>
      </w:r>
      <w:proofErr w:type="spellStart"/>
      <w:r w:rsidR="009E122D" w:rsidRPr="009E122D">
        <w:rPr>
          <w:rFonts w:ascii="Arial" w:hAnsi="Arial" w:cs="Arial"/>
          <w:sz w:val="20"/>
          <w:szCs w:val="20"/>
        </w:rPr>
        <w:t>color</w:t>
      </w:r>
      <w:proofErr w:type="spellEnd"/>
      <w:r w:rsidR="009E122D" w:rsidRPr="009E122D">
        <w:rPr>
          <w:rFonts w:ascii="Arial" w:hAnsi="Arial" w:cs="Arial"/>
          <w:sz w:val="20"/>
          <w:szCs w:val="20"/>
        </w:rPr>
        <w:t xml:space="preserve"> corresponds to </w:t>
      </w:r>
      <w:proofErr w:type="spellStart"/>
      <w:r w:rsidR="009E122D" w:rsidRPr="009E122D">
        <w:rPr>
          <w:rFonts w:ascii="Arial" w:hAnsi="Arial" w:cs="Arial"/>
          <w:sz w:val="20"/>
          <w:szCs w:val="20"/>
        </w:rPr>
        <w:t>Atto</w:t>
      </w:r>
      <w:proofErr w:type="spellEnd"/>
      <w:r w:rsidR="009E122D" w:rsidRPr="009E122D">
        <w:rPr>
          <w:rFonts w:ascii="Arial" w:hAnsi="Arial" w:cs="Arial"/>
          <w:sz w:val="20"/>
          <w:szCs w:val="20"/>
        </w:rPr>
        <w:t xml:space="preserve"> 647N-DOPE. All scale bars represent 10 µm.</w:t>
      </w:r>
    </w:p>
    <w:p w14:paraId="58CB445B" w14:textId="77777777" w:rsidR="00584A5F" w:rsidRDefault="00584A5F">
      <w:pPr>
        <w:rPr>
          <w:rFonts w:ascii="Arial" w:eastAsia="Arial" w:hAnsi="Arial" w:cs="Arial"/>
          <w:sz w:val="20"/>
          <w:szCs w:val="20"/>
        </w:rPr>
      </w:pPr>
      <w:r>
        <w:rPr>
          <w:rFonts w:ascii="Arial" w:eastAsia="Arial" w:hAnsi="Arial" w:cs="Arial"/>
          <w:sz w:val="20"/>
          <w:szCs w:val="20"/>
        </w:rPr>
        <w:br w:type="page"/>
      </w:r>
    </w:p>
    <w:p w14:paraId="090A4399" w14:textId="77777777" w:rsidR="0037473B" w:rsidRDefault="0037473B">
      <w:pPr>
        <w:rPr>
          <w:rFonts w:ascii="Arial" w:eastAsia="Arial" w:hAnsi="Arial" w:cs="Arial"/>
          <w:sz w:val="20"/>
          <w:szCs w:val="20"/>
        </w:rPr>
      </w:pPr>
    </w:p>
    <w:p w14:paraId="69CFE8FF" w14:textId="77777777" w:rsidR="0037473B" w:rsidRDefault="00F357A7">
      <w:pPr>
        <w:jc w:val="center"/>
        <w:rPr>
          <w:rFonts w:ascii="Arial" w:eastAsia="Arial" w:hAnsi="Arial" w:cs="Arial"/>
          <w:sz w:val="20"/>
          <w:szCs w:val="20"/>
        </w:rPr>
      </w:pPr>
      <w:r>
        <w:rPr>
          <w:rFonts w:ascii="Arial" w:eastAsia="Arial" w:hAnsi="Arial" w:cs="Arial"/>
          <w:noProof/>
          <w:sz w:val="20"/>
          <w:szCs w:val="20"/>
        </w:rPr>
        <w:drawing>
          <wp:inline distT="0" distB="0" distL="0" distR="0" wp14:anchorId="34248C5F" wp14:editId="7929F7AB">
            <wp:extent cx="5158740" cy="3449028"/>
            <wp:effectExtent l="0" t="0" r="381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163552" cy="3452245"/>
                    </a:xfrm>
                    <a:prstGeom prst="rect">
                      <a:avLst/>
                    </a:prstGeom>
                    <a:noFill/>
                    <a:ln>
                      <a:noFill/>
                    </a:ln>
                  </pic:spPr>
                </pic:pic>
              </a:graphicData>
            </a:graphic>
          </wp:inline>
        </w:drawing>
      </w:r>
    </w:p>
    <w:p w14:paraId="682A631D" w14:textId="77777777" w:rsidR="00C805F7" w:rsidRPr="00C805F7" w:rsidRDefault="000C6205" w:rsidP="00C805F7">
      <w:pPr>
        <w:pStyle w:val="Heading2"/>
        <w:rPr>
          <w:rFonts w:ascii="Arial" w:hAnsi="Arial" w:cs="Arial"/>
          <w:sz w:val="20"/>
          <w:szCs w:val="20"/>
        </w:rPr>
      </w:pPr>
      <w:bookmarkStart w:id="19" w:name="_Toc112772066"/>
      <w:r w:rsidRPr="00C805F7">
        <w:rPr>
          <w:rFonts w:ascii="Arial" w:hAnsi="Arial" w:cs="Arial"/>
          <w:sz w:val="20"/>
          <w:szCs w:val="20"/>
        </w:rPr>
        <w:t>Supplementary Figure 1</w:t>
      </w:r>
      <w:r w:rsidR="00A27FC1" w:rsidRPr="00C805F7">
        <w:rPr>
          <w:rFonts w:ascii="Arial" w:hAnsi="Arial" w:cs="Arial"/>
          <w:sz w:val="20"/>
          <w:szCs w:val="20"/>
        </w:rPr>
        <w:t>5</w:t>
      </w:r>
      <w:r w:rsidRPr="00C805F7">
        <w:rPr>
          <w:rFonts w:ascii="Arial" w:hAnsi="Arial" w:cs="Arial"/>
          <w:sz w:val="20"/>
          <w:szCs w:val="20"/>
        </w:rPr>
        <w:t>: Gel image showing the activity of the encapsulated R3C system following serial dilutions in substrate encapsulated GUV feedstock.</w:t>
      </w:r>
      <w:bookmarkEnd w:id="19"/>
      <w:r w:rsidRPr="00C805F7">
        <w:rPr>
          <w:rFonts w:ascii="Arial" w:hAnsi="Arial" w:cs="Arial"/>
          <w:sz w:val="20"/>
          <w:szCs w:val="20"/>
        </w:rPr>
        <w:t xml:space="preserve"> </w:t>
      </w:r>
    </w:p>
    <w:p w14:paraId="3D293FA1" w14:textId="77777777" w:rsidR="0037473B" w:rsidRDefault="000C6205" w:rsidP="00C805F7">
      <w:pPr>
        <w:spacing w:after="0"/>
        <w:jc w:val="both"/>
        <w:rPr>
          <w:rFonts w:ascii="Arial" w:eastAsia="Arial" w:hAnsi="Arial" w:cs="Arial"/>
          <w:sz w:val="20"/>
          <w:szCs w:val="20"/>
        </w:rPr>
      </w:pPr>
      <w:r>
        <w:rPr>
          <w:rFonts w:ascii="Arial" w:eastAsia="Arial" w:hAnsi="Arial" w:cs="Arial"/>
          <w:sz w:val="20"/>
          <w:szCs w:val="20"/>
        </w:rPr>
        <w:t>Substrate and ribozyme GUVs were prepared and combined, subjected to a freeze-thaw cycle and incubated for 60 minutes at 42</w:t>
      </w:r>
      <w:r w:rsidR="00537CCA">
        <w:rPr>
          <w:rFonts w:ascii="Arial" w:eastAsia="Arial" w:hAnsi="Arial" w:cs="Arial"/>
          <w:sz w:val="20"/>
          <w:szCs w:val="20"/>
        </w:rPr>
        <w:t xml:space="preserve"> </w:t>
      </w:r>
      <w:r>
        <w:rPr>
          <w:rFonts w:ascii="Arial" w:eastAsia="Arial" w:hAnsi="Arial" w:cs="Arial"/>
          <w:sz w:val="20"/>
          <w:szCs w:val="20"/>
        </w:rPr>
        <w:t>°C. Then, half the volume was sampled and the other half was transferred to an equal volume of fresh substrate feedstock GUVs and the cycle was repeated. Collected samples were washed with outer phase buffer, concentrated and suspended in 1-2 volumes GUV loading buffer (25</w:t>
      </w:r>
      <w:r w:rsidR="00537CCA">
        <w:rPr>
          <w:rFonts w:ascii="Arial" w:eastAsia="Arial" w:hAnsi="Arial" w:cs="Arial"/>
          <w:sz w:val="20"/>
          <w:szCs w:val="20"/>
        </w:rPr>
        <w:t xml:space="preserve"> </w:t>
      </w:r>
      <w:r>
        <w:rPr>
          <w:rFonts w:ascii="Arial" w:eastAsia="Arial" w:hAnsi="Arial" w:cs="Arial"/>
          <w:sz w:val="20"/>
          <w:szCs w:val="20"/>
        </w:rPr>
        <w:t>mM E</w:t>
      </w:r>
      <w:r w:rsidR="009E122D">
        <w:rPr>
          <w:rFonts w:ascii="Arial" w:eastAsia="Arial" w:hAnsi="Arial" w:cs="Arial"/>
          <w:sz w:val="20"/>
          <w:szCs w:val="20"/>
        </w:rPr>
        <w:t>DT</w:t>
      </w:r>
      <w:r>
        <w:rPr>
          <w:rFonts w:ascii="Arial" w:eastAsia="Arial" w:hAnsi="Arial" w:cs="Arial"/>
          <w:sz w:val="20"/>
          <w:szCs w:val="20"/>
        </w:rPr>
        <w:t>A, 0.3</w:t>
      </w:r>
      <w:r w:rsidR="00537CCA">
        <w:rPr>
          <w:rFonts w:ascii="Arial" w:eastAsia="Arial" w:hAnsi="Arial" w:cs="Arial"/>
          <w:sz w:val="20"/>
          <w:szCs w:val="20"/>
        </w:rPr>
        <w:t xml:space="preserve"> </w:t>
      </w:r>
      <w:r>
        <w:rPr>
          <w:rFonts w:ascii="Arial" w:eastAsia="Arial" w:hAnsi="Arial" w:cs="Arial"/>
          <w:sz w:val="20"/>
          <w:szCs w:val="20"/>
        </w:rPr>
        <w:t>% Triton X-100, 0.01</w:t>
      </w:r>
      <w:r w:rsidR="00537CCA">
        <w:rPr>
          <w:rFonts w:ascii="Arial" w:eastAsia="Arial" w:hAnsi="Arial" w:cs="Arial"/>
          <w:sz w:val="20"/>
          <w:szCs w:val="20"/>
        </w:rPr>
        <w:t xml:space="preserve"> </w:t>
      </w:r>
      <w:r>
        <w:rPr>
          <w:rFonts w:ascii="Arial" w:eastAsia="Arial" w:hAnsi="Arial" w:cs="Arial"/>
          <w:sz w:val="20"/>
          <w:szCs w:val="20"/>
        </w:rPr>
        <w:t>% bromophenol blue in formamide). Samples were heat denatured at 85</w:t>
      </w:r>
      <w:r w:rsidR="00537CCA">
        <w:rPr>
          <w:rFonts w:ascii="Arial" w:eastAsia="Arial" w:hAnsi="Arial" w:cs="Arial"/>
          <w:sz w:val="20"/>
          <w:szCs w:val="20"/>
        </w:rPr>
        <w:t xml:space="preserve"> </w:t>
      </w:r>
      <w:r>
        <w:rPr>
          <w:rFonts w:ascii="Arial" w:eastAsia="Arial" w:hAnsi="Arial" w:cs="Arial"/>
          <w:sz w:val="20"/>
          <w:szCs w:val="20"/>
        </w:rPr>
        <w:t>°C for 5 minutes before loading onto a 12</w:t>
      </w:r>
      <w:r w:rsidR="00537CCA">
        <w:rPr>
          <w:rFonts w:ascii="Arial" w:eastAsia="Arial" w:hAnsi="Arial" w:cs="Arial"/>
          <w:sz w:val="20"/>
          <w:szCs w:val="20"/>
        </w:rPr>
        <w:t xml:space="preserve"> </w:t>
      </w:r>
      <w:r>
        <w:rPr>
          <w:rFonts w:ascii="Arial" w:eastAsia="Arial" w:hAnsi="Arial" w:cs="Arial"/>
          <w:sz w:val="20"/>
          <w:szCs w:val="20"/>
        </w:rPr>
        <w:t xml:space="preserve">% PAGE. </w:t>
      </w:r>
    </w:p>
    <w:sectPr w:rsidR="0037473B" w:rsidSect="002631FC">
      <w:footerReference w:type="default" r:id="rId22"/>
      <w:pgSz w:w="11906" w:h="16838"/>
      <w:pgMar w:top="1417" w:right="1417" w:bottom="1134" w:left="1417" w:header="708" w:footer="708" w:gutter="0"/>
      <w:pgNumType w:start="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B0700D" w14:textId="77777777" w:rsidR="00FC36DE" w:rsidRDefault="00FC36DE" w:rsidP="004A0720">
      <w:pPr>
        <w:spacing w:after="0" w:line="240" w:lineRule="auto"/>
      </w:pPr>
      <w:r>
        <w:separator/>
      </w:r>
    </w:p>
  </w:endnote>
  <w:endnote w:type="continuationSeparator" w:id="0">
    <w:p w14:paraId="6484FCBC" w14:textId="77777777" w:rsidR="00FC36DE" w:rsidRDefault="00FC36DE" w:rsidP="004A07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2AEF" w:usb1="4000207B" w:usb2="00000000"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72807929"/>
      <w:docPartObj>
        <w:docPartGallery w:val="Page Numbers (Bottom of Page)"/>
        <w:docPartUnique/>
      </w:docPartObj>
    </w:sdtPr>
    <w:sdtEndPr>
      <w:rPr>
        <w:noProof/>
      </w:rPr>
    </w:sdtEndPr>
    <w:sdtContent>
      <w:p w14:paraId="3754F5BF" w14:textId="77777777" w:rsidR="004A0720" w:rsidRDefault="004A07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1647129" w14:textId="77777777" w:rsidR="004A0720" w:rsidRDefault="004A07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F6D068" w14:textId="77777777" w:rsidR="00FC36DE" w:rsidRDefault="00FC36DE" w:rsidP="004A0720">
      <w:pPr>
        <w:spacing w:after="0" w:line="240" w:lineRule="auto"/>
      </w:pPr>
      <w:r>
        <w:separator/>
      </w:r>
    </w:p>
  </w:footnote>
  <w:footnote w:type="continuationSeparator" w:id="0">
    <w:p w14:paraId="646F1DE6" w14:textId="77777777" w:rsidR="00FC36DE" w:rsidRDefault="00FC36DE" w:rsidP="004A072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473B"/>
    <w:rsid w:val="0000410A"/>
    <w:rsid w:val="0000658C"/>
    <w:rsid w:val="00064213"/>
    <w:rsid w:val="00081A80"/>
    <w:rsid w:val="00083DB2"/>
    <w:rsid w:val="00096D1D"/>
    <w:rsid w:val="000C6205"/>
    <w:rsid w:val="000F07E6"/>
    <w:rsid w:val="000F7345"/>
    <w:rsid w:val="00196849"/>
    <w:rsid w:val="001E32E4"/>
    <w:rsid w:val="001F7026"/>
    <w:rsid w:val="00227B5B"/>
    <w:rsid w:val="00236010"/>
    <w:rsid w:val="002631FC"/>
    <w:rsid w:val="002825A7"/>
    <w:rsid w:val="002E7F9D"/>
    <w:rsid w:val="002F78C5"/>
    <w:rsid w:val="00316C94"/>
    <w:rsid w:val="00342873"/>
    <w:rsid w:val="0037473B"/>
    <w:rsid w:val="00384888"/>
    <w:rsid w:val="003C18D1"/>
    <w:rsid w:val="004212CC"/>
    <w:rsid w:val="00432C50"/>
    <w:rsid w:val="004A0720"/>
    <w:rsid w:val="00537CCA"/>
    <w:rsid w:val="00570654"/>
    <w:rsid w:val="00584A5F"/>
    <w:rsid w:val="005B19DF"/>
    <w:rsid w:val="005F2E33"/>
    <w:rsid w:val="00611BF6"/>
    <w:rsid w:val="00643394"/>
    <w:rsid w:val="006645CB"/>
    <w:rsid w:val="00682A41"/>
    <w:rsid w:val="00697E25"/>
    <w:rsid w:val="007909D3"/>
    <w:rsid w:val="008163A7"/>
    <w:rsid w:val="00847691"/>
    <w:rsid w:val="00854034"/>
    <w:rsid w:val="008B4080"/>
    <w:rsid w:val="008F428D"/>
    <w:rsid w:val="00945C45"/>
    <w:rsid w:val="009937E6"/>
    <w:rsid w:val="009B1F9F"/>
    <w:rsid w:val="009E122D"/>
    <w:rsid w:val="009E6459"/>
    <w:rsid w:val="00A27FC1"/>
    <w:rsid w:val="00A41235"/>
    <w:rsid w:val="00A61639"/>
    <w:rsid w:val="00AF5088"/>
    <w:rsid w:val="00BF6EBD"/>
    <w:rsid w:val="00C003B8"/>
    <w:rsid w:val="00C036A3"/>
    <w:rsid w:val="00C35BE3"/>
    <w:rsid w:val="00C805F7"/>
    <w:rsid w:val="00CF4918"/>
    <w:rsid w:val="00D24826"/>
    <w:rsid w:val="00D30486"/>
    <w:rsid w:val="00D61690"/>
    <w:rsid w:val="00D81C38"/>
    <w:rsid w:val="00DD5AD4"/>
    <w:rsid w:val="00DE58A0"/>
    <w:rsid w:val="00E00B47"/>
    <w:rsid w:val="00E1007F"/>
    <w:rsid w:val="00E548A6"/>
    <w:rsid w:val="00E83BFE"/>
    <w:rsid w:val="00E869B3"/>
    <w:rsid w:val="00F357A7"/>
    <w:rsid w:val="00F52E24"/>
    <w:rsid w:val="00F62E64"/>
    <w:rsid w:val="00FB03A7"/>
    <w:rsid w:val="00FC36DE"/>
    <w:rsid w:val="00FD1AD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B7FA545"/>
  <w15:docId w15:val="{D6D587C1-32F5-42F8-AB36-BDBF7D45A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GB"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27FC1"/>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70" w:type="dxa"/>
        <w:right w:w="70" w:type="dxa"/>
      </w:tblCellMar>
    </w:tblPr>
  </w:style>
  <w:style w:type="table" w:customStyle="1" w:styleId="a0">
    <w:basedOn w:val="TableNormal"/>
    <w:tblPr>
      <w:tblStyleRowBandSize w:val="1"/>
      <w:tblStyleColBandSize w:val="1"/>
      <w:tblCellMar>
        <w:left w:w="70" w:type="dxa"/>
        <w:right w:w="70" w:type="dxa"/>
      </w:tblCellMar>
    </w:tblPr>
  </w:style>
  <w:style w:type="paragraph" w:styleId="NormalWeb">
    <w:name w:val="Normal (Web)"/>
    <w:basedOn w:val="Normal"/>
    <w:uiPriority w:val="99"/>
    <w:unhideWhenUsed/>
    <w:rsid w:val="009E122D"/>
    <w:pPr>
      <w:spacing w:before="100" w:beforeAutospacing="1" w:after="100" w:afterAutospacing="1" w:line="240" w:lineRule="auto"/>
    </w:pPr>
    <w:rPr>
      <w:rFonts w:ascii="Times New Roman" w:eastAsia="Times New Roman" w:hAnsi="Times New Roman" w:cs="Times New Roman"/>
      <w:sz w:val="24"/>
      <w:szCs w:val="24"/>
      <w:lang w:val="en-GB"/>
    </w:rPr>
  </w:style>
  <w:style w:type="paragraph" w:styleId="TOCHeading">
    <w:name w:val="TOC Heading"/>
    <w:basedOn w:val="Heading1"/>
    <w:next w:val="Normal"/>
    <w:uiPriority w:val="39"/>
    <w:unhideWhenUsed/>
    <w:qFormat/>
    <w:rsid w:val="004A0720"/>
    <w:pPr>
      <w:spacing w:before="240" w:after="0"/>
      <w:outlineLvl w:val="9"/>
    </w:pPr>
    <w:rPr>
      <w:rFonts w:asciiTheme="majorHAnsi" w:eastAsiaTheme="majorEastAsia" w:hAnsiTheme="majorHAnsi" w:cstheme="majorBidi"/>
      <w:b w:val="0"/>
      <w:color w:val="2F5496" w:themeColor="accent1" w:themeShade="BF"/>
      <w:sz w:val="32"/>
      <w:szCs w:val="32"/>
      <w:lang w:eastAsia="en-US"/>
    </w:rPr>
  </w:style>
  <w:style w:type="paragraph" w:styleId="Header">
    <w:name w:val="header"/>
    <w:basedOn w:val="Normal"/>
    <w:link w:val="HeaderChar"/>
    <w:uiPriority w:val="99"/>
    <w:unhideWhenUsed/>
    <w:rsid w:val="004A0720"/>
    <w:pPr>
      <w:tabs>
        <w:tab w:val="center" w:pos="4536"/>
        <w:tab w:val="right" w:pos="9072"/>
      </w:tabs>
      <w:spacing w:after="0" w:line="240" w:lineRule="auto"/>
    </w:pPr>
  </w:style>
  <w:style w:type="character" w:customStyle="1" w:styleId="HeaderChar">
    <w:name w:val="Header Char"/>
    <w:basedOn w:val="DefaultParagraphFont"/>
    <w:link w:val="Header"/>
    <w:uiPriority w:val="99"/>
    <w:rsid w:val="004A0720"/>
  </w:style>
  <w:style w:type="paragraph" w:styleId="Footer">
    <w:name w:val="footer"/>
    <w:basedOn w:val="Normal"/>
    <w:link w:val="FooterChar"/>
    <w:uiPriority w:val="99"/>
    <w:unhideWhenUsed/>
    <w:rsid w:val="004A0720"/>
    <w:pPr>
      <w:tabs>
        <w:tab w:val="center" w:pos="4536"/>
        <w:tab w:val="right" w:pos="9072"/>
      </w:tabs>
      <w:spacing w:after="0" w:line="240" w:lineRule="auto"/>
    </w:pPr>
  </w:style>
  <w:style w:type="character" w:customStyle="1" w:styleId="FooterChar">
    <w:name w:val="Footer Char"/>
    <w:basedOn w:val="DefaultParagraphFont"/>
    <w:link w:val="Footer"/>
    <w:uiPriority w:val="99"/>
    <w:rsid w:val="004A0720"/>
  </w:style>
  <w:style w:type="paragraph" w:styleId="TOC1">
    <w:name w:val="toc 1"/>
    <w:basedOn w:val="Normal"/>
    <w:next w:val="Normal"/>
    <w:autoRedefine/>
    <w:uiPriority w:val="39"/>
    <w:unhideWhenUsed/>
    <w:rsid w:val="004A0720"/>
    <w:pPr>
      <w:spacing w:after="100"/>
    </w:pPr>
  </w:style>
  <w:style w:type="character" w:styleId="Hyperlink">
    <w:name w:val="Hyperlink"/>
    <w:basedOn w:val="DefaultParagraphFont"/>
    <w:uiPriority w:val="99"/>
    <w:unhideWhenUsed/>
    <w:rsid w:val="004A0720"/>
    <w:rPr>
      <w:color w:val="0563C1" w:themeColor="hyperlink"/>
      <w:u w:val="single"/>
    </w:rPr>
  </w:style>
  <w:style w:type="paragraph" w:styleId="TOC2">
    <w:name w:val="toc 2"/>
    <w:basedOn w:val="Normal"/>
    <w:next w:val="Normal"/>
    <w:autoRedefine/>
    <w:uiPriority w:val="39"/>
    <w:unhideWhenUsed/>
    <w:rsid w:val="004A0720"/>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60266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image" Target="media/image12.tiff"/><Relationship Id="rId3" Type="http://schemas.openxmlformats.org/officeDocument/2006/relationships/settings" Target="settings.xml"/><Relationship Id="rId21" Type="http://schemas.openxmlformats.org/officeDocument/2006/relationships/image" Target="media/image15.tiff"/><Relationship Id="rId7" Type="http://schemas.openxmlformats.org/officeDocument/2006/relationships/image" Target="media/image1.png"/><Relationship Id="rId12" Type="http://schemas.openxmlformats.org/officeDocument/2006/relationships/image" Target="media/image6.tiff"/><Relationship Id="rId17" Type="http://schemas.openxmlformats.org/officeDocument/2006/relationships/image" Target="media/image11.tiff"/><Relationship Id="rId2" Type="http://schemas.openxmlformats.org/officeDocument/2006/relationships/styles" Target="styles.xml"/><Relationship Id="rId16" Type="http://schemas.openxmlformats.org/officeDocument/2006/relationships/image" Target="media/image10.tiff"/><Relationship Id="rId20" Type="http://schemas.openxmlformats.org/officeDocument/2006/relationships/image" Target="media/image14.tiff"/><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tiff"/><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ntTable" Target="fontTable.xml"/><Relationship Id="rId10" Type="http://schemas.openxmlformats.org/officeDocument/2006/relationships/image" Target="media/image4.tiff"/><Relationship Id="rId19" Type="http://schemas.openxmlformats.org/officeDocument/2006/relationships/image" Target="media/image13.tiff"/><Relationship Id="rId4" Type="http://schemas.openxmlformats.org/officeDocument/2006/relationships/webSettings" Target="webSettings.xml"/><Relationship Id="rId9" Type="http://schemas.openxmlformats.org/officeDocument/2006/relationships/image" Target="media/image3.tiff"/><Relationship Id="rId14" Type="http://schemas.openxmlformats.org/officeDocument/2006/relationships/image" Target="media/image8.tiff"/><Relationship Id="rId22"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3K0atDaI3CTgtWuIZ0riLsMndbQ==">AMUW2mWcmlrRN5qewu+jhxGQpzXJx4a28ZPizD7bQcq1SsSQdOUffwR0LlWu3Fpv+uMwY0NxsZTg2doJuuTlRqv5spH82NnT01fHtTTv5ILG2hSi5drFS92rHcEvCy52u6RWgX4IAf6U</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2347</Words>
  <Characters>14884</Characters>
  <Application>Microsoft Office Word</Application>
  <DocSecurity>0</DocSecurity>
  <Lines>425</Lines>
  <Paragraphs>200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Elia Salibi</dc:creator>
  <cp:lastModifiedBy>Hannes Mutschler</cp:lastModifiedBy>
  <cp:revision>4</cp:revision>
  <cp:lastPrinted>2022-08-29T15:32:00Z</cp:lastPrinted>
  <dcterms:created xsi:type="dcterms:W3CDTF">2022-08-30T15:02:00Z</dcterms:created>
  <dcterms:modified xsi:type="dcterms:W3CDTF">2022-08-30T15:16:00Z</dcterms:modified>
</cp:coreProperties>
</file>