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1FA62" w14:textId="06AC54CF" w:rsidR="004C5BC8" w:rsidRPr="00405952" w:rsidRDefault="00F51FD4" w:rsidP="0085496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5C99ADD" wp14:editId="4D1F4E45">
            <wp:simplePos x="0" y="0"/>
            <wp:positionH relativeFrom="margin">
              <wp:align>center</wp:align>
            </wp:positionH>
            <wp:positionV relativeFrom="paragraph">
              <wp:posOffset>121156</wp:posOffset>
            </wp:positionV>
            <wp:extent cx="6120000" cy="6570195"/>
            <wp:effectExtent l="0" t="0" r="0" b="2540"/>
            <wp:wrapThrough wrapText="bothSides">
              <wp:wrapPolygon edited="0">
                <wp:start x="0" y="0"/>
                <wp:lineTo x="0" y="21546"/>
                <wp:lineTo x="21517" y="21546"/>
                <wp:lineTo x="21517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附图1-菌群图片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57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A15F1B" w14:textId="77777777" w:rsidR="00F93DC6" w:rsidRPr="00F93DC6" w:rsidRDefault="00F93DC6" w:rsidP="00F93DC6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DC6">
        <w:rPr>
          <w:rFonts w:ascii="Times New Roman" w:eastAsia="宋体" w:hAnsi="Times New Roman" w:cs="Times New Roman"/>
          <w:b/>
          <w:sz w:val="24"/>
          <w:szCs w:val="24"/>
        </w:rPr>
        <w:t xml:space="preserve">Fig. S1 </w:t>
      </w:r>
      <w:r w:rsidRPr="00F93DC6">
        <w:rPr>
          <w:rFonts w:ascii="Times New Roman" w:eastAsia="宋体" w:hAnsi="Times New Roman" w:cs="Times New Roman"/>
          <w:b/>
          <w:i/>
          <w:sz w:val="24"/>
          <w:szCs w:val="24"/>
        </w:rPr>
        <w:t>Streptococcus thermophilus</w:t>
      </w:r>
      <w:r w:rsidRPr="00F93DC6">
        <w:rPr>
          <w:rFonts w:ascii="Times New Roman" w:eastAsia="宋体" w:hAnsi="Times New Roman" w:cs="Times New Roman"/>
          <w:b/>
          <w:sz w:val="24"/>
          <w:szCs w:val="24"/>
        </w:rPr>
        <w:t xml:space="preserve"> consumption contributes to strain-specific co-occurrence network among intestinal genera.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 a, Quantification of </w:t>
      </w:r>
      <w:r w:rsidRPr="00F93DC6">
        <w:rPr>
          <w:rFonts w:ascii="Times New Roman" w:eastAsia="宋体" w:hAnsi="Times New Roman" w:cs="Times New Roman"/>
          <w:i/>
          <w:sz w:val="24"/>
          <w:szCs w:val="24"/>
        </w:rPr>
        <w:t>S. thermophilus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 in fecal samples at day 0, day 7, and day 28 during consumption of </w:t>
      </w:r>
      <w:r w:rsidRPr="00F93DC6">
        <w:rPr>
          <w:rFonts w:ascii="Times New Roman" w:eastAsia="宋体" w:hAnsi="Times New Roman" w:cs="Times New Roman"/>
          <w:i/>
          <w:iCs/>
          <w:sz w:val="24"/>
          <w:szCs w:val="24"/>
        </w:rPr>
        <w:t>S. thermophilus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 strains, and day 50 (22 days after the end of consumption of </w:t>
      </w:r>
      <w:r w:rsidRPr="00F93DC6">
        <w:rPr>
          <w:rFonts w:ascii="Times New Roman" w:eastAsia="宋体" w:hAnsi="Times New Roman" w:cs="Times New Roman"/>
          <w:i/>
          <w:iCs/>
          <w:sz w:val="24"/>
          <w:szCs w:val="24"/>
        </w:rPr>
        <w:t>S. thermophilus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 strains). Significant differences (One-way ANOVA with Tukey’s multiple comparison, </w:t>
      </w:r>
      <w:r w:rsidRPr="00F93DC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 &lt; </w:t>
      </w:r>
      <w:r w:rsidRPr="00F93DC6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0.05) between different time points are indicated with different letters (a, b and c) above the bars. b, The co-occurrence networks indicating the relationships among differential intestinal genera identified in Fig. 1d (including </w:t>
      </w:r>
      <w:r w:rsidRPr="00F93DC6">
        <w:rPr>
          <w:rFonts w:ascii="Times New Roman" w:eastAsia="宋体" w:hAnsi="Times New Roman" w:cs="Times New Roman"/>
          <w:i/>
          <w:iCs/>
          <w:sz w:val="24"/>
          <w:szCs w:val="24"/>
        </w:rPr>
        <w:t>S. thermophilus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) at each time point under each of treatments. </w:t>
      </w:r>
    </w:p>
    <w:p w14:paraId="36AA373F" w14:textId="3B162AE7" w:rsidR="00820DC1" w:rsidRPr="00F93DC6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C78B08A" w14:textId="1D19890F" w:rsidR="00820DC1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7ABBFA4" w14:textId="12E3E374" w:rsidR="00820DC1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B9989C5" w14:textId="5C471FFC" w:rsidR="00820DC1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FA2E316" w14:textId="16EE82FC" w:rsidR="00820DC1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723B5AB" w14:textId="341DF032" w:rsidR="00820DC1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B947F29" w14:textId="0ADF2F4D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F264390" w14:textId="69FAB3B1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1CC78F9" w14:textId="10BFE2E7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C707775" w14:textId="71A39E8A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D060893" w14:textId="5B83AD5E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59ED14D" w14:textId="18D0753B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02E0E63" w14:textId="51EA970C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FB19235" w14:textId="4A42D5D8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1128A1A" w14:textId="3F48B7A0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3B94719" w14:textId="55E96472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5BF457F" w14:textId="45DA2268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C66C0A1" w14:textId="6CF8B9F3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D029AD6" w14:textId="07FACB74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B5BCE19" w14:textId="4BFE6E52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ADB2670" w14:textId="445E910C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AEF44A9" w14:textId="4829F64A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CDA4822" w14:textId="2D0DEC43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A2D8AC1" w14:textId="1030BB60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890FA43" w14:textId="2CDDB282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015FAB8" w14:textId="76404858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B246091" w14:textId="5D99533F" w:rsidR="00F93DC6" w:rsidRDefault="00F93DC6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ECB15E3" w14:textId="206E561C" w:rsidR="00C6636D" w:rsidRDefault="00230894" w:rsidP="002430B9">
      <w:pPr>
        <w:jc w:val="left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14A411B1" wp14:editId="6A1DDFA9">
            <wp:simplePos x="0" y="0"/>
            <wp:positionH relativeFrom="column">
              <wp:posOffset>-355600</wp:posOffset>
            </wp:positionH>
            <wp:positionV relativeFrom="paragraph">
              <wp:posOffset>247650</wp:posOffset>
            </wp:positionV>
            <wp:extent cx="6119495" cy="3687445"/>
            <wp:effectExtent l="0" t="0" r="0" b="825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附图-PLSD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EB0FC" w14:textId="77777777" w:rsidR="00F93DC6" w:rsidRPr="00F93DC6" w:rsidRDefault="00F93DC6" w:rsidP="00F93DC6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DC6">
        <w:rPr>
          <w:rFonts w:ascii="Times New Roman" w:eastAsia="宋体" w:hAnsi="Times New Roman" w:cs="Times New Roman"/>
          <w:b/>
          <w:sz w:val="24"/>
          <w:szCs w:val="24"/>
        </w:rPr>
        <w:t xml:space="preserve">Fig. S2 Strain-specific effect in serum and fecal metabolome related to Fig. 2. 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a, PLS-DA score plots based on the serum metabolomic proﬁles in positive ionization modes. b, PLS-DA score plots based on fecal metabolomic proﬁles in negative ionization modes. c-d, Venn diagram of all identiﬁed metabolites of </w:t>
      </w:r>
      <w:r w:rsidRPr="00F93DC6">
        <w:rPr>
          <w:rFonts w:ascii="Times New Roman" w:eastAsia="宋体" w:hAnsi="Times New Roman" w:cs="Times New Roman"/>
          <w:i/>
          <w:iCs/>
          <w:sz w:val="24"/>
          <w:szCs w:val="24"/>
        </w:rPr>
        <w:t>S. thermophilus</w:t>
      </w:r>
      <w:r w:rsidRPr="00F93DC6">
        <w:rPr>
          <w:rFonts w:ascii="Times New Roman" w:eastAsia="宋体" w:hAnsi="Times New Roman" w:cs="Times New Roman"/>
          <w:sz w:val="24"/>
          <w:szCs w:val="24"/>
        </w:rPr>
        <w:t>/Control difference among the four strains treated groups in serum (c) and feces (d).</w:t>
      </w:r>
      <w:bookmarkStart w:id="0" w:name="_GoBack"/>
      <w:bookmarkEnd w:id="0"/>
    </w:p>
    <w:p w14:paraId="1A2971E1" w14:textId="4302773D" w:rsidR="00C6636D" w:rsidRPr="00F93DC6" w:rsidRDefault="00C6636D" w:rsidP="009D09FC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0A54955" w14:textId="77DBA102" w:rsidR="00C6636D" w:rsidRPr="009D09FC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FBCBC98" w14:textId="469BD83A" w:rsidR="00C6636D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3C30E12" w14:textId="4CFFC30C" w:rsidR="00C6636D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AEA7C87" w14:textId="60B8005D" w:rsidR="00C6636D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DF2C7E7" w14:textId="35EBB3C6" w:rsidR="00C6636D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E5C7804" w14:textId="2C74F710" w:rsidR="00C6636D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E36F0D7" w14:textId="3CC21B48" w:rsidR="00C6636D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D9D7551" w14:textId="1CAA8E4D" w:rsidR="00C6636D" w:rsidRDefault="00C6636D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825F9E0" w14:textId="77777777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18B3169" w14:textId="77777777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3841CA1" w14:textId="77777777" w:rsidR="00F93DC6" w:rsidRDefault="00F93DC6" w:rsidP="00F93DC6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06F42C2B" w14:textId="17D6B901" w:rsidR="00F93DC6" w:rsidRPr="00F93DC6" w:rsidRDefault="00230894" w:rsidP="00F93DC6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4445E319" wp14:editId="06463967">
            <wp:simplePos x="0" y="0"/>
            <wp:positionH relativeFrom="margin">
              <wp:posOffset>-550231</wp:posOffset>
            </wp:positionH>
            <wp:positionV relativeFrom="paragraph">
              <wp:posOffset>16928</wp:posOffset>
            </wp:positionV>
            <wp:extent cx="6120000" cy="5620438"/>
            <wp:effectExtent l="0" t="0" r="0" b="0"/>
            <wp:wrapThrough wrapText="bothSides">
              <wp:wrapPolygon edited="0">
                <wp:start x="0" y="0"/>
                <wp:lineTo x="0" y="21524"/>
                <wp:lineTo x="21517" y="21524"/>
                <wp:lineTo x="21517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附图2-SCFA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620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DC6" w:rsidRPr="00F93DC6">
        <w:rPr>
          <w:rFonts w:ascii="Times New Roman" w:eastAsia="宋体" w:hAnsi="Times New Roman" w:cs="Times New Roman"/>
          <w:b/>
          <w:sz w:val="24"/>
          <w:szCs w:val="24"/>
        </w:rPr>
        <w:t xml:space="preserve">Fig. S3 Short Chain Fatty Acids (SCFA). </w:t>
      </w:r>
      <w:r w:rsidR="00F93DC6" w:rsidRPr="00F93DC6">
        <w:rPr>
          <w:rFonts w:ascii="Times New Roman" w:eastAsia="宋体" w:hAnsi="Times New Roman" w:cs="Times New Roman"/>
          <w:sz w:val="24"/>
          <w:szCs w:val="24"/>
        </w:rPr>
        <w:t xml:space="preserve">a, Cecal levels of acetate, propionate, butyrate, valerate, isovalerate, and isobutyrate. b, Levels of lactate in cecum and feces. Significant differences (One-way ANOVA with Tukey’s multiple comparison, </w:t>
      </w:r>
      <w:r w:rsidR="00F93DC6" w:rsidRPr="00F93DC6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F93DC6" w:rsidRPr="00F93DC6">
        <w:rPr>
          <w:rFonts w:ascii="Times New Roman" w:eastAsia="宋体" w:hAnsi="Times New Roman" w:cs="Times New Roman"/>
          <w:sz w:val="24"/>
          <w:szCs w:val="24"/>
        </w:rPr>
        <w:t xml:space="preserve"> &lt; 0.05) between groups are indicated with different letters (a, b and c) above the bars.</w:t>
      </w:r>
    </w:p>
    <w:p w14:paraId="0D459D51" w14:textId="3081B96F" w:rsidR="00230894" w:rsidRPr="00F93DC6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67093C2" w14:textId="22C06DA6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444414A" w14:textId="1EFC5BB3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9F56793" w14:textId="1E1A011E" w:rsidR="00230894" w:rsidRDefault="00230894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1139DCF" w14:textId="59FABFB0" w:rsidR="00820DC1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F0087B2" w14:textId="12629747" w:rsidR="00820DC1" w:rsidRPr="00B93525" w:rsidRDefault="00820DC1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bookmarkStart w:id="1" w:name="OLE_LINK104"/>
    </w:p>
    <w:bookmarkEnd w:id="1"/>
    <w:p w14:paraId="2ECC8D1F" w14:textId="4E53DA05" w:rsidR="0020308B" w:rsidRDefault="00230894" w:rsidP="0020308B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DFD746" wp14:editId="2B4AA46A">
            <wp:extent cx="3060000" cy="6631188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关键属及turquoise代谢物相关性绘图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663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524B" w14:textId="037F33C1" w:rsidR="00C60E4C" w:rsidRPr="00F93DC6" w:rsidRDefault="00F93DC6" w:rsidP="00F93DC6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DC6">
        <w:rPr>
          <w:rFonts w:ascii="Times New Roman" w:eastAsia="宋体" w:hAnsi="Times New Roman" w:cs="Times New Roman"/>
          <w:b/>
          <w:sz w:val="24"/>
          <w:szCs w:val="24"/>
        </w:rPr>
        <w:t>Fig. S4 Heatmap showing the association between the taxa and the metabolites in the turquoise module described in Fig. 3a.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 The taxa were denoted as the genera</w:t>
      </w:r>
      <w:r w:rsidRPr="00F93DC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93DC6">
        <w:rPr>
          <w:rFonts w:ascii="Times New Roman" w:eastAsia="宋体" w:hAnsi="Times New Roman" w:cs="Times New Roman"/>
          <w:sz w:val="24"/>
          <w:szCs w:val="24"/>
        </w:rPr>
        <w:t>showing the absolute value of correlation coefficients greater than 0.6 with the turquoise module.</w:t>
      </w:r>
    </w:p>
    <w:p w14:paraId="311686F0" w14:textId="48436E2B" w:rsidR="00C60E4C" w:rsidRDefault="00C60E4C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DE63E50" w14:textId="1B44DF45" w:rsidR="00C60E4C" w:rsidRDefault="00C60E4C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FB8BF35" w14:textId="0D77EB93" w:rsidR="008B07F3" w:rsidRPr="008B07F3" w:rsidRDefault="00A30258" w:rsidP="008B07F3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4B076CD" wp14:editId="1289AA2D">
            <wp:simplePos x="0" y="0"/>
            <wp:positionH relativeFrom="margin">
              <wp:posOffset>-314325</wp:posOffset>
            </wp:positionH>
            <wp:positionV relativeFrom="paragraph">
              <wp:posOffset>130810</wp:posOffset>
            </wp:positionV>
            <wp:extent cx="6119495" cy="6696710"/>
            <wp:effectExtent l="0" t="0" r="0" b="8890"/>
            <wp:wrapThrough wrapText="bothSides">
              <wp:wrapPolygon edited="0">
                <wp:start x="0" y="0"/>
                <wp:lineTo x="0" y="21567"/>
                <wp:lineTo x="21517" y="21567"/>
                <wp:lineTo x="21517" y="0"/>
                <wp:lineTo x="0" y="0"/>
              </wp:wrapPolygon>
            </wp:wrapThrough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附图-SCFAs与粪便代谢组相关性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69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7F3" w:rsidRPr="008B07F3">
        <w:rPr>
          <w:rFonts w:ascii="Times New Roman" w:eastAsia="宋体" w:hAnsi="Times New Roman" w:cs="Times New Roman"/>
          <w:b/>
          <w:sz w:val="24"/>
          <w:szCs w:val="24"/>
        </w:rPr>
        <w:t xml:space="preserve">Fig. S5 Correlations between Short Chain Fatty Acids (SCFAs) and fecal metabolites. </w:t>
      </w:r>
      <w:r w:rsidR="008B07F3" w:rsidRPr="008B07F3">
        <w:rPr>
          <w:rFonts w:ascii="Times New Roman" w:eastAsia="宋体" w:hAnsi="Times New Roman" w:cs="Times New Roman"/>
          <w:sz w:val="24"/>
          <w:szCs w:val="24"/>
        </w:rPr>
        <w:t xml:space="preserve">a, Correlation matrix between metabolites consensus modules and SCFAs. Modules were determined based on patterns of co-abundance of metabolites using weighted correlation network analysis (WGCNA). Each of the modules was labelled with a unique color as an identifier. Within each cell, upper values are </w:t>
      </w:r>
      <w:r w:rsidR="008B07F3" w:rsidRPr="008B07F3">
        <w:rPr>
          <w:rFonts w:ascii="Times New Roman" w:eastAsia="宋体" w:hAnsi="Times New Roman" w:cs="Times New Roman"/>
          <w:sz w:val="24"/>
          <w:szCs w:val="24"/>
        </w:rPr>
        <w:lastRenderedPageBreak/>
        <w:t>correlation coefficients between module and SCFAs, lower values are the corresponding FDR adjusted-</w:t>
      </w:r>
      <w:r w:rsidR="008B07F3" w:rsidRPr="008B07F3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8B07F3" w:rsidRPr="008B07F3">
        <w:rPr>
          <w:rFonts w:ascii="Times New Roman" w:eastAsia="宋体" w:hAnsi="Times New Roman" w:cs="Times New Roman"/>
          <w:sz w:val="24"/>
          <w:szCs w:val="24"/>
        </w:rPr>
        <w:t xml:space="preserve"> values. b. Pathways enriched in the turquoise module at a significance threshold of FDR-adjusted </w:t>
      </w:r>
      <w:r w:rsidR="008B07F3" w:rsidRPr="008B07F3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8B07F3" w:rsidRPr="008B07F3">
        <w:rPr>
          <w:rFonts w:ascii="Times New Roman" w:eastAsia="宋体" w:hAnsi="Times New Roman" w:cs="Times New Roman"/>
          <w:sz w:val="24"/>
          <w:szCs w:val="24"/>
        </w:rPr>
        <w:t xml:space="preserve"> of less than 0.05. c, Heatmap showing an association between the SCFA and the top metabolites in the turquoise module (|MM| &gt;0.85, |MS| &gt;0.2). MM, module membership in each module; MS, metabolite significance </w:t>
      </w:r>
      <w:bookmarkStart w:id="2" w:name="OLE_LINK96"/>
      <w:r w:rsidR="008B07F3" w:rsidRPr="008B07F3">
        <w:rPr>
          <w:rFonts w:ascii="Times New Roman" w:eastAsia="宋体" w:hAnsi="Times New Roman" w:cs="Times New Roman"/>
          <w:sz w:val="24"/>
          <w:szCs w:val="24"/>
        </w:rPr>
        <w:t xml:space="preserve">which reports the association of each metabolite with each genus. </w:t>
      </w:r>
    </w:p>
    <w:bookmarkEnd w:id="2"/>
    <w:p w14:paraId="3ED54CD2" w14:textId="6CE162E0" w:rsidR="00A30258" w:rsidRPr="008B07F3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059A042" w14:textId="11520872" w:rsidR="00A30258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0EAAFE8" w14:textId="09455F79" w:rsidR="00A30258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5575154" w14:textId="5C26DDA7" w:rsidR="00A30258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F90720A" w14:textId="10B99E22" w:rsidR="00A30258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D3EFBCE" w14:textId="344ED445" w:rsidR="00A30258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F322B04" w14:textId="52A90B06" w:rsidR="00A30258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A18C577" w14:textId="14476CCA" w:rsidR="00A30258" w:rsidRDefault="00A30258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3253696" w14:textId="15ABCA9F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A88FD17" w14:textId="7462588F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BEC53DE" w14:textId="345A5779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8DA7F1F" w14:textId="414B8AA6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A12D99A" w14:textId="10328D83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E6BA6A3" w14:textId="02E4C96F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E105183" w14:textId="7313CC2E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98CFD64" w14:textId="10E1C8C3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0DF95BD" w14:textId="5C8056A4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288A965" w14:textId="0FD75D0A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418F7D6" w14:textId="5CE8B737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6C99717" w14:textId="5EB62C96" w:rsidR="008B07F3" w:rsidRDefault="008B07F3" w:rsidP="002430B9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DD97187" w14:textId="77777777" w:rsidR="008B07F3" w:rsidRDefault="008B07F3" w:rsidP="002430B9">
      <w:pPr>
        <w:jc w:val="left"/>
        <w:rPr>
          <w:rFonts w:ascii="Times New Roman" w:eastAsia="宋体" w:hAnsi="Times New Roman" w:cs="Times New Roman" w:hint="eastAsia"/>
          <w:sz w:val="24"/>
          <w:szCs w:val="24"/>
        </w:rPr>
      </w:pPr>
    </w:p>
    <w:p w14:paraId="028DEF1E" w14:textId="35B0D98E" w:rsidR="009D7EB2" w:rsidRDefault="009D7EB2" w:rsidP="00DC14FB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CC8F7F" wp14:editId="4B30524E">
            <wp:extent cx="3060000" cy="4029687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第二版-GH家族及糖利用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90"/>
                    <a:stretch/>
                  </pic:blipFill>
                  <pic:spPr bwMode="auto">
                    <a:xfrm>
                      <a:off x="0" y="0"/>
                      <a:ext cx="3060000" cy="4029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E53E0" w14:textId="77777777" w:rsidR="008B07F3" w:rsidRPr="008B07F3" w:rsidRDefault="008B07F3" w:rsidP="008B07F3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8B07F3">
        <w:rPr>
          <w:rFonts w:ascii="Times New Roman" w:eastAsia="宋体" w:hAnsi="Times New Roman" w:cs="Times New Roman"/>
          <w:b/>
          <w:sz w:val="24"/>
          <w:szCs w:val="24"/>
        </w:rPr>
        <w:t xml:space="preserve">Fig. S6 Heatmap showing the copy numbers of Glycosyl hydrolase (GH) family in 4 </w:t>
      </w:r>
      <w:r w:rsidRPr="008B07F3">
        <w:rPr>
          <w:rFonts w:ascii="Times New Roman" w:eastAsia="宋体" w:hAnsi="Times New Roman" w:cs="Times New Roman"/>
          <w:b/>
          <w:i/>
          <w:iCs/>
          <w:sz w:val="24"/>
          <w:szCs w:val="24"/>
        </w:rPr>
        <w:t xml:space="preserve">S. thermophilus </w:t>
      </w:r>
      <w:r w:rsidRPr="008B07F3">
        <w:rPr>
          <w:rFonts w:ascii="Times New Roman" w:eastAsia="宋体" w:hAnsi="Times New Roman" w:cs="Times New Roman"/>
          <w:b/>
          <w:iCs/>
          <w:sz w:val="24"/>
          <w:szCs w:val="24"/>
        </w:rPr>
        <w:t>strains.</w:t>
      </w:r>
    </w:p>
    <w:p w14:paraId="0408E318" w14:textId="63FCB0FC" w:rsidR="00C76C98" w:rsidRPr="008B07F3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01EA642" w14:textId="62DD35B3" w:rsidR="00C76C98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B61FA74" w14:textId="58D21998" w:rsidR="00C76C98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F2CB3D0" w14:textId="40FAF300" w:rsidR="00C76C98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64928EE" w14:textId="6FB41BCF" w:rsidR="00C76C98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B9BBD06" w14:textId="50AF6D84" w:rsidR="00C76C98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5092ECD" w14:textId="7C55641B" w:rsidR="00C76C98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2EE66E7" w14:textId="60970B0D" w:rsidR="00C76C98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D8FEE55" w14:textId="35B6E8FA" w:rsidR="00C1115D" w:rsidRDefault="00C1115D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5149E34" w14:textId="4306137F" w:rsidR="00C1115D" w:rsidRDefault="00C1115D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B26CA79" w14:textId="7A326DE7" w:rsidR="00C1115D" w:rsidRDefault="00C1115D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BAF30F9" w14:textId="0AF6BC9E" w:rsidR="00C1115D" w:rsidRDefault="00C1115D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C6B97FD" w14:textId="3DD2FF7E" w:rsidR="008B07F3" w:rsidRPr="008B07F3" w:rsidRDefault="009D7EB2" w:rsidP="008B07F3">
      <w:pPr>
        <w:spacing w:line="480" w:lineRule="auto"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2ABFF1D9" wp14:editId="09BF8E61">
            <wp:simplePos x="0" y="0"/>
            <wp:positionH relativeFrom="column">
              <wp:posOffset>-801176</wp:posOffset>
            </wp:positionH>
            <wp:positionV relativeFrom="paragraph">
              <wp:posOffset>111291</wp:posOffset>
            </wp:positionV>
            <wp:extent cx="6120000" cy="5121613"/>
            <wp:effectExtent l="0" t="0" r="0" b="3175"/>
            <wp:wrapThrough wrapText="bothSides">
              <wp:wrapPolygon edited="0">
                <wp:start x="0" y="0"/>
                <wp:lineTo x="0" y="21533"/>
                <wp:lineTo x="21517" y="21533"/>
                <wp:lineTo x="21517" y="0"/>
                <wp:lineTo x="0" y="0"/>
              </wp:wrapPolygon>
            </wp:wrapThrough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肠道菌picrust2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121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7F3" w:rsidRPr="008B07F3">
        <w:rPr>
          <w:rFonts w:ascii="Times New Roman" w:eastAsia="宋体" w:hAnsi="Times New Roman" w:cs="Times New Roman"/>
          <w:b/>
          <w:sz w:val="24"/>
          <w:szCs w:val="24"/>
        </w:rPr>
        <w:t xml:space="preserve">Fig. S7 The bubble map showing the differential pathways among 4 </w:t>
      </w:r>
      <w:r w:rsidR="008B07F3" w:rsidRPr="008B07F3">
        <w:rPr>
          <w:rFonts w:ascii="Times New Roman" w:eastAsia="宋体" w:hAnsi="Times New Roman" w:cs="Times New Roman"/>
          <w:b/>
          <w:i/>
          <w:iCs/>
          <w:sz w:val="24"/>
          <w:szCs w:val="24"/>
        </w:rPr>
        <w:t xml:space="preserve">S. thermophilus </w:t>
      </w:r>
      <w:r w:rsidR="008B07F3" w:rsidRPr="008B07F3">
        <w:rPr>
          <w:rFonts w:ascii="Times New Roman" w:eastAsia="宋体" w:hAnsi="Times New Roman" w:cs="Times New Roman"/>
          <w:b/>
          <w:iCs/>
          <w:sz w:val="24"/>
          <w:szCs w:val="24"/>
        </w:rPr>
        <w:t xml:space="preserve">strains. </w:t>
      </w:r>
      <w:r w:rsidR="008B07F3" w:rsidRPr="008B07F3">
        <w:rPr>
          <w:rFonts w:ascii="Times New Roman" w:eastAsia="宋体" w:hAnsi="Times New Roman" w:cs="Times New Roman"/>
          <w:iCs/>
          <w:sz w:val="24"/>
          <w:szCs w:val="24"/>
        </w:rPr>
        <w:t>Welch’s t test (</w:t>
      </w:r>
      <w:r w:rsidR="008B07F3" w:rsidRPr="008B07F3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="008B07F3" w:rsidRPr="008B07F3">
        <w:rPr>
          <w:rFonts w:ascii="Times New Roman" w:eastAsia="宋体" w:hAnsi="Times New Roman" w:cs="Times New Roman"/>
          <w:iCs/>
          <w:sz w:val="24"/>
          <w:szCs w:val="24"/>
        </w:rPr>
        <w:t xml:space="preserve">&lt; 0.01) was used to compare data between each </w:t>
      </w:r>
      <w:r w:rsidR="008B07F3" w:rsidRPr="008B07F3">
        <w:rPr>
          <w:rFonts w:ascii="Times New Roman" w:eastAsia="宋体" w:hAnsi="Times New Roman" w:cs="Times New Roman"/>
          <w:i/>
          <w:iCs/>
          <w:sz w:val="24"/>
          <w:szCs w:val="24"/>
        </w:rPr>
        <w:t>S. thermophilus</w:t>
      </w:r>
      <w:r w:rsidR="008B07F3" w:rsidRPr="008B07F3">
        <w:rPr>
          <w:rFonts w:ascii="Times New Roman" w:eastAsia="宋体" w:hAnsi="Times New Roman" w:cs="Times New Roman"/>
          <w:iCs/>
          <w:sz w:val="24"/>
          <w:szCs w:val="24"/>
        </w:rPr>
        <w:t xml:space="preserve"> strain and control group. The</w:t>
      </w:r>
      <w:r w:rsidR="008B07F3" w:rsidRPr="008B07F3">
        <w:rPr>
          <w:rFonts w:ascii="Times New Roman" w:eastAsia="宋体" w:hAnsi="Times New Roman" w:cs="Times New Roman"/>
          <w:sz w:val="24"/>
          <w:szCs w:val="24"/>
        </w:rPr>
        <w:t xml:space="preserve"> pathways were predicted from 16S rDNA surveys by PICRUSt2. </w:t>
      </w:r>
    </w:p>
    <w:p w14:paraId="352E189E" w14:textId="44733951" w:rsidR="00C76C98" w:rsidRPr="008B07F3" w:rsidRDefault="00C76C98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AE80F14" w14:textId="77777777" w:rsidR="009909F7" w:rsidRPr="00405952" w:rsidRDefault="009909F7" w:rsidP="001A2170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sectPr w:rsidR="009909F7" w:rsidRPr="00405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23607" w14:textId="77777777" w:rsidR="00524898" w:rsidRDefault="00524898" w:rsidP="009C26CF">
      <w:r>
        <w:separator/>
      </w:r>
    </w:p>
  </w:endnote>
  <w:endnote w:type="continuationSeparator" w:id="0">
    <w:p w14:paraId="3A4C43D2" w14:textId="77777777" w:rsidR="00524898" w:rsidRDefault="00524898" w:rsidP="009C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4247A" w14:textId="77777777" w:rsidR="00524898" w:rsidRDefault="00524898" w:rsidP="009C26CF">
      <w:r>
        <w:separator/>
      </w:r>
    </w:p>
  </w:footnote>
  <w:footnote w:type="continuationSeparator" w:id="0">
    <w:p w14:paraId="2D733C75" w14:textId="77777777" w:rsidR="00524898" w:rsidRDefault="00524898" w:rsidP="009C2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88"/>
    <w:rsid w:val="00015461"/>
    <w:rsid w:val="00026465"/>
    <w:rsid w:val="00060016"/>
    <w:rsid w:val="000769F2"/>
    <w:rsid w:val="000900E4"/>
    <w:rsid w:val="000A1F84"/>
    <w:rsid w:val="000B0C84"/>
    <w:rsid w:val="000B54EA"/>
    <w:rsid w:val="000C1BF4"/>
    <w:rsid w:val="000E066C"/>
    <w:rsid w:val="000E732E"/>
    <w:rsid w:val="000F4375"/>
    <w:rsid w:val="000F6333"/>
    <w:rsid w:val="000F646A"/>
    <w:rsid w:val="000F6B0E"/>
    <w:rsid w:val="001154E2"/>
    <w:rsid w:val="00125B65"/>
    <w:rsid w:val="00125CF9"/>
    <w:rsid w:val="001301F8"/>
    <w:rsid w:val="001476CB"/>
    <w:rsid w:val="00173BF1"/>
    <w:rsid w:val="0017437A"/>
    <w:rsid w:val="0018342C"/>
    <w:rsid w:val="001926F3"/>
    <w:rsid w:val="00193E4A"/>
    <w:rsid w:val="00195F7A"/>
    <w:rsid w:val="001A2170"/>
    <w:rsid w:val="001B2A0F"/>
    <w:rsid w:val="001B504A"/>
    <w:rsid w:val="001D2E0B"/>
    <w:rsid w:val="001D4510"/>
    <w:rsid w:val="001E1029"/>
    <w:rsid w:val="001E17C8"/>
    <w:rsid w:val="00201B06"/>
    <w:rsid w:val="0020308B"/>
    <w:rsid w:val="00226936"/>
    <w:rsid w:val="00230894"/>
    <w:rsid w:val="002326EE"/>
    <w:rsid w:val="002430B9"/>
    <w:rsid w:val="00262B4E"/>
    <w:rsid w:val="00265834"/>
    <w:rsid w:val="00280990"/>
    <w:rsid w:val="00284D57"/>
    <w:rsid w:val="0028635D"/>
    <w:rsid w:val="002B2CF7"/>
    <w:rsid w:val="002B61F4"/>
    <w:rsid w:val="002E220D"/>
    <w:rsid w:val="002E7120"/>
    <w:rsid w:val="002E7EFE"/>
    <w:rsid w:val="00304DFB"/>
    <w:rsid w:val="00332044"/>
    <w:rsid w:val="00334C71"/>
    <w:rsid w:val="0034246B"/>
    <w:rsid w:val="003446F8"/>
    <w:rsid w:val="0034636B"/>
    <w:rsid w:val="00357BC7"/>
    <w:rsid w:val="0037128B"/>
    <w:rsid w:val="00375C1D"/>
    <w:rsid w:val="00380020"/>
    <w:rsid w:val="00396283"/>
    <w:rsid w:val="003A3829"/>
    <w:rsid w:val="003B789A"/>
    <w:rsid w:val="003C0042"/>
    <w:rsid w:val="003C5904"/>
    <w:rsid w:val="003C759A"/>
    <w:rsid w:val="00405952"/>
    <w:rsid w:val="004200F2"/>
    <w:rsid w:val="004255C4"/>
    <w:rsid w:val="00430E9A"/>
    <w:rsid w:val="00436A54"/>
    <w:rsid w:val="00457070"/>
    <w:rsid w:val="00461046"/>
    <w:rsid w:val="00462C2B"/>
    <w:rsid w:val="0048302B"/>
    <w:rsid w:val="004848FF"/>
    <w:rsid w:val="004868EB"/>
    <w:rsid w:val="00486FB2"/>
    <w:rsid w:val="00491973"/>
    <w:rsid w:val="004928DB"/>
    <w:rsid w:val="004C5BC8"/>
    <w:rsid w:val="004D114D"/>
    <w:rsid w:val="004F1522"/>
    <w:rsid w:val="004F1D8B"/>
    <w:rsid w:val="00501024"/>
    <w:rsid w:val="00524898"/>
    <w:rsid w:val="00533892"/>
    <w:rsid w:val="0053721A"/>
    <w:rsid w:val="0054617B"/>
    <w:rsid w:val="0055098A"/>
    <w:rsid w:val="00552D11"/>
    <w:rsid w:val="00560D5A"/>
    <w:rsid w:val="005B6EB8"/>
    <w:rsid w:val="005F3C8E"/>
    <w:rsid w:val="006101F1"/>
    <w:rsid w:val="006128FF"/>
    <w:rsid w:val="00625D3E"/>
    <w:rsid w:val="00634EC1"/>
    <w:rsid w:val="00664BFD"/>
    <w:rsid w:val="00665830"/>
    <w:rsid w:val="0068082D"/>
    <w:rsid w:val="00690194"/>
    <w:rsid w:val="0069365A"/>
    <w:rsid w:val="006A56A4"/>
    <w:rsid w:val="006B280C"/>
    <w:rsid w:val="006B71E2"/>
    <w:rsid w:val="006C5932"/>
    <w:rsid w:val="006D7CFB"/>
    <w:rsid w:val="006E2489"/>
    <w:rsid w:val="006E3F12"/>
    <w:rsid w:val="006E5878"/>
    <w:rsid w:val="006E63CA"/>
    <w:rsid w:val="006F3EC7"/>
    <w:rsid w:val="006F4120"/>
    <w:rsid w:val="007051E3"/>
    <w:rsid w:val="007207E5"/>
    <w:rsid w:val="00722A28"/>
    <w:rsid w:val="007255BE"/>
    <w:rsid w:val="00737C24"/>
    <w:rsid w:val="0074350D"/>
    <w:rsid w:val="00751177"/>
    <w:rsid w:val="00753A9C"/>
    <w:rsid w:val="00762A69"/>
    <w:rsid w:val="007706ED"/>
    <w:rsid w:val="0078577F"/>
    <w:rsid w:val="007B2321"/>
    <w:rsid w:val="007B7A43"/>
    <w:rsid w:val="007C05E4"/>
    <w:rsid w:val="007C3C1D"/>
    <w:rsid w:val="007E29A9"/>
    <w:rsid w:val="007F381E"/>
    <w:rsid w:val="0080699F"/>
    <w:rsid w:val="0082086D"/>
    <w:rsid w:val="00820DC1"/>
    <w:rsid w:val="00854966"/>
    <w:rsid w:val="008551F3"/>
    <w:rsid w:val="0086566F"/>
    <w:rsid w:val="0086745C"/>
    <w:rsid w:val="0088177D"/>
    <w:rsid w:val="0088757D"/>
    <w:rsid w:val="008A46A2"/>
    <w:rsid w:val="008B07F3"/>
    <w:rsid w:val="008B3BDD"/>
    <w:rsid w:val="008B70AC"/>
    <w:rsid w:val="008D7AB6"/>
    <w:rsid w:val="008F3588"/>
    <w:rsid w:val="008F5C29"/>
    <w:rsid w:val="00906CBC"/>
    <w:rsid w:val="00915576"/>
    <w:rsid w:val="0094233A"/>
    <w:rsid w:val="009434A4"/>
    <w:rsid w:val="0096705D"/>
    <w:rsid w:val="00981E8D"/>
    <w:rsid w:val="0098601B"/>
    <w:rsid w:val="009909F7"/>
    <w:rsid w:val="009A4617"/>
    <w:rsid w:val="009B5DAF"/>
    <w:rsid w:val="009C26CF"/>
    <w:rsid w:val="009D0297"/>
    <w:rsid w:val="009D09FC"/>
    <w:rsid w:val="009D7EB2"/>
    <w:rsid w:val="009E21E9"/>
    <w:rsid w:val="009F17B8"/>
    <w:rsid w:val="009F345F"/>
    <w:rsid w:val="00A02260"/>
    <w:rsid w:val="00A0472B"/>
    <w:rsid w:val="00A15A7E"/>
    <w:rsid w:val="00A24182"/>
    <w:rsid w:val="00A30258"/>
    <w:rsid w:val="00A33808"/>
    <w:rsid w:val="00A42C7C"/>
    <w:rsid w:val="00A42F30"/>
    <w:rsid w:val="00A54DDE"/>
    <w:rsid w:val="00A62533"/>
    <w:rsid w:val="00A971B8"/>
    <w:rsid w:val="00AA36B5"/>
    <w:rsid w:val="00AB2602"/>
    <w:rsid w:val="00AE64BE"/>
    <w:rsid w:val="00B16111"/>
    <w:rsid w:val="00B22773"/>
    <w:rsid w:val="00B46D11"/>
    <w:rsid w:val="00B5673F"/>
    <w:rsid w:val="00B7745E"/>
    <w:rsid w:val="00B90676"/>
    <w:rsid w:val="00B92234"/>
    <w:rsid w:val="00B93525"/>
    <w:rsid w:val="00B97670"/>
    <w:rsid w:val="00BB6B5A"/>
    <w:rsid w:val="00BD4BEA"/>
    <w:rsid w:val="00BE6B06"/>
    <w:rsid w:val="00BE7368"/>
    <w:rsid w:val="00BF18C2"/>
    <w:rsid w:val="00C009CF"/>
    <w:rsid w:val="00C1115D"/>
    <w:rsid w:val="00C1243C"/>
    <w:rsid w:val="00C264FB"/>
    <w:rsid w:val="00C5366C"/>
    <w:rsid w:val="00C60E4C"/>
    <w:rsid w:val="00C6636D"/>
    <w:rsid w:val="00C7267B"/>
    <w:rsid w:val="00C75C47"/>
    <w:rsid w:val="00C76C98"/>
    <w:rsid w:val="00C7778D"/>
    <w:rsid w:val="00C80507"/>
    <w:rsid w:val="00C9515F"/>
    <w:rsid w:val="00CB34C3"/>
    <w:rsid w:val="00CE056A"/>
    <w:rsid w:val="00CF352B"/>
    <w:rsid w:val="00CF7E78"/>
    <w:rsid w:val="00D12520"/>
    <w:rsid w:val="00D25779"/>
    <w:rsid w:val="00D32D9A"/>
    <w:rsid w:val="00D46AA7"/>
    <w:rsid w:val="00D80A28"/>
    <w:rsid w:val="00D82642"/>
    <w:rsid w:val="00DB21DC"/>
    <w:rsid w:val="00DC14FB"/>
    <w:rsid w:val="00DC7B0B"/>
    <w:rsid w:val="00DC7D01"/>
    <w:rsid w:val="00DD59FE"/>
    <w:rsid w:val="00DD65F8"/>
    <w:rsid w:val="00DE3C56"/>
    <w:rsid w:val="00DE6C3E"/>
    <w:rsid w:val="00E11948"/>
    <w:rsid w:val="00E335E3"/>
    <w:rsid w:val="00E634E8"/>
    <w:rsid w:val="00E72F0F"/>
    <w:rsid w:val="00E73E79"/>
    <w:rsid w:val="00E9021A"/>
    <w:rsid w:val="00E9316D"/>
    <w:rsid w:val="00EB4D81"/>
    <w:rsid w:val="00EE3238"/>
    <w:rsid w:val="00F051C3"/>
    <w:rsid w:val="00F125A4"/>
    <w:rsid w:val="00F465AC"/>
    <w:rsid w:val="00F51FD4"/>
    <w:rsid w:val="00F60DCD"/>
    <w:rsid w:val="00F71140"/>
    <w:rsid w:val="00F7588D"/>
    <w:rsid w:val="00F82CC7"/>
    <w:rsid w:val="00F864EE"/>
    <w:rsid w:val="00F9091B"/>
    <w:rsid w:val="00F93DC6"/>
    <w:rsid w:val="00FB16F9"/>
    <w:rsid w:val="00FC7396"/>
    <w:rsid w:val="00FD5CCD"/>
    <w:rsid w:val="00FD7633"/>
    <w:rsid w:val="00FE27FE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8022D"/>
  <w15:chartTrackingRefBased/>
  <w15:docId w15:val="{E1B27323-6A55-442F-A691-7A3BABD2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8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26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2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26C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4617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461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19D95-8ABD-4180-8E82-04DC0D55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2162</TotalTime>
  <Pages>9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17851311287</dc:creator>
  <cp:keywords/>
  <dc:description/>
  <cp:lastModifiedBy>17851311287</cp:lastModifiedBy>
  <cp:revision>209</cp:revision>
  <dcterms:created xsi:type="dcterms:W3CDTF">2022-04-16T15:35:00Z</dcterms:created>
  <dcterms:modified xsi:type="dcterms:W3CDTF">2022-08-16T05:56:00Z</dcterms:modified>
</cp:coreProperties>
</file>