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2. Criteria for assessing the credibility of significant subgroup effects</w:t>
      </w:r>
    </w:p>
    <w:tbl>
      <w:tblPr>
        <w:tblStyle w:val="3"/>
        <w:tblW w:w="8559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4"/>
        <w:gridCol w:w="1041"/>
        <w:gridCol w:w="2854"/>
      </w:tblGrid>
      <w:tr>
        <w:trPr>
          <w:trHeight w:val="256" w:hRule="atLeast"/>
        </w:trPr>
        <w:tc>
          <w:tcPr>
            <w:tcW w:w="4664" w:type="dxa"/>
          </w:tcPr>
          <w:p>
            <w:pPr>
              <w:spacing w:line="360" w:lineRule="auto"/>
              <w:rPr>
                <w:rFonts w:ascii="Times New Roman" w:hAnsi="Times New Roman" w:cs="Times New Roman" w:eastAsiaTheme="minorEastAsia"/>
                <w:b/>
                <w:szCs w:val="22"/>
              </w:rPr>
            </w:pPr>
            <w:r>
              <w:rPr>
                <w:rFonts w:ascii="Times New Roman" w:hAnsi="Times New Roman" w:cs="Times New Roman" w:eastAsiaTheme="minorEastAsia"/>
                <w:b/>
                <w:szCs w:val="22"/>
              </w:rPr>
              <w:t>Criteria</w:t>
            </w:r>
          </w:p>
        </w:tc>
        <w:tc>
          <w:tcPr>
            <w:tcW w:w="1041" w:type="dxa"/>
          </w:tcPr>
          <w:p>
            <w:pPr>
              <w:spacing w:line="360" w:lineRule="auto"/>
              <w:rPr>
                <w:rFonts w:ascii="Times New Roman" w:hAnsi="Times New Roman" w:cs="Times New Roman" w:eastAsiaTheme="minorEastAsia"/>
                <w:b/>
                <w:szCs w:val="22"/>
              </w:rPr>
            </w:pPr>
            <w:r>
              <w:rPr>
                <w:rFonts w:ascii="Times New Roman" w:hAnsi="Times New Roman" w:cs="Times New Roman" w:eastAsiaTheme="minorEastAsia"/>
                <w:b/>
                <w:szCs w:val="22"/>
              </w:rPr>
              <w:t>Answer</w:t>
            </w:r>
          </w:p>
        </w:tc>
        <w:tc>
          <w:tcPr>
            <w:tcW w:w="2854" w:type="dxa"/>
          </w:tcPr>
          <w:p>
            <w:pPr>
              <w:spacing w:line="360" w:lineRule="auto"/>
              <w:rPr>
                <w:rFonts w:ascii="Times New Roman" w:hAnsi="Times New Roman" w:cs="Times New Roman" w:eastAsiaTheme="minorEastAsia"/>
                <w:b/>
                <w:szCs w:val="22"/>
              </w:rPr>
            </w:pPr>
            <w:r>
              <w:rPr>
                <w:rFonts w:ascii="Times New Roman" w:hAnsi="Times New Roman" w:cs="Times New Roman" w:eastAsiaTheme="minorEastAsia"/>
                <w:b/>
                <w:szCs w:val="22"/>
              </w:rPr>
              <w:t>Explanations</w:t>
            </w:r>
          </w:p>
        </w:tc>
      </w:tr>
      <w:tr>
        <w:trPr>
          <w:trHeight w:val="113" w:hRule="atLeast"/>
        </w:trPr>
        <w:tc>
          <w:tcPr>
            <w:tcW w:w="4664" w:type="dxa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cs="Times New Roman" w:eastAsiaTheme="minorEastAsia"/>
                <w:sz w:val="18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20"/>
              </w:rPr>
              <w:t>1. Can Chance Explain the Subgroup Difference?</w:t>
            </w:r>
          </w:p>
        </w:tc>
        <w:tc>
          <w:tcPr>
            <w:tcW w:w="1041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 w:eastAsiaTheme="minorEastAsia"/>
                <w:sz w:val="18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20"/>
              </w:rPr>
              <w:t>Yes</w:t>
            </w:r>
          </w:p>
        </w:tc>
        <w:tc>
          <w:tcPr>
            <w:tcW w:w="2854" w:type="dxa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cs="Times New Roman" w:eastAsiaTheme="minorEastAsia"/>
                <w:sz w:val="18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20"/>
              </w:rPr>
              <w:t>P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20"/>
                <w:lang w:val="en-US" w:eastAsia="zh-Hans"/>
              </w:rPr>
              <w:t>＜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20"/>
                <w:lang w:eastAsia="zh-Hans"/>
              </w:rPr>
              <w:t>0.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20"/>
                <w:lang w:eastAsia="zh-Hans"/>
              </w:rPr>
              <w:t>1</w:t>
            </w:r>
            <w:r>
              <w:rPr>
                <w:rFonts w:ascii="Times New Roman" w:hAnsi="Times New Roman" w:cs="Times New Roman" w:eastAsiaTheme="minorEastAsia"/>
                <w:sz w:val="18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 w:eastAsiaTheme="minorEastAsia"/>
                <w:sz w:val="18"/>
                <w:szCs w:val="20"/>
              </w:rPr>
              <w:t>for test of interaction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5" w:hRule="atLeast"/>
        </w:trPr>
        <w:tc>
          <w:tcPr>
            <w:tcW w:w="4664" w:type="dxa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cs="Times New Roman" w:eastAsiaTheme="minorEastAsia"/>
                <w:sz w:val="18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20"/>
              </w:rPr>
              <w:t>2. Is the subgroup difference consistent across studies?</w:t>
            </w:r>
          </w:p>
        </w:tc>
        <w:tc>
          <w:tcPr>
            <w:tcW w:w="1041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 w:eastAsiaTheme="minorEastAsia"/>
                <w:sz w:val="18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20"/>
              </w:rPr>
              <w:t>No</w:t>
            </w:r>
          </w:p>
        </w:tc>
        <w:tc>
          <w:tcPr>
            <w:tcW w:w="2854" w:type="dxa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cs="Times New Roman" w:eastAsiaTheme="minorEastAsia"/>
                <w:sz w:val="18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20"/>
              </w:rPr>
              <w:t>Large heterogeneity with 5 subgroups.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3" w:hRule="atLeast"/>
        </w:trPr>
        <w:tc>
          <w:tcPr>
            <w:tcW w:w="4664" w:type="dxa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cs="Times New Roman" w:eastAsiaTheme="minorEastAsia"/>
                <w:sz w:val="18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20"/>
              </w:rPr>
              <w:t>3. Was the subgroup difference one of a small number of a priori hypotheses in which the direction was accurately prespecified?</w:t>
            </w:r>
          </w:p>
        </w:tc>
        <w:tc>
          <w:tcPr>
            <w:tcW w:w="1041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 w:eastAsiaTheme="minorEastAsia"/>
                <w:sz w:val="18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20"/>
              </w:rPr>
              <w:t>Yes</w:t>
            </w:r>
          </w:p>
        </w:tc>
        <w:tc>
          <w:tcPr>
            <w:tcW w:w="2854" w:type="dxa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cs="Times New Roman" w:eastAsiaTheme="minorEastAsia"/>
                <w:sz w:val="18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20"/>
              </w:rPr>
              <w:t>A prior hypothesis including the effects’ direction was defined in advance.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6" w:hRule="atLeast"/>
        </w:trPr>
        <w:tc>
          <w:tcPr>
            <w:tcW w:w="4664" w:type="dxa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cs="Times New Roman" w:eastAsiaTheme="minorEastAsia"/>
                <w:sz w:val="18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20"/>
              </w:rPr>
              <w:t>4. Is there a strong preexisting biological rationale supporting the apparent subgroup effect?</w:t>
            </w:r>
          </w:p>
        </w:tc>
        <w:tc>
          <w:tcPr>
            <w:tcW w:w="1041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 w:eastAsiaTheme="minorEastAsia"/>
                <w:sz w:val="18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20"/>
              </w:rPr>
              <w:t>No</w:t>
            </w:r>
          </w:p>
        </w:tc>
        <w:tc>
          <w:tcPr>
            <w:tcW w:w="2854" w:type="dxa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cs="Times New Roman" w:eastAsiaTheme="minorEastAsia"/>
                <w:sz w:val="18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20"/>
              </w:rPr>
              <w:t>We presume health education, as a non-medicine intervention, will have a relatively smaller effects compared with routine treatment. However, there is still lack of biological evidence.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0" w:hRule="atLeast"/>
        </w:trPr>
        <w:tc>
          <w:tcPr>
            <w:tcW w:w="4664" w:type="dxa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cs="Times New Roman" w:eastAsiaTheme="minorEastAsia"/>
                <w:sz w:val="18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20"/>
              </w:rPr>
              <w:t>5. Is the subgroup difference suggested by comparisons within rather than between studies?</w:t>
            </w:r>
          </w:p>
        </w:tc>
        <w:tc>
          <w:tcPr>
            <w:tcW w:w="1041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 w:eastAsiaTheme="minorEastAsia"/>
                <w:sz w:val="18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20"/>
              </w:rPr>
              <w:t>No</w:t>
            </w:r>
          </w:p>
        </w:tc>
        <w:tc>
          <w:tcPr>
            <w:tcW w:w="2854" w:type="dxa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cs="Times New Roman" w:eastAsiaTheme="minorEastAsia"/>
                <w:sz w:val="18"/>
                <w:szCs w:val="20"/>
              </w:rPr>
            </w:pPr>
            <w:r>
              <w:rPr>
                <w:rFonts w:ascii="Times New Roman" w:hAnsi="Times New Roman" w:cs="Times New Roman" w:eastAsiaTheme="minorEastAsia"/>
                <w:sz w:val="18"/>
                <w:szCs w:val="20"/>
              </w:rPr>
              <w:t>This was a between-study comparison. Co-intervention, length of intervention and risk of bias differ between studies.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84"/>
    <w:rsid w:val="00125D84"/>
    <w:rsid w:val="00710A1F"/>
    <w:rsid w:val="00887095"/>
    <w:rsid w:val="00C80334"/>
    <w:rsid w:val="00FA5E2B"/>
    <w:rsid w:val="5ECFD2AF"/>
    <w:rsid w:val="7BDF83F9"/>
    <w:rsid w:val="7FFB9167"/>
    <w:rsid w:val="7FFF81CC"/>
    <w:rsid w:val="B7F90AB8"/>
    <w:rsid w:val="E3CAF1EF"/>
    <w:rsid w:val="FECEA17E"/>
    <w:rsid w:val="FF3FACD9"/>
    <w:rsid w:val="FF7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862</Characters>
  <Lines>7</Lines>
  <Paragraphs>2</Paragraphs>
  <TotalTime>0</TotalTime>
  <ScaleCrop>false</ScaleCrop>
  <LinksUpToDate>false</LinksUpToDate>
  <CharactersWithSpaces>1011</CharactersWithSpaces>
  <Application>WPS Office_4.5.0.7415_F1E327BC-269C-435d-A152-05C5408002CA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2020-07-07T11:13:00Z</dcterms:created>
  <dc:creator>pc</dc:creator>
  <cp:lastModifiedBy>蜜豆年糕</cp:lastModifiedBy>
  <dcterms:modified xsi:type="dcterms:W3CDTF">2022-08-22T11:16:52Z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2052-4.5.0.7415</vt:lpwstr>
  </property>
  <property fmtid="{D5CDD505-2E9C-101B-9397-08002B2CF9AE}" pid="3" name="ICV">
    <vt:lpwstr>A2E2867D0323F0B024F502632D70B690</vt:lpwstr>
  </property>
</Properties>
</file>