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842CCF9" w14:textId="4B29D4CA" w:rsidR="00BF4246" w:rsidRDefault="00DA0AC5">
      <w:pPr>
        <w:rPr>
          <w:b/>
          <w:u w:val="single"/>
        </w:rPr>
      </w:pPr>
      <w:bookmarkStart w:id="0" w:name="_GoBack"/>
      <w:r w:rsidRPr="00DA0AC5">
        <w:rPr>
          <w:b/>
          <w:u w:val="single"/>
        </w:rPr>
        <w:t>Supplement 1</w:t>
      </w:r>
    </w:p>
    <w:p w14:paraId="727B6A74" w14:textId="77777777" w:rsidR="00FF567F" w:rsidRPr="00192C1C" w:rsidRDefault="00FF567F" w:rsidP="00FF567F">
      <w:pPr>
        <w:spacing w:before="240" w:after="240" w:line="240" w:lineRule="auto"/>
      </w:pPr>
      <w:r w:rsidRPr="00192C1C">
        <w:rPr>
          <w:b/>
          <w:bCs/>
        </w:rPr>
        <w:t>Genotype data preparation</w:t>
      </w:r>
      <w:r>
        <w:rPr>
          <w:b/>
          <w:bCs/>
        </w:rPr>
        <w:t xml:space="preserve"> and imputation</w:t>
      </w:r>
    </w:p>
    <w:p w14:paraId="03AFD416" w14:textId="77777777" w:rsidR="00FF567F" w:rsidRDefault="00FF567F" w:rsidP="00FF567F">
      <w:pPr>
        <w:spacing w:before="240" w:after="240" w:line="240" w:lineRule="auto"/>
      </w:pPr>
      <w:r w:rsidRPr="00EF3B37">
        <w:t>Details on the preparation and handling of ROS/MAP post-mortem samples have been previously published (Jager et.al 2018)</w:t>
      </w:r>
      <w:r>
        <w:t xml:space="preserve"> and are described briefly in </w:t>
      </w:r>
      <w:r w:rsidRPr="002D4E68">
        <w:rPr>
          <w:b/>
        </w:rPr>
        <w:t>Supplement 1</w:t>
      </w:r>
      <w:r>
        <w:t>.</w:t>
      </w:r>
    </w:p>
    <w:p w14:paraId="0B6811DC" w14:textId="77777777" w:rsidR="00FF567F" w:rsidRPr="009E22AE" w:rsidRDefault="00FF567F" w:rsidP="00FF567F">
      <w:pPr>
        <w:spacing w:before="240" w:after="240" w:line="240" w:lineRule="auto"/>
      </w:pPr>
      <w:r>
        <w:t xml:space="preserve">ROS/MAP participants were genotyped in two batches </w:t>
      </w:r>
      <w:r w:rsidRPr="00192C1C">
        <w:t xml:space="preserve">(Synapse ID: </w:t>
      </w:r>
      <w:r>
        <w:t>syn3219045</w:t>
      </w:r>
      <w:r w:rsidRPr="00366E8F">
        <w:t>)</w:t>
      </w:r>
      <w:r>
        <w:t>: t</w:t>
      </w:r>
      <w:r w:rsidRPr="00174DE7">
        <w:t xml:space="preserve">he first batch </w:t>
      </w:r>
      <w:r>
        <w:t>(n=</w:t>
      </w:r>
      <w:r w:rsidRPr="00174DE7">
        <w:t>1709</w:t>
      </w:r>
      <w:r>
        <w:t>)</w:t>
      </w:r>
      <w:r w:rsidRPr="00174DE7">
        <w:t xml:space="preserve"> using the Affymetrix </w:t>
      </w:r>
      <w:proofErr w:type="spellStart"/>
      <w:r w:rsidRPr="00174DE7">
        <w:t>GeneChip</w:t>
      </w:r>
      <w:proofErr w:type="spellEnd"/>
      <w:r w:rsidRPr="00174DE7">
        <w:t xml:space="preserve"> 6.0 (Affymetrix, Inc, Santa Clara, CA, USA) at the Broad Institute’s </w:t>
      </w:r>
      <w:proofErr w:type="spellStart"/>
      <w:r w:rsidRPr="00174DE7">
        <w:t>Center</w:t>
      </w:r>
      <w:proofErr w:type="spellEnd"/>
      <w:r w:rsidRPr="00174DE7">
        <w:t xml:space="preserve"> for Genotyping or the Translational Genomics Research Institute</w:t>
      </w:r>
      <w:r>
        <w:t>, and t</w:t>
      </w:r>
      <w:r w:rsidRPr="00174DE7">
        <w:t xml:space="preserve">he second batch </w:t>
      </w:r>
      <w:r>
        <w:t>(n=</w:t>
      </w:r>
      <w:r w:rsidRPr="00174DE7">
        <w:t>382</w:t>
      </w:r>
      <w:r>
        <w:t>)</w:t>
      </w:r>
      <w:r w:rsidRPr="00174DE7">
        <w:t xml:space="preserve"> using the Illumina </w:t>
      </w:r>
      <w:proofErr w:type="spellStart"/>
      <w:r w:rsidRPr="00174DE7">
        <w:t>HumanOmniExpress</w:t>
      </w:r>
      <w:proofErr w:type="spellEnd"/>
      <w:r w:rsidRPr="00174DE7">
        <w:t xml:space="preserve"> (Illumina, Inc, San Diego, CA, USA) at the Children’s Hospital of Philadelphia. Both batches underwent the same</w:t>
      </w:r>
      <w:r>
        <w:t xml:space="preserve"> initial</w:t>
      </w:r>
      <w:r w:rsidRPr="00174DE7">
        <w:t xml:space="preserve"> quality control (QC) analysis, as described </w:t>
      </w:r>
      <w:r>
        <w:t xml:space="preserve">previously </w:t>
      </w:r>
      <w:r>
        <w:fldChar w:fldCharType="begin" w:fldLock="1"/>
      </w:r>
      <w:r>
        <w:instrText>ADDIN CSL_CITATION {"citationItems":[{"id":"ITEM-1","itemData":{"DOI":"10.1016/j.neurobiolaging.2011.09.033","ISSN":"1558-1497","abstract":"Age-related cognitive decline is likely promoted by accumulated brain injury due to chronic conditions of aging, including neurodegenerative and vascular disease. Because common neuronal mechanisms may mediate the adaptation to diverse cerebral insults, we hypothesized that susceptibility for age-related cognitive decline may be due in part to a shared genetic network. We have therefore performed a genome-wide association study using a quantitative measure of global cognitive decline slope, based on repeated measures of 17 cognitive tests in 749 subjects from the Religious Orders Study. Top results were evaluated in 3 independent replication cohorts, consisting of 2279 additional subjects with repeated cognitive testing. As expected, we find that the Alzheimer's disease (AD) susceptibility locus, APOE, is strongly associated with rate of cognitive decline (P(DISC) = 5.6 × 10(-9); P(JOINT)= 3.7 × 10(-27)). We additionally discover a variant, rs10808746, which shows consistent effects in the replication cohorts and modestly improved evidence of association in the joint analysis (P(DISC) = 6.7 × 10(-5); P(REP) = 9.4 × 10(-3); P(JOINT) = 2.3 × 10(-5)). This variant influences the expression of 2 adjacent genes, PDE7A and MTFR1, which are potential regulators of inflammation and oxidative injury, respectively. Using aggregate measures of genetic risk, we find that known susceptibility loci for cardiovascular disease, type 2 diabetes, and inflammatory diseases are not significantly associated with cognitive decline in our cohort. Our results suggest that intermediate phenotypes, when coupled with larger sample sizes, may be a useful tool to dissect susceptibility loci for age-related cognitive decline and uncover shared molecular pathways with a role in neuronal injury.","author":[{"dropping-particle":"","family":"Jager","given":"Philip L","non-dropping-particle":"De","parse-names":false,"suffix":""},{"dropping-particle":"","family":"Shulman","given":"Joshua M","non-dropping-particle":"","parse-names":false,"suffix":""},{"dropping-particle":"","family":"Chibnik","given":"Lori B","non-dropping-particle":"","parse-names":false,"suffix":""},{"dropping-particle":"","family":"Keenan","given":"Brendan T","non-dropping-particle":"","parse-names":false,"suffix":""},{"dropping-particle":"","family":"Raj","given":"Towfique","non-dropping-particle":"","parse-names":false,"suffix":""},{"dropping-particle":"","family":"Wilson","given":"Robert S","non-dropping-particle":"","parse-names":false,"suffix":""},{"dropping-particle":"","family":"Yu","given":"Lei","non-dropping-particle":"","parse-names":false,"suffix":""},{"dropping-particle":"","family":"Leurgans","given":"Sue E","non-dropping-particle":"","parse-names":false,"suffix":""},{"dropping-particle":"","family":"Tran","given":"Dong","non-dropping-particle":"","parse-names":false,"suffix":""},{"dropping-particle":"","family":"Aubin","given":"Cristin","non-dropping-particle":"","parse-names":false,"suffix":""},{"dropping-particle":"","family":"Anderson","given":"Christopher D","non-dropping-particle":"","parse-names":false,"suffix":""},{"dropping-particle":"","family":"Biffi","given":"Alessandro","non-dropping-particle":"","parse-names":false,"suffix":""},{"dropping-particle":"","family":"Corneveaux","given":"Jason J","non-dropping-particle":"","parse-names":false,"suffix":""},{"dropping-particle":"","family":"Huentelman","given":"Matthew J","non-dropping-particle":"","parse-names":false,"suffix":""},{"dropping-particle":"","family":"Initiative","given":"Alzheimer's Disease Neuroimaging","non-dropping-particle":"","parse-names":false,"suffix":""},{"dropping-particle":"","family":"Rosand","given":"Jonathan","non-dropping-particle":"","parse-names":false,"suffix":""},{"dropping-particle":"","family":"Daly","given":"Mark J","non-dropping-particle":"","parse-names":false,"suffix":""},{"dropping-particle":"","family":"Myers","given":"Amanda J","non-dropping-particle":"","parse-names":false,"suffix":""},{"dropping-particle":"","family":"Reiman","given":"Eric M","non-dropping-particle":"","parse-names":false,"suffix":""},{"dropping-particle":"","family":"Bennett","given":"David A","non-dropping-particle":"","parse-names":false,"suffix":""},{"dropping-particle":"","family":"Evans","given":"Denis A","non-dropping-particle":"","parse-names":false,"suffix":""}],"container-title":"Neurobiology of aging","edition":"2011/11/04","id":"ITEM-1","issue":"5","issued":{"date-parts":[["2012","5"]]},"language":"eng","page":"1017.e1-1017.e15","title":"A genome-wide scan for common variants affecting the rate of age-related cognitive decline","type":"article-journal","volume":"33"},"uris":["http://www.mendeley.com/documents/?uuid=4af53fe9-d958-4466-9338-f927b652282b"]}],"mendeley":{"formattedCitation":"(De Jager et al. 2012)","plainTextFormattedCitation":"(De Jager et al. 2012)","previouslyFormattedCitation":"(De Jager et al. 2012)"},"properties":{"noteIndex":0},"schema":"https://github.com/citation-style-language/schema/raw/master/csl-citation.json"}</w:instrText>
      </w:r>
      <w:r>
        <w:fldChar w:fldCharType="separate"/>
      </w:r>
      <w:r w:rsidRPr="00644EB7">
        <w:rPr>
          <w:noProof/>
        </w:rPr>
        <w:t>(De Jager et al. 2012)</w:t>
      </w:r>
      <w:r>
        <w:fldChar w:fldCharType="end"/>
      </w:r>
      <w:r>
        <w:t>.</w:t>
      </w:r>
      <w:r w:rsidRPr="00174DE7">
        <w:t xml:space="preserve"> Only individuals with </w:t>
      </w:r>
      <w:r>
        <w:t xml:space="preserve">self-reported </w:t>
      </w:r>
      <w:r w:rsidRPr="00174DE7">
        <w:t xml:space="preserve">European ancestry were genotyped to minimize population heterogeneity. Sample-level quality control assessment included exclusion of samples with genotype success rate &lt;95%, discordance between inferred and reported gender, and excess heterozygosity. </w:t>
      </w:r>
      <w:r>
        <w:t xml:space="preserve">Imputation of genotype data was performed as described previously </w:t>
      </w:r>
      <w:r>
        <w:fldChar w:fldCharType="begin" w:fldLock="1"/>
      </w:r>
      <w:r>
        <w:instrText>ADDIN CSL_CITATION {"citationItems":[{"id":"ITEM-1","itemData":{"DOI":"10.21203/rs.3.rs-1226021/v1","ISSN":"2693-5015","abstract":"Despite a growing focus on neuroimmune mechanisms of Alzheimer&amp;amp;rsquo;s disease (AD), the role of peripheral monocytes remains largely unknown. Circulating monocytes communicate with the brain&amp;amp;rsquo;s resident myeloid cells, microglia, via chemical signaling and can directly infiltrate the brain parenchyma.1 Thus, molecular signatures of monocytes may serve as indicators of neuropathological events unfolding in the CNS.2&amp;amp;ndash;5 However, no studies have yet directly tested the association of monocyte gene expression on longitudinal cognitive decline or postmortem neuropathology and brain gene expression in aging. Here we present a resource of RNA sequencing of purified CD14+ human monocytes - including an eQTL map - from over 200 elderly individuals, most with accompanying bulk brain RNA sequencing profiles, longitudinal cognitive assessments, and detailed postmortem neuropathological examinations. We tested the direct correlation of gene expression between monocytes and bulk brain tissue, finding very few significant signals driven largely by genetic variation. However, we did identify sets of monocyte-expressed genes that were highly predictive of postmortem microglial activation, diffuse amyloid plaque deposition, and cerebrovascular disease. Our findings prioritize potential blood-based molecular biomarkers for AD; they also reveal the previously unknown architecture of shared gene expression between the CNS and peripheral immune system in aging.","author":[{"dropping-particle":"","family":"Felsky","given":"Daniel","non-dropping-particle":"","parse-names":false,"suffix":""},{"dropping-particle":"","family":"Klein","given":"Hans-Ulrich","non-dropping-particle":"","parse-names":false,"suffix":""},{"dropping-particle":"","family":"Menon","given":"Vilas","non-dropping-particle":"","parse-names":false,"suffix":""},{"dropping-particle":"","family":"Ma","given":"Yiyi","non-dropping-particle":"","parse-names":false,"suffix":""},{"dropping-particle":"","family":"Wang","given":"Yanling","non-dropping-particle":"","parse-names":false,"suffix":""},{"dropping-particle":"","family":"Milic","given":"Milos","non-dropping-particle":"","parse-names":false,"suffix":""},{"dropping-particle":"","family":"Zhukovsky","given":"Peter","non-dropping-particle":"","parse-names":false,"suffix":""},{"dropping-particle":"","family":"Schneider","given":"Julie","non-dropping-particle":"","parse-names":false,"suffix":""},{"dropping-particle":"","family":"Bennett","given":"David","non-dropping-particle":"","parse-names":false,"suffix":""},{"dropping-particle":"De","family":"Jager","given":"Philip","non-dropping-particle":"","parse-names":false,"suffix":""}],"container-title":"Nature Portfolio","id":"ITEM-1","issued":{"date-parts":[["2022"]]},"title":"Human peripheral monocytes capture elements of the state of microglial activation in the brain","type":"article-journal"},"uris":["http://www.mendeley.com/documents/?uuid=5169eb73-3394-406c-9dce-2856a2bdecbe"]}],"mendeley":{"formattedCitation":"(Felsky et al. 2022)","plainTextFormattedCitation":"(Felsky et al. 2022)","previouslyFormattedCitation":"(Felsky et al. 2022)"},"properties":{"noteIndex":0},"schema":"https://github.com/citation-style-language/schema/raw/master/csl-citation.json"}</w:instrText>
      </w:r>
      <w:r>
        <w:fldChar w:fldCharType="separate"/>
      </w:r>
      <w:r w:rsidRPr="00644EB7">
        <w:rPr>
          <w:noProof/>
        </w:rPr>
        <w:t>(Felsky et al. 2022)</w:t>
      </w:r>
      <w:r>
        <w:fldChar w:fldCharType="end"/>
      </w:r>
      <w:r>
        <w:t xml:space="preserve">. Each batch was imputed separately using the </w:t>
      </w:r>
      <w:proofErr w:type="spellStart"/>
      <w:r>
        <w:t>TOPMed</w:t>
      </w:r>
      <w:proofErr w:type="spellEnd"/>
      <w:r>
        <w:t xml:space="preserve"> Imputation Server (</w:t>
      </w:r>
      <w:proofErr w:type="spellStart"/>
      <w:r>
        <w:t>TOPMed</w:t>
      </w:r>
      <w:proofErr w:type="spellEnd"/>
      <w:r>
        <w:t xml:space="preserve"> reference r2), including Eagle (v2.4) for allelic phasing and Minimac4 (v1.5.7) for imputation. Prior to submission for imputation, genotypes were </w:t>
      </w:r>
      <w:proofErr w:type="spellStart"/>
      <w:r>
        <w:t>preprocessed</w:t>
      </w:r>
      <w:proofErr w:type="spellEnd"/>
      <w:r>
        <w:t xml:space="preserve"> using the </w:t>
      </w:r>
      <w:proofErr w:type="spellStart"/>
      <w:r>
        <w:t>TOPMed</w:t>
      </w:r>
      <w:proofErr w:type="spellEnd"/>
      <w:r>
        <w:t xml:space="preserve"> Imputation Server-recommended data preparation pipeline available here: </w:t>
      </w:r>
      <w:hyperlink r:id="rId4" w:history="1">
        <w:r w:rsidRPr="0045566F">
          <w:rPr>
            <w:rStyle w:val="Hyperlink"/>
          </w:rPr>
          <w:t>https://topmedimpute.readthedocs.io/en/latest/prepare-your-data.html</w:t>
        </w:r>
      </w:hyperlink>
      <w:r>
        <w:t xml:space="preserve">. Imputed output data from the </w:t>
      </w:r>
      <w:proofErr w:type="spellStart"/>
      <w:r>
        <w:t>TOPMed</w:t>
      </w:r>
      <w:proofErr w:type="spellEnd"/>
      <w:r>
        <w:t xml:space="preserve"> server for each batch were filtered for imputation quality (removing SNPs with r&lt;0.8) before merging and mapping to </w:t>
      </w:r>
      <w:proofErr w:type="spellStart"/>
      <w:r>
        <w:t>rsIDs</w:t>
      </w:r>
      <w:proofErr w:type="spellEnd"/>
      <w:r>
        <w:t xml:space="preserve"> (</w:t>
      </w:r>
      <w:proofErr w:type="spellStart"/>
      <w:r>
        <w:t>dbSNP</w:t>
      </w:r>
      <w:proofErr w:type="spellEnd"/>
      <w:r>
        <w:t xml:space="preserve"> build 155). This resulted in a final high-quality dataset of 9,329,439 bi-allelic autosomal SNPs from 2061 individuals. Minor allele frequencies of candidate SNPs were calculated using the </w:t>
      </w:r>
      <w:proofErr w:type="spellStart"/>
      <w:r>
        <w:t>getmaf</w:t>
      </w:r>
      <w:proofErr w:type="spellEnd"/>
      <w:r>
        <w:t xml:space="preserve"> function of the </w:t>
      </w:r>
      <w:proofErr w:type="spellStart"/>
      <w:r>
        <w:t>BinaryDosage</w:t>
      </w:r>
      <w:proofErr w:type="spellEnd"/>
      <w:r>
        <w:t xml:space="preserve"> (1.0.0) R package. </w:t>
      </w:r>
      <w:r>
        <w:br/>
      </w:r>
      <w:r>
        <w:rPr>
          <w:b/>
          <w:bCs/>
        </w:rPr>
        <w:br/>
        <w:t xml:space="preserve">Fine population structure </w:t>
      </w:r>
    </w:p>
    <w:p w14:paraId="3281CB70" w14:textId="77777777" w:rsidR="00FF567F" w:rsidRDefault="00FF567F" w:rsidP="00FF567F">
      <w:pPr>
        <w:spacing w:before="240" w:after="240" w:line="240" w:lineRule="auto"/>
        <w:rPr>
          <w:b/>
          <w:bCs/>
          <w:sz w:val="24"/>
          <w:szCs w:val="24"/>
        </w:rPr>
      </w:pPr>
      <w:r>
        <w:t>Principal</w:t>
      </w:r>
      <w:r w:rsidRPr="00174DE7">
        <w:t xml:space="preserve"> component analysis (PCA) was </w:t>
      </w:r>
      <w:r>
        <w:t>performed</w:t>
      </w:r>
      <w:r w:rsidRPr="00174DE7">
        <w:t xml:space="preserve"> </w:t>
      </w:r>
      <w:r>
        <w:t>on genotyped SNPs using</w:t>
      </w:r>
      <w:r w:rsidRPr="00174DE7">
        <w:t xml:space="preserve"> PLINK2</w:t>
      </w:r>
      <w:r>
        <w:t xml:space="preserve"> </w:t>
      </w:r>
      <w:r>
        <w:fldChar w:fldCharType="begin" w:fldLock="1"/>
      </w:r>
      <w:r>
        <w:instrText>ADDIN CSL_CITATION {"citationItems":[{"id":"ITEM-1","itemData":{"DOI":"10.1086/519795","ISSN":"0002-9297","abstract":"Whole-genome association studies (WGAS) bring new computational, as well as analytic, challenges to researchers. Many existing genetic-analysis tools are not designed to handle such large data sets in a convenient manner and do not necessarily exploit the new opportunities that whole-genome data bring. To address these issues, we developed PLINK, an open-source C/C++ WGAS tool set. With PLINK, large data sets comprising hundreds of thousands of markers genotyped for thousands of individuals can be rapidly manipulated and analyzed in their entirety. As well as providing tools to make the basic analytic steps computationally efficient, PLINK also supports some novel approaches to whole-genome data that take advantage of whole-genome coverage. We introduce PLINK and describe the five main domains of function: data management, summary statistics, population stratification, association analysis, and identity-by-descent estimation. In particular, we focus on the estimation and use of identity-by-state and identity-by-descent information in the context of population-based whole-genome studies. This information can be used to detect and correct for population stratification and to identify extended chromosomal segments that are shared identical by descent between very distantly related individuals. Analysis of the patterns of segmental sharing has the potential to map disease loci that contain multiple rare variants in a population-based linkage analysis.","author":[{"dropping-particle":"","family":"Purcell","given":"Shaun","non-dropping-particle":"","parse-names":false,"suffix":""},{"dropping-particle":"","family":"Neale","given":"Benjamin","non-dropping-particle":"","parse-names":false,"suffix":""},{"dropping-particle":"","family":"Todd-Brown","given":"Kathe","non-dropping-particle":"","parse-names":false,"suffix":""},{"dropping-particle":"","family":"Thomas","given":"Lori","non-dropping-particle":"","parse-names":false,"suffix":""},{"dropping-particle":"","family":"Ferreira","given":"Manuel A R","non-dropping-particle":"","parse-names":false,"suffix":""},{"dropping-particle":"","family":"Bender","given":"David","non-dropping-particle":"","parse-names":false,"suffix":""},{"dropping-particle":"","family":"Maller","given":"Julian","non-dropping-particle":"","parse-names":false,"suffix":""},{"dropping-particle":"","family":"Sklar","given":"Pamela","non-dropping-particle":"","parse-names":false,"suffix":""},{"dropping-particle":"","family":"Bakker","given":"Paul I W","non-dropping-particle":"de","parse-names":false,"suffix":""},{"dropping-particle":"","family":"Daly","given":"Mark J","non-dropping-particle":"","parse-names":false,"suffix":""},{"dropping-particle":"","family":"Sham","given":"Pak C","non-dropping-particle":"","parse-names":false,"suffix":""}],"container-title":"American journal of human genetics","edition":"2007/07/25","id":"ITEM-1","issue":"3","issued":{"date-parts":[["2007","9"]]},"language":"eng","page":"559-575","publisher":"The American Society of Human Genetics","title":"PLINK: a tool set for whole-genome association and population-based linkage analyses","type":"article-journal","volume":"81"},"uris":["http://www.mendeley.com/documents/?uuid=68ca2df6-32a8-4b50-b1a7-b0b89ac145db"]}],"mendeley":{"formattedCitation":"(Purcell et al. 2007)","plainTextFormattedCitation":"(Purcell et al. 2007)","previouslyFormattedCitation":"(Purcell et al. 2007)"},"properties":{"noteIndex":0},"schema":"https://github.com/citation-style-language/schema/raw/master/csl-citation.json"}</w:instrText>
      </w:r>
      <w:r>
        <w:fldChar w:fldCharType="separate"/>
      </w:r>
      <w:r w:rsidRPr="00644EB7">
        <w:rPr>
          <w:noProof/>
        </w:rPr>
        <w:t>(Purcell et al. 2007)</w:t>
      </w:r>
      <w:r>
        <w:fldChar w:fldCharType="end"/>
      </w:r>
      <w:r w:rsidRPr="00174DE7">
        <w:t xml:space="preserve"> to </w:t>
      </w:r>
      <w:r>
        <w:t>derive principal components representing fine population structure. The</w:t>
      </w:r>
      <w:r w:rsidRPr="00414C5F">
        <w:t xml:space="preserve"> </w:t>
      </w:r>
      <w:r w:rsidRPr="00174DE7">
        <w:t xml:space="preserve">first 10 principal components were used as covariates in </w:t>
      </w:r>
      <w:r>
        <w:t>all</w:t>
      </w:r>
      <w:r w:rsidRPr="00174DE7">
        <w:t xml:space="preserve"> linear regression models </w:t>
      </w:r>
      <w:r>
        <w:t>that included SNP or gene expression data.</w:t>
      </w:r>
    </w:p>
    <w:p w14:paraId="3866491A" w14:textId="77777777" w:rsidR="00FF567F" w:rsidRPr="00192C1C" w:rsidRDefault="00FF567F" w:rsidP="00FF567F">
      <w:pPr>
        <w:spacing w:before="240" w:after="240" w:line="240" w:lineRule="auto"/>
      </w:pPr>
      <w:r w:rsidRPr="00192C1C">
        <w:rPr>
          <w:b/>
          <w:bCs/>
        </w:rPr>
        <w:t>Tissue preparation and bulk tissue RNA sequencing</w:t>
      </w:r>
    </w:p>
    <w:p w14:paraId="470F33E0" w14:textId="77777777" w:rsidR="00FF567F" w:rsidRPr="009E22AE" w:rsidRDefault="00FF567F" w:rsidP="00FF567F">
      <w:pPr>
        <w:spacing w:before="240" w:after="240" w:line="240" w:lineRule="auto"/>
      </w:pPr>
      <w:r w:rsidRPr="00EF3B37">
        <w:t xml:space="preserve">Details on the preparation and handling of ROS/MAP post-mortem samples have been previously published (Jager et.al 2018). Samples were extracted using Qiagen's </w:t>
      </w:r>
      <w:proofErr w:type="spellStart"/>
      <w:r w:rsidRPr="00EF3B37">
        <w:t>miRNeasy</w:t>
      </w:r>
      <w:proofErr w:type="spellEnd"/>
      <w:r w:rsidRPr="00EF3B37">
        <w:t xml:space="preserve"> mini kit (cat. no. 217004) and the RNase free DNase Set (cat. no. 79254) and quantified by Nanodrop and quality was evaluated by Agilent Bioanalyzer.</w:t>
      </w:r>
      <w:r>
        <w:rPr>
          <w:rFonts w:ascii="Lato" w:hAnsi="Lato"/>
          <w:color w:val="515359"/>
          <w:sz w:val="21"/>
          <w:szCs w:val="21"/>
          <w:shd w:val="clear" w:color="auto" w:fill="FFFFFF"/>
        </w:rPr>
        <w:t xml:space="preserve"> </w:t>
      </w:r>
      <w:r>
        <w:t xml:space="preserve">RNA sequencing on DLPFC tissue was carried out in 13 batches within three distinct library preparation and sequencing pipelines. Sequencing was carried out using the Illumina </w:t>
      </w:r>
      <w:proofErr w:type="spellStart"/>
      <w:r>
        <w:t>HiSeq</w:t>
      </w:r>
      <w:proofErr w:type="spellEnd"/>
      <w:r>
        <w:t xml:space="preserve"> (pipeline #1: 50M 101bp paired end reads) and NovaSeq6000 (pipeline #2: 30M 100bp paired end; pipeline #3: 40-50M 150bp paired end 121 reads). Full details on RNA extraction and sequencing are available on the Synapse AMP-AD 122 Knowledge Portal (syn3219045) and in </w:t>
      </w:r>
      <w:r>
        <w:fldChar w:fldCharType="begin" w:fldLock="1"/>
      </w:r>
      <w:r>
        <w:instrText>ADDIN CSL_CITATION {"citationItems":[{"id":"ITEM-1","itemData":{"DOI":"10.1101/2022.01.12.476076","abstract":"Background Cortical neuron loss is a pathological hallmark of late-onset Alzheimer’s disease (AD). However, it remains unclear which neuronal subtypes are most vulnerable to degeneration and contribute most to cognitive decline.Methods We analyzed postmortem bulk brain RNA-sequencing (RNAseq) data collected from three studies of aging and AD comprising six neocortical regions (704 individuals; 1037 samples). We estimated relative cell type proportions from each brain sample using neuronal subclass-specific marker genes derived from ultra-high depth single-nucleus RNAseq data (snRNAseq). We associated cell type proportions with AD across all samples using mixed-effects mega-analyses. Bulk tissue analyses were complemented by analyses of three AD snRNAseq datasets using the same cell type definitions and diagnostic criteria (51 individuals). Lastly, we identified cell subtype associations with specific neuropathologies, cognitive decline, and residual cognition.Results In our mega-analyses, we identified the strongest associations of AD with fewer somatostatin (SST) inhibitory neurons (β=−0.48, pbonf=8.98×10−9) and intra-telencephalic (IT) excitatory neurons (β=−0.45, pbonf =4.32×10−7). snRNAseq-based cell type proportion analyses especially supported the association of SST neurons. Analyses of cell type proportions with specific AD-related phenotypes in ROS/MAP consistently implicated fewer SST neurons with greater brain-wide postmortem tau and beta amyloid (β=−0.155, pFDR=3.1×10−4) deposition, as well as more severe cognitive decline prior to death (β=0.309, pFDR=3.9×10−6). Greater IT neuron proportions were associated strongly with improved cognition (β=0.173, pFDR=8.3×10−5) and residual cognition (β=0.175, pFDR=1.2×10−5), but not canonical AD neuropathology.Conclusions Proportionally fewer SST and IT neurons were significantly associated with AD diagnosis across multiple studies and cortical regions. These findings support seminal work implicating somatostatin and pyramidal neurons in the pathogenesis of AD and improves our current understanding of neuronal vulnerability in AD.Competing Interest StatementThe authors have declared no competing interest.ADlate-onset Alzheimer’s diseaseCERADConsortium to Establish a Registry for Alzheimer’s DiseaseFDRfalse discovery rateGABAgamma aminobutyric acidrCTPrelative cell-type proportionsnCTPsingle-nucleus cell type proportionITintratelencephanicMAPRush Memory and Aging ProjectMSBBMount Sinai Brain BankROSReligi…","author":[{"dropping-particle":"","family":"Consens","given":"Micaela E","non-dropping-particle":"","parse-names":false,"suffix":""},{"dropping-particle":"","family":"Chen","given":"Yuxiao","non-dropping-particle":"","parse-names":false,"suffix":""},{"dropping-particle":"","family":"Menon","given":"Vilas","non-dropping-particle":"","parse-names":false,"suffix":""},{"dropping-particle":"","family":"Wang","given":"Yanling","non-dropping-particle":"","parse-names":false,"suffix":""},{"dropping-particle":"","family":"Schneider","given":"Julie A","non-dropping-particle":"","parse-names":false,"suffix":""},{"dropping-particle":"","family":"Jager","given":"Philip L","non-dropping-particle":"De","parse-names":false,"suffix":""},{"dropping-particle":"","family":"Bennett","given":"David A","non-dropping-particle":"","parse-names":false,"suffix":""},{"dropping-particle":"","family":"Tripathy","given":"Shreejoy J","non-dropping-particle":"","parse-names":false,"suffix":""},{"dropping-particle":"","family":"Felsky","given":"Daniel","non-dropping-particle":"","parse-names":false,"suffix":""}],"container-title":"bioRxiv","id":"ITEM-1","issued":{"date-parts":[["2022","1","1"]]},"page":"2022.01.12.476076","title":"Bulk and Single-nucleus Transcriptomics Highlight Intra-telencephalic and Somatostatin Neurons in Alzheimer’s Disease","type":"article-journal"},"uris":["http://www.mendeley.com/documents/?uuid=62c37c52-fdd5-4724-9547-28d7cfc7361d"]}],"mendeley":{"formattedCitation":"(Consens et al. 2022)","manualFormatting":"Consens et al., 2022","plainTextFormattedCitation":"(Consens et al. 2022)","previouslyFormattedCitation":"(Consens et al. 2022)"},"properties":{"noteIndex":0},"schema":"https://github.com/citation-style-language/schema/raw/master/csl-citation.json"}</w:instrText>
      </w:r>
      <w:r>
        <w:fldChar w:fldCharType="separate"/>
      </w:r>
      <w:r w:rsidRPr="0071584F">
        <w:rPr>
          <w:noProof/>
        </w:rPr>
        <w:t>Consens et al., 2022</w:t>
      </w:r>
      <w:r>
        <w:fldChar w:fldCharType="end"/>
      </w:r>
      <w:r>
        <w:t xml:space="preserve">. </w:t>
      </w:r>
    </w:p>
    <w:p w14:paraId="2D45F284" w14:textId="77777777" w:rsidR="00FF567F" w:rsidRPr="00EF3B37" w:rsidRDefault="00FF567F" w:rsidP="00FF567F">
      <w:pPr>
        <w:spacing w:before="240" w:after="240" w:line="240" w:lineRule="auto"/>
        <w:rPr>
          <w:b/>
          <w:bCs/>
        </w:rPr>
      </w:pPr>
      <w:r>
        <w:rPr>
          <w:b/>
          <w:bCs/>
        </w:rPr>
        <w:t xml:space="preserve">Processing of bulk DLPFC tissue </w:t>
      </w:r>
      <w:proofErr w:type="spellStart"/>
      <w:r>
        <w:rPr>
          <w:b/>
          <w:bCs/>
        </w:rPr>
        <w:t>RNAseq</w:t>
      </w:r>
      <w:proofErr w:type="spellEnd"/>
      <w:r>
        <w:rPr>
          <w:b/>
          <w:bCs/>
        </w:rPr>
        <w:t xml:space="preserve"> dataset</w:t>
      </w:r>
    </w:p>
    <w:p w14:paraId="3CFC8B64" w14:textId="34ADE625" w:rsidR="006F2CE6" w:rsidRDefault="00FF567F" w:rsidP="00FF567F">
      <w:pPr>
        <w:spacing w:before="240" w:after="240" w:line="240" w:lineRule="auto"/>
      </w:pPr>
      <w:r>
        <w:t xml:space="preserve">DLPFC </w:t>
      </w:r>
      <w:proofErr w:type="spellStart"/>
      <w:r>
        <w:t>RNAseq</w:t>
      </w:r>
      <w:proofErr w:type="spellEnd"/>
      <w:r>
        <w:t xml:space="preserve"> data processing, including gene expression residuals generation was performed as previously described </w:t>
      </w:r>
      <w:r>
        <w:fldChar w:fldCharType="begin" w:fldLock="1"/>
      </w:r>
      <w:r>
        <w:instrText>ADDIN CSL_CITATION {"citationItems":[{"id":"ITEM-1","itemData":{"DOI":"10.21203/rs.3.rs-1226021/v1","ISSN":"2693-5015","abstract":"Despite a growing focus on neuroimmune mechanisms of Alzheimer&amp;amp;rsquo;s disease (AD), the role of peripheral monocytes remains largely unknown. Circulating monocytes communicate with the brain&amp;amp;rsquo;s resident myeloid cells, microglia, via chemical signaling and can directly infiltrate the brain parenchyma.1 Thus, molecular signatures of monocytes may serve as indicators of neuropathological events unfolding in the CNS.2&amp;amp;ndash;5 However, no studies have yet directly tested the association of monocyte gene expression on longitudinal cognitive decline or postmortem neuropathology and brain gene expression in aging. Here we present a resource of RNA sequencing of purified CD14+ human monocytes - including an eQTL map - from over 200 elderly individuals, most with accompanying bulk brain RNA sequencing profiles, longitudinal cognitive assessments, and detailed postmortem neuropathological examinations. We tested the direct correlation of gene expression between monocytes and bulk brain tissue, finding very few significant signals driven largely by genetic variation. However, we did identify sets of monocyte-expressed genes that were highly predictive of postmortem microglial activation, diffuse amyloid plaque deposition, and cerebrovascular disease. Our findings prioritize potential blood-based molecular biomarkers for AD; they also reveal the previously unknown architecture of shared gene expression between the CNS and peripheral immune system in aging.","author":[{"dropping-particle":"","family":"Felsky","given":"Daniel","non-dropping-particle":"","parse-names":false,"suffix":""},{"dropping-particle":"","family":"Klein","given":"Hans-Ulrich","non-dropping-particle":"","parse-names":false,"suffix":""},{"dropping-particle":"","family":"Menon","given":"Vilas","non-dropping-particle":"","parse-names":false,"suffix":""},{"dropping-particle":"","family":"Ma","given":"Yiyi","non-dropping-particle":"","parse-names":false,"suffix":""},{"dropping-particle":"","family":"Wang","given":"Yanling","non-dropping-particle":"","parse-names":false,"suffix":""},{"dropping-particle":"","family":"Milic","given":"Milos","non-dropping-particle":"","parse-names":false,"suffix":""},{"dropping-particle":"","family":"Zhukovsky","given":"Peter","non-dropping-particle":"","parse-names":false,"suffix":""},{"dropping-particle":"","family":"Schneider","given":"Julie","non-dropping-particle":"","parse-names":false,"suffix":""},{"dropping-particle":"","family":"Bennett","given":"David","non-dropping-particle":"","parse-names":false,"suffix":""},{"dropping-particle":"De","family":"Jager","given":"Philip","non-dropping-particle":"","parse-names":false,"suffix":""}],"container-title":"Nature Portfolio","id":"ITEM-1","issued":{"date-parts":[["2022"]]},"title":"Human peripheral monocytes capture elements of the state of microglial activation in the brain","type":"article-journal"},"uris":["http://www.mendeley.com/documents/?uuid=5169eb73-3394-406c-9dce-2856a2bdecbe"]}],"mendeley":{"formattedCitation":"(Felsky et al. 2022)","plainTextFormattedCitation":"(Felsky et al. 2022)","previouslyFormattedCitation":"(Felsky et al. 2022)"},"properties":{"noteIndex":0},"schema":"https://github.com/citation-style-language/schema/raw/master/csl-citation.json"}</w:instrText>
      </w:r>
      <w:r>
        <w:fldChar w:fldCharType="separate"/>
      </w:r>
      <w:r w:rsidRPr="00644EB7">
        <w:rPr>
          <w:noProof/>
        </w:rPr>
        <w:t>(Felsky et al. 2022)</w:t>
      </w:r>
      <w:r>
        <w:fldChar w:fldCharType="end"/>
      </w:r>
      <w:r>
        <w:t xml:space="preserve">. In brief: </w:t>
      </w:r>
      <w:r w:rsidRPr="00AD570F">
        <w:t>All 13 DLPFC batches (</w:t>
      </w:r>
      <w:proofErr w:type="spellStart"/>
      <w:r w:rsidRPr="00AD570F">
        <w:t>ntotal</w:t>
      </w:r>
      <w:proofErr w:type="spellEnd"/>
      <w:r w:rsidRPr="00AD570F">
        <w:t xml:space="preserve"> = 1110) were processed using the same pipeline: 1) </w:t>
      </w:r>
      <w:proofErr w:type="spellStart"/>
      <w:r w:rsidRPr="00AD570F">
        <w:t>fastq</w:t>
      </w:r>
      <w:proofErr w:type="spellEnd"/>
      <w:r w:rsidRPr="00AD570F">
        <w:t xml:space="preserve"> file quality control was performed using </w:t>
      </w:r>
      <w:proofErr w:type="spellStart"/>
      <w:r w:rsidRPr="00AD570F">
        <w:t>FastQC</w:t>
      </w:r>
      <w:proofErr w:type="spellEnd"/>
      <w:r w:rsidRPr="00AD570F">
        <w:t xml:space="preserve"> v0.11.5 (default </w:t>
      </w:r>
      <w:r w:rsidRPr="00AD570F">
        <w:lastRenderedPageBreak/>
        <w:t xml:space="preserve">parameters), 2) STAR v2.5.3a was used to align reads (GRCh38.91 reference), 3) RSEM v1.2.31 was used to quantify expression from aligned BAM files, and 4) </w:t>
      </w:r>
      <w:proofErr w:type="spellStart"/>
      <w:r w:rsidRPr="00AD570F">
        <w:t>multiqc</w:t>
      </w:r>
      <w:proofErr w:type="spellEnd"/>
      <w:r w:rsidRPr="00AD570F">
        <w:t xml:space="preserve"> v1.5 was used to aggregate quality metrics from </w:t>
      </w:r>
      <w:proofErr w:type="spellStart"/>
      <w:r w:rsidRPr="00AD570F">
        <w:t>fastqc</w:t>
      </w:r>
      <w:proofErr w:type="spellEnd"/>
      <w:r w:rsidRPr="00AD570F">
        <w:t xml:space="preserve"> and Picard tools v2.17.4, 5) quality reports were examined for each batch and exclusion of samples was initially carried out according to manual identification of outlying samples primarily considering low numbers of aligned reads, excess GC coverage bias, high percentage of read duplicates, and abnormal distribution of read assignments across genomic annotations. </w:t>
      </w:r>
      <w:r w:rsidRPr="00EF3B37">
        <w:t xml:space="preserve">Expression of the </w:t>
      </w:r>
      <w:r w:rsidRPr="00EF3B37">
        <w:rPr>
          <w:i/>
          <w:iCs/>
        </w:rPr>
        <w:t>XIST</w:t>
      </w:r>
      <w:r w:rsidRPr="00EF3B37">
        <w:t xml:space="preserve"> gene was evaluated at this stage to exclude subjects with contradictory repo</w:t>
      </w:r>
      <w:r w:rsidRPr="009D3BCF">
        <w:t>rted sex</w:t>
      </w:r>
      <w:r>
        <w:t>, 13 subjects were identified (new n total=1097).</w:t>
      </w:r>
      <w:r>
        <w:br/>
      </w:r>
      <w:r>
        <w:br/>
      </w:r>
      <w:r w:rsidRPr="00EF3B37">
        <w:rPr>
          <w:b/>
          <w:bCs/>
          <w:i/>
          <w:iCs/>
        </w:rPr>
        <w:t xml:space="preserve">DLPFC </w:t>
      </w:r>
      <w:proofErr w:type="spellStart"/>
      <w:r w:rsidRPr="00EF3B37">
        <w:rPr>
          <w:b/>
          <w:bCs/>
          <w:i/>
          <w:iCs/>
        </w:rPr>
        <w:t>RNAseq</w:t>
      </w:r>
      <w:proofErr w:type="spellEnd"/>
      <w:r w:rsidRPr="00EF3B37">
        <w:rPr>
          <w:b/>
          <w:bCs/>
          <w:i/>
          <w:iCs/>
        </w:rPr>
        <w:t xml:space="preserve"> data quality control</w:t>
      </w:r>
      <w:r>
        <w:rPr>
          <w:b/>
          <w:bCs/>
        </w:rPr>
        <w:br/>
      </w:r>
      <w:r>
        <w:rPr>
          <w:b/>
          <w:bCs/>
        </w:rPr>
        <w:br/>
      </w:r>
      <w:r>
        <w:t xml:space="preserve">Full details of QC are available in </w:t>
      </w:r>
      <w:proofErr w:type="spellStart"/>
      <w:r>
        <w:t>Felsky</w:t>
      </w:r>
      <w:proofErr w:type="spellEnd"/>
      <w:r>
        <w:t xml:space="preserve"> et al. 2022. In brief: expected counts, calculated by RSEM, were aggregated, and used as input to </w:t>
      </w:r>
      <w:proofErr w:type="spellStart"/>
      <w:r>
        <w:t>limma</w:t>
      </w:r>
      <w:proofErr w:type="spellEnd"/>
      <w:r>
        <w:t xml:space="preserve"> (v3.48.3) </w:t>
      </w:r>
      <w:proofErr w:type="spellStart"/>
      <w:r>
        <w:t>voom</w:t>
      </w:r>
      <w:proofErr w:type="spellEnd"/>
      <w:r>
        <w:t xml:space="preserve"> in R (v4.1.1). Genes with insufficient expression (median count value was less than 15 across the combined sample) were removed. Naïve multidimensional scaling (MDS) analysis was then performed on the top 5000 most variable genes (using </w:t>
      </w:r>
      <w:proofErr w:type="spellStart"/>
      <w:r>
        <w:t>limma</w:t>
      </w:r>
      <w:proofErr w:type="spellEnd"/>
      <w:r>
        <w:t xml:space="preserve"> “</w:t>
      </w:r>
      <w:proofErr w:type="spellStart"/>
      <w:r>
        <w:t>plotMDS</w:t>
      </w:r>
      <w:proofErr w:type="spellEnd"/>
      <w:r>
        <w:t>”) to identify subjects with outlying expression patterns. Outliers were defined as those with values of either of the first two latent dimensions exceeding ±4 times the interquartile range (IQR) of their within-batch median value. Following this step, 1091 subjects remained for the DLPFC data. These QC data were then trimmed mean of M-values (TMM) normalized.</w:t>
      </w:r>
      <w:r>
        <w:br/>
      </w:r>
      <w:r>
        <w:br/>
      </w:r>
      <w:r w:rsidRPr="004560B2">
        <w:rPr>
          <w:b/>
          <w:bCs/>
          <w:i/>
          <w:iCs/>
        </w:rPr>
        <w:t>Final QC and generation of gene expression residuals</w:t>
      </w:r>
      <w:r>
        <w:br/>
      </w:r>
      <w:r>
        <w:br/>
        <w:t>To ensure the robustness of included data, linear effects of identified technical co-variates, age at death and post-mortem interval (PMI), and biological sex were removed using the “</w:t>
      </w:r>
      <w:proofErr w:type="spellStart"/>
      <w:r>
        <w:t>lmfit</w:t>
      </w:r>
      <w:proofErr w:type="spellEnd"/>
      <w:r>
        <w:t xml:space="preserve">” (specifying robust Huber regression </w:t>
      </w:r>
      <w:r>
        <w:fldChar w:fldCharType="begin" w:fldLock="1"/>
      </w:r>
      <w:r>
        <w:instrText>ADDIN CSL_CITATION {"citationItems":[{"id":"ITEM-1","itemData":{"DOI":"10.1007/978-3-642-04898-2_594","ISBN":"978-3-642-04898-2","author":[{"dropping-particle":"","family":"Huber","given":"Peter J","non-dropping-particle":"","parse-names":false,"suffix":""}],"editor":[{"dropping-particle":"","family":"Lovric","given":"Miodrag","non-dropping-particle":"","parse-names":false,"suffix":""}],"id":"ITEM-1","issued":{"date-parts":[["2011"]]},"page":"1248-1251","publisher":"Springer Berlin Heidelberg","publisher-place":"Berlin, Heidelberg","title":"Robust Statistics BT  - International Encyclopedia of Statistical Science","type":"chapter"},"uris":["http://www.mendeley.com/documents/?uuid=9b260b4c-52b3-410e-825e-e02de63ffc69"]}],"mendeley":{"formattedCitation":"(Huber 2011)","plainTextFormattedCitation":"(Huber 2011)","previouslyFormattedCitation":"(Huber 2011)"},"properties":{"noteIndex":0},"schema":"https://github.com/citation-style-language/schema/raw/master/csl-citation.json"}</w:instrText>
      </w:r>
      <w:r>
        <w:fldChar w:fldCharType="separate"/>
      </w:r>
      <w:r w:rsidRPr="00644EB7">
        <w:rPr>
          <w:noProof/>
        </w:rPr>
        <w:t>(Huber 2011)</w:t>
      </w:r>
      <w:r>
        <w:fldChar w:fldCharType="end"/>
      </w:r>
      <w:r>
        <w:t xml:space="preserve">, and expression values </w:t>
      </w:r>
      <w:proofErr w:type="spellStart"/>
      <w:r>
        <w:t>residualized</w:t>
      </w:r>
      <w:proofErr w:type="spellEnd"/>
      <w:r>
        <w:t xml:space="preserve">. Individuals were then hierarchically clustered (agglomerative) and the resulting dendrograms (Supplementary figure 9 of </w:t>
      </w:r>
      <w:proofErr w:type="spellStart"/>
      <w:r>
        <w:t>Felsky</w:t>
      </w:r>
      <w:proofErr w:type="spellEnd"/>
      <w:r>
        <w:t xml:space="preserve"> et al. 2022) were manually inspected to identify any additional subject outliers escaping recognition by two-dimensional MDS (18 identified). This resulted in a high-quality dataset of DLPFC bulk tissue (</w:t>
      </w:r>
      <w:proofErr w:type="spellStart"/>
      <w:r>
        <w:t>ngenes</w:t>
      </w:r>
      <w:proofErr w:type="spellEnd"/>
      <w:r>
        <w:t>=17 465). The calculated gene expression residuals were used in all analyses assessing gene expression with other variables in our study.</w:t>
      </w:r>
    </w:p>
    <w:p w14:paraId="2051FEFE" w14:textId="77777777" w:rsidR="006F2CE6" w:rsidRPr="00FF567F" w:rsidRDefault="006F2CE6" w:rsidP="00FF567F">
      <w:pPr>
        <w:spacing w:before="240" w:after="240" w:line="240" w:lineRule="auto"/>
      </w:pPr>
    </w:p>
    <w:p w14:paraId="1CD1D04C" w14:textId="64FB8658" w:rsidR="00DA0AC5" w:rsidRPr="00DA0AC5" w:rsidRDefault="00DA0AC5" w:rsidP="00DA0AC5">
      <w:pPr>
        <w:spacing w:before="240" w:after="240" w:line="240" w:lineRule="auto"/>
        <w:rPr>
          <w:b/>
          <w:bCs/>
        </w:rPr>
      </w:pPr>
      <w:r w:rsidRPr="00A95B3B">
        <w:rPr>
          <w:b/>
          <w:bCs/>
        </w:rPr>
        <w:t>Statistical approaches</w:t>
      </w:r>
    </w:p>
    <w:p w14:paraId="3830ADC1" w14:textId="77777777" w:rsidR="00DA0AC5" w:rsidRPr="00A95B3B" w:rsidRDefault="00DA0AC5" w:rsidP="00DA0AC5">
      <w:pPr>
        <w:spacing w:before="240" w:after="240" w:line="240" w:lineRule="auto"/>
        <w:rPr>
          <w:b/>
          <w:i/>
        </w:rPr>
      </w:pPr>
      <w:r w:rsidRPr="00A95B3B">
        <w:rPr>
          <w:b/>
          <w:i/>
        </w:rPr>
        <w:t xml:space="preserve">EQTL and conditional </w:t>
      </w:r>
      <w:proofErr w:type="spellStart"/>
      <w:r w:rsidRPr="00A95B3B">
        <w:rPr>
          <w:b/>
          <w:i/>
        </w:rPr>
        <w:t>eQTL</w:t>
      </w:r>
      <w:proofErr w:type="spellEnd"/>
      <w:r w:rsidRPr="00A95B3B">
        <w:rPr>
          <w:b/>
          <w:i/>
        </w:rPr>
        <w:t xml:space="preserve"> analyses of candidate SNPs and gene expression in DLPFC</w:t>
      </w:r>
    </w:p>
    <w:p w14:paraId="3E869D28" w14:textId="77777777" w:rsidR="00DA0AC5" w:rsidRPr="00323F75" w:rsidRDefault="00DA0AC5" w:rsidP="00DA0AC5">
      <w:pPr>
        <w:spacing w:before="240" w:after="240" w:line="240" w:lineRule="auto"/>
      </w:pPr>
      <w:r w:rsidRPr="00A95B3B">
        <w:t>All analys</w:t>
      </w:r>
      <w:r>
        <w:t>es</w:t>
      </w:r>
      <w:r w:rsidRPr="00A95B3B">
        <w:t xml:space="preserve"> w</w:t>
      </w:r>
      <w:r>
        <w:t>ere</w:t>
      </w:r>
      <w:r w:rsidRPr="00A95B3B">
        <w:t xml:space="preserve"> performed in R (R version 4.0.2) (R Core Team, 2020) unless otherwise indicated. </w:t>
      </w:r>
      <w:r>
        <w:t xml:space="preserve">For </w:t>
      </w:r>
      <w:proofErr w:type="spellStart"/>
      <w:r>
        <w:t>eQTL</w:t>
      </w:r>
      <w:proofErr w:type="spellEnd"/>
      <w:r>
        <w:t xml:space="preserve"> analyses</w:t>
      </w:r>
      <w:r w:rsidRPr="00A95B3B">
        <w:t xml:space="preserve"> (</w:t>
      </w:r>
      <w:r>
        <w:t>n</w:t>
      </w:r>
      <w:r w:rsidRPr="00A95B3B">
        <w:t xml:space="preserve"> = 924)</w:t>
      </w:r>
      <w:r>
        <w:t>, linear</w:t>
      </w:r>
      <w:r w:rsidRPr="00A95B3B">
        <w:t xml:space="preserve"> regression </w:t>
      </w:r>
      <w:r>
        <w:t>was used</w:t>
      </w:r>
      <w:r w:rsidRPr="00A95B3B">
        <w:t xml:space="preserve"> to model</w:t>
      </w:r>
      <w:r>
        <w:t xml:space="preserve"> batch- and technical covariate-corrected</w:t>
      </w:r>
      <w:r w:rsidRPr="00A95B3B">
        <w:t xml:space="preserve"> gene expression residuals against SNP allele counts, co-varying for the first 10 genomic principal components (fine population structure), biological sex, age at death, and </w:t>
      </w:r>
      <w:r>
        <w:t>PMI</w:t>
      </w:r>
      <w:r w:rsidRPr="00A95B3B">
        <w:t xml:space="preserve">. </w:t>
      </w:r>
      <w:r>
        <w:t>Bonferroni</w:t>
      </w:r>
      <w:r w:rsidRPr="00A95B3B">
        <w:t xml:space="preserve"> correction was applied across </w:t>
      </w:r>
      <w:r w:rsidRPr="00A9408C">
        <w:t>tests (</w:t>
      </w:r>
      <w:r>
        <w:t>6 cis-</w:t>
      </w:r>
      <w:proofErr w:type="spellStart"/>
      <w:r>
        <w:t>eQTL</w:t>
      </w:r>
      <w:proofErr w:type="spellEnd"/>
      <w:r w:rsidRPr="00323F75">
        <w:t xml:space="preserve"> tests</w:t>
      </w:r>
      <w:r>
        <w:t xml:space="preserve"> performed</w:t>
      </w:r>
      <w:r w:rsidRPr="00A95B3B">
        <w:t xml:space="preserve">). To assess the effects of the </w:t>
      </w:r>
      <w:r w:rsidRPr="00A95B3B">
        <w:rPr>
          <w:i/>
          <w:iCs/>
        </w:rPr>
        <w:t>CHRNA5</w:t>
      </w:r>
      <w:r w:rsidRPr="00A95B3B">
        <w:t xml:space="preserve"> haplotypes </w:t>
      </w:r>
      <w:r>
        <w:t>tagged by</w:t>
      </w:r>
      <w:r w:rsidRPr="00A95B3B">
        <w:t xml:space="preserve"> rs169</w:t>
      </w:r>
      <w:r>
        <w:t>69968</w:t>
      </w:r>
      <w:r w:rsidRPr="00A95B3B">
        <w:t xml:space="preserve"> and rs197</w:t>
      </w:r>
      <w:r>
        <w:t>9905</w:t>
      </w:r>
      <w:r w:rsidRPr="00A95B3B">
        <w:t xml:space="preserve"> on</w:t>
      </w:r>
      <w:r w:rsidRPr="00A95B3B">
        <w:rPr>
          <w:i/>
          <w:iCs/>
        </w:rPr>
        <w:t xml:space="preserve"> CHRNA5</w:t>
      </w:r>
      <w:r w:rsidRPr="00A95B3B">
        <w:t xml:space="preserve"> expression we used a nested ANOVA analysis with </w:t>
      </w:r>
      <w:proofErr w:type="spellStart"/>
      <w:r w:rsidRPr="00A95B3B">
        <w:t>Sidak's</w:t>
      </w:r>
      <w:proofErr w:type="spellEnd"/>
      <w:r w:rsidRPr="00A95B3B">
        <w:t xml:space="preserve"> post-hoc </w:t>
      </w:r>
      <w:r w:rsidRPr="00323F75">
        <w:t xml:space="preserve">test for multiple comparisons in GraphPad Prism. </w:t>
      </w:r>
    </w:p>
    <w:p w14:paraId="4D47CB6A" w14:textId="77777777" w:rsidR="00DA0AC5" w:rsidRPr="00C570E2" w:rsidRDefault="00DA0AC5" w:rsidP="00DA0AC5">
      <w:pPr>
        <w:spacing w:before="240" w:after="240" w:line="240" w:lineRule="auto"/>
        <w:rPr>
          <w:b/>
          <w:i/>
          <w:sz w:val="24"/>
          <w:szCs w:val="24"/>
        </w:rPr>
      </w:pPr>
      <w:r w:rsidRPr="00323F75">
        <w:rPr>
          <w:b/>
          <w:i/>
        </w:rPr>
        <w:t>Association analysis between SNPs, gene expression, AD neuropathology, and cognition</w:t>
      </w:r>
    </w:p>
    <w:p w14:paraId="56539113" w14:textId="77777777" w:rsidR="00DA0AC5" w:rsidRPr="00CB2413" w:rsidRDefault="00DA0AC5" w:rsidP="00DA0AC5">
      <w:pPr>
        <w:spacing w:before="240" w:after="240" w:line="240" w:lineRule="auto"/>
      </w:pPr>
      <w:r w:rsidRPr="00CB2413">
        <w:rPr>
          <w:iCs/>
        </w:rPr>
        <w:lastRenderedPageBreak/>
        <w:t>To map the multi-</w:t>
      </w:r>
      <w:proofErr w:type="spellStart"/>
      <w:r w:rsidRPr="00CB2413">
        <w:rPr>
          <w:iCs/>
        </w:rPr>
        <w:t>omic</w:t>
      </w:r>
      <w:proofErr w:type="spellEnd"/>
      <w:r w:rsidRPr="00CB2413">
        <w:rPr>
          <w:iCs/>
        </w:rPr>
        <w:t xml:space="preserve"> relationships between candidate SNPs (</w:t>
      </w:r>
      <w:proofErr w:type="spellStart"/>
      <w:r w:rsidRPr="00CB2413">
        <w:rPr>
          <w:iCs/>
        </w:rPr>
        <w:t>n</w:t>
      </w:r>
      <w:r w:rsidRPr="00CB2413">
        <w:rPr>
          <w:iCs/>
          <w:vertAlign w:val="subscript"/>
        </w:rPr>
        <w:t>SNPs</w:t>
      </w:r>
      <w:proofErr w:type="spellEnd"/>
      <w:r w:rsidRPr="00CB2413">
        <w:rPr>
          <w:iCs/>
        </w:rPr>
        <w:t>= 6), cholinergic receptor gene expression (</w:t>
      </w:r>
      <w:proofErr w:type="spellStart"/>
      <w:r w:rsidRPr="00CB2413">
        <w:rPr>
          <w:iCs/>
        </w:rPr>
        <w:t>n</w:t>
      </w:r>
      <w:r w:rsidRPr="00CB2413">
        <w:rPr>
          <w:iCs/>
          <w:vertAlign w:val="subscript"/>
        </w:rPr>
        <w:t>genes</w:t>
      </w:r>
      <w:proofErr w:type="spellEnd"/>
      <w:r w:rsidRPr="00CB2413">
        <w:rPr>
          <w:iCs/>
        </w:rPr>
        <w:t xml:space="preserve">= 3), post-mortem AD-related </w:t>
      </w:r>
      <w:proofErr w:type="spellStart"/>
      <w:r w:rsidRPr="00CB2413">
        <w:rPr>
          <w:iCs/>
        </w:rPr>
        <w:t>neuropathologies</w:t>
      </w:r>
      <w:proofErr w:type="spellEnd"/>
      <w:r w:rsidRPr="00CB2413">
        <w:rPr>
          <w:iCs/>
        </w:rPr>
        <w:t xml:space="preserve"> (</w:t>
      </w:r>
      <w:proofErr w:type="spellStart"/>
      <w:r w:rsidRPr="00CB2413">
        <w:rPr>
          <w:iCs/>
        </w:rPr>
        <w:t>n</w:t>
      </w:r>
      <w:r w:rsidRPr="00CB2413">
        <w:rPr>
          <w:iCs/>
          <w:vertAlign w:val="subscript"/>
        </w:rPr>
        <w:t>path</w:t>
      </w:r>
      <w:r>
        <w:rPr>
          <w:iCs/>
          <w:vertAlign w:val="subscript"/>
        </w:rPr>
        <w:t>o</w:t>
      </w:r>
      <w:r w:rsidRPr="00CB2413">
        <w:rPr>
          <w:iCs/>
          <w:vertAlign w:val="subscript"/>
        </w:rPr>
        <w:t>logies</w:t>
      </w:r>
      <w:proofErr w:type="spellEnd"/>
      <w:r w:rsidRPr="00CB2413">
        <w:rPr>
          <w:iCs/>
        </w:rPr>
        <w:t>=2), and global cognitive performance at the population level, we fit a series of independent linear models, maximizing sample sizes for each combination of data types and including appropriate technical and biological covariates. SNPs were modelled using additive allelic dosage coding (i.e., 0,1,2).</w:t>
      </w:r>
      <w:r w:rsidRPr="00CB2413">
        <w:t xml:space="preserve"> For the associations of SNPs with </w:t>
      </w:r>
      <w:r w:rsidRPr="00032B8C">
        <w:rPr>
          <w:rFonts w:cs="Calibri"/>
        </w:rPr>
        <w:t>β</w:t>
      </w:r>
      <w:r>
        <w:t>-</w:t>
      </w:r>
      <w:r w:rsidRPr="00CB2413">
        <w:t>amyloid and tau</w:t>
      </w:r>
      <w:r>
        <w:t xml:space="preserve"> pathology</w:t>
      </w:r>
      <w:r w:rsidRPr="00CB2413">
        <w:t xml:space="preserve"> (n = 1317), sex, age at death, post-mortem interval</w:t>
      </w:r>
      <w:r>
        <w:t xml:space="preserve"> (PMI)</w:t>
      </w:r>
      <w:r w:rsidRPr="00CB2413">
        <w:t xml:space="preserve"> and the genomic PCs were included as covariates. For the associations of SNPs with global cognitive performance at time of death (n = 1448), sex, age at death, years of education and the first 10 genomic PCs were included as covariates. To aid in the interpretation of SNP and gene expression effects in the context of co-occurring </w:t>
      </w:r>
      <w:proofErr w:type="spellStart"/>
      <w:r w:rsidRPr="00CB2413">
        <w:t>neur</w:t>
      </w:r>
      <w:r>
        <w:t>o</w:t>
      </w:r>
      <w:r w:rsidRPr="00CB2413">
        <w:t>pathologies</w:t>
      </w:r>
      <w:proofErr w:type="spellEnd"/>
      <w:r w:rsidRPr="00CB2413">
        <w:t xml:space="preserve"> and cognitive dysfunction, we also modelled the effects of amyloid and tau measures on each other and on </w:t>
      </w:r>
      <w:r>
        <w:t>the last cognition score</w:t>
      </w:r>
      <w:r w:rsidRPr="00CB2413">
        <w:t xml:space="preserve"> in our dataset (n = 1253); sex, age at death, </w:t>
      </w:r>
      <w:r>
        <w:t>PMI</w:t>
      </w:r>
      <w:r w:rsidRPr="00CB2413">
        <w:t xml:space="preserve"> and years of education were used as covariates. For the association of gene expression residuals with neuropathology (n = 914), sex, age at death, and </w:t>
      </w:r>
      <w:r>
        <w:t>PMI</w:t>
      </w:r>
      <w:r w:rsidRPr="00CB2413">
        <w:t xml:space="preserve"> were used as covariates.</w:t>
      </w:r>
      <w:r>
        <w:t xml:space="preserve"> And</w:t>
      </w:r>
      <w:r w:rsidRPr="00CB2413">
        <w:t xml:space="preserve"> </w:t>
      </w:r>
      <w:r>
        <w:t>f</w:t>
      </w:r>
      <w:r w:rsidRPr="00CB2413">
        <w:t xml:space="preserve">or </w:t>
      </w:r>
      <w:r>
        <w:t xml:space="preserve">association with </w:t>
      </w:r>
      <w:r w:rsidRPr="00CB2413">
        <w:t xml:space="preserve">global cognition at time of death, we used a linear regression model of </w:t>
      </w:r>
      <w:r w:rsidRPr="00CB2413">
        <w:rPr>
          <w:i/>
          <w:iCs/>
        </w:rPr>
        <w:t xml:space="preserve">CHRNA4, CHRNA5 </w:t>
      </w:r>
      <w:r w:rsidRPr="00CB2413">
        <w:t>or</w:t>
      </w:r>
      <w:r w:rsidRPr="00CB2413">
        <w:rPr>
          <w:i/>
          <w:iCs/>
        </w:rPr>
        <w:t xml:space="preserve"> CHNB2 </w:t>
      </w:r>
      <w:r w:rsidRPr="00CB2413">
        <w:t>against</w:t>
      </w:r>
      <w:r>
        <w:t xml:space="preserve"> the</w:t>
      </w:r>
      <w:r w:rsidRPr="00CB2413">
        <w:t xml:space="preserve"> last global cognition</w:t>
      </w:r>
      <w:r>
        <w:t xml:space="preserve"> score</w:t>
      </w:r>
      <w:r w:rsidRPr="00CB2413">
        <w:t xml:space="preserve"> using matched cognition and neuropathology data (n = 887). Sex, age at death</w:t>
      </w:r>
      <w:r>
        <w:t>, PMI</w:t>
      </w:r>
      <w:r w:rsidRPr="00CB2413">
        <w:t xml:space="preserve"> and years of education were used as covariates.</w:t>
      </w:r>
    </w:p>
    <w:p w14:paraId="5EF1717F" w14:textId="77777777" w:rsidR="00DA0AC5" w:rsidRDefault="00DA0AC5" w:rsidP="00DA0AC5">
      <w:pPr>
        <w:spacing w:before="240" w:after="240" w:line="240" w:lineRule="auto"/>
        <w:ind w:firstLine="708"/>
      </w:pPr>
      <w:r w:rsidRPr="00CB2413">
        <w:t xml:space="preserve">In total, we fit 36 models. All two-sided </w:t>
      </w:r>
      <w:r w:rsidRPr="00CB2413">
        <w:rPr>
          <w:i/>
        </w:rPr>
        <w:t>p</w:t>
      </w:r>
      <w:r w:rsidRPr="00CB2413">
        <w:t xml:space="preserve">-values for terms of interest were corrected using the false discovery rate (FDR) approach </w:t>
      </w:r>
      <w:r w:rsidRPr="00CB2413">
        <w:fldChar w:fldCharType="begin" w:fldLock="1"/>
      </w:r>
      <w:r>
        <w:instrText>ADDIN CSL_CITATION {"citationItems":[{"id":"ITEM-1","itemData":{"ISSN":"00359246","abstract":"[The common approach to the multiplicity problem calls for controlling the familywise error rate (FWER). This approach, though, has faults, and we point out a few. A different approach to problems of multiple significance testing is presented. It calls for controlling the expected proportion of falsely rejected hypotheses-the false discovery rate. This error rate is equivalent to the FWER when all hypotheses are true but is smaller otherwise. Therefore, in problems where the control of the false discovery rate rather than that of the FWER is desired, there is potential for a gain in power. A simple sequential Bonferroni-type procedure is proved to control the false discovery rate for independent test statistics, and a simulation study shows that the gain in power is substantial. The use of the new procedure and the appropriateness of the criterion are illustrated with examples.]","author":[{"dropping-particle":"","family":"Benjamini","given":"Yoav","non-dropping-particle":"","parse-names":false,"suffix":""},{"dropping-particle":"","family":"Hochberg","given":"Yosef","non-dropping-particle":"","parse-names":false,"suffix":""}],"container-title":"Journal of the Royal Statistical Society. Series B (Methodological)","id":"ITEM-1","issue":"1","issued":{"date-parts":[["1995","1","26"]]},"page":"289-300","publisher":"[Royal Statistical Society, Wiley]","title":"Controlling the False Discovery Rate: A Practical and Powerful Approach to Multiple Testing","type":"article-journal","volume":"57"},"uris":["http://www.mendeley.com/documents/?uuid=bc15592a-5246-461f-b116-0931b1ad3689"]}],"mendeley":{"formattedCitation":"(Benjamini and Hochberg 1995)","plainTextFormattedCitation":"(Benjamini and Hochberg 1995)","previouslyFormattedCitation":"(Benjamini and Hochberg 1995)"},"properties":{"noteIndex":0},"schema":"https://github.com/citation-style-language/schema/raw/master/csl-citation.json"}</w:instrText>
      </w:r>
      <w:r w:rsidRPr="00CB2413">
        <w:fldChar w:fldCharType="separate"/>
      </w:r>
      <w:r w:rsidRPr="00644EB7">
        <w:rPr>
          <w:noProof/>
        </w:rPr>
        <w:t>(Benjamini and Hochberg 1995)</w:t>
      </w:r>
      <w:r w:rsidRPr="00CB2413">
        <w:fldChar w:fldCharType="end"/>
      </w:r>
      <w:r w:rsidRPr="00CB2413">
        <w:t xml:space="preserve">, with corrected </w:t>
      </w:r>
      <w:proofErr w:type="spellStart"/>
      <w:r w:rsidRPr="00CB2413">
        <w:rPr>
          <w:i/>
        </w:rPr>
        <w:t>p</w:t>
      </w:r>
      <w:r w:rsidRPr="00CB2413">
        <w:rPr>
          <w:vertAlign w:val="subscript"/>
        </w:rPr>
        <w:t>FDR</w:t>
      </w:r>
      <w:proofErr w:type="spellEnd"/>
      <w:r w:rsidRPr="00CB2413">
        <w:t>&lt;0.05 considered significant.</w:t>
      </w:r>
    </w:p>
    <w:p w14:paraId="6F9C0F0B" w14:textId="77777777" w:rsidR="00DA0AC5" w:rsidRPr="00226F5C" w:rsidRDefault="00DA0AC5" w:rsidP="00DA0AC5">
      <w:pPr>
        <w:spacing w:before="240" w:after="240" w:line="240" w:lineRule="auto"/>
        <w:rPr>
          <w:b/>
          <w:sz w:val="24"/>
          <w:szCs w:val="24"/>
        </w:rPr>
      </w:pPr>
      <w:r>
        <w:tab/>
        <w:t xml:space="preserve">We used a Chi-square test in GraphPad Prism to study the association between </w:t>
      </w:r>
      <w:r>
        <w:rPr>
          <w:i/>
          <w:iCs/>
        </w:rPr>
        <w:t xml:space="preserve">CHRNA5 </w:t>
      </w:r>
      <w:r>
        <w:t xml:space="preserve">SNPs genotype and participant smoking status at baseline. </w:t>
      </w:r>
    </w:p>
    <w:p w14:paraId="50FA0724" w14:textId="77777777" w:rsidR="00DA0AC5" w:rsidRPr="00A95B3B" w:rsidRDefault="00DA0AC5" w:rsidP="00DA0AC5">
      <w:pPr>
        <w:spacing w:before="240" w:after="240" w:line="240" w:lineRule="auto"/>
        <w:rPr>
          <w:b/>
          <w:i/>
        </w:rPr>
      </w:pPr>
      <w:r w:rsidRPr="00A95B3B">
        <w:rPr>
          <w:b/>
          <w:i/>
        </w:rPr>
        <w:t>Network visualization of multi-</w:t>
      </w:r>
      <w:proofErr w:type="spellStart"/>
      <w:r w:rsidRPr="00A95B3B">
        <w:rPr>
          <w:b/>
          <w:i/>
        </w:rPr>
        <w:t>omic</w:t>
      </w:r>
      <w:proofErr w:type="spellEnd"/>
      <w:r w:rsidRPr="00A95B3B">
        <w:rPr>
          <w:b/>
          <w:i/>
        </w:rPr>
        <w:t xml:space="preserve"> mapping</w:t>
      </w:r>
    </w:p>
    <w:p w14:paraId="22F0CA85" w14:textId="77777777" w:rsidR="00DA0AC5" w:rsidRDefault="00DA0AC5" w:rsidP="00DA0AC5">
      <w:pPr>
        <w:spacing w:before="240" w:after="240" w:line="240" w:lineRule="auto"/>
        <w:rPr>
          <w:b/>
          <w:i/>
          <w:iCs/>
          <w:sz w:val="24"/>
          <w:szCs w:val="24"/>
        </w:rPr>
      </w:pPr>
      <w:r w:rsidRPr="00A95B3B">
        <w:t xml:space="preserve">To </w:t>
      </w:r>
      <w:r w:rsidRPr="00BA53FF">
        <w:t xml:space="preserve">integrate our multi-level association analyses and aid global interpretation, we constructed a network plot summarizing relationships among the different data </w:t>
      </w:r>
      <w:r w:rsidRPr="008636BC">
        <w:t>types analysed (</w:t>
      </w:r>
      <w:r w:rsidRPr="008636BC">
        <w:rPr>
          <w:b/>
          <w:bCs/>
        </w:rPr>
        <w:t>Fig</w:t>
      </w:r>
      <w:r w:rsidRPr="00BA53FF">
        <w:rPr>
          <w:b/>
          <w:bCs/>
        </w:rPr>
        <w:t xml:space="preserve">. </w:t>
      </w:r>
      <w:r>
        <w:rPr>
          <w:b/>
          <w:bCs/>
        </w:rPr>
        <w:t>1F</w:t>
      </w:r>
      <w:r w:rsidRPr="00BA53FF">
        <w:t>). Network nodes correspond to individual independent and dependent variables, and each edge represents an association derived from one of the linear models described above.</w:t>
      </w:r>
      <w:r>
        <w:t xml:space="preserve"> </w:t>
      </w:r>
    </w:p>
    <w:p w14:paraId="0A960D03" w14:textId="77777777" w:rsidR="00DA0AC5" w:rsidRDefault="00DA0AC5" w:rsidP="00DA0AC5">
      <w:pPr>
        <w:spacing w:before="240" w:after="240" w:line="240" w:lineRule="auto"/>
        <w:rPr>
          <w:b/>
          <w:i/>
          <w:iCs/>
        </w:rPr>
      </w:pPr>
      <w:r>
        <w:rPr>
          <w:b/>
          <w:i/>
          <w:iCs/>
        </w:rPr>
        <w:t>Cross-correlation of cholinergic gene expression and network construction</w:t>
      </w:r>
    </w:p>
    <w:p w14:paraId="397DE483" w14:textId="77777777" w:rsidR="00DA0AC5" w:rsidRPr="00323F75" w:rsidRDefault="00DA0AC5" w:rsidP="00DA0AC5">
      <w:pPr>
        <w:spacing w:before="240" w:after="240" w:line="240" w:lineRule="auto"/>
        <w:rPr>
          <w:bCs/>
        </w:rPr>
      </w:pPr>
      <w:r>
        <w:rPr>
          <w:bCs/>
        </w:rPr>
        <w:t xml:space="preserve">To assess the correlation of </w:t>
      </w:r>
      <w:r>
        <w:rPr>
          <w:bCs/>
          <w:i/>
          <w:iCs/>
        </w:rPr>
        <w:t xml:space="preserve">CHRNA5 </w:t>
      </w:r>
      <w:r>
        <w:rPr>
          <w:bCs/>
        </w:rPr>
        <w:t xml:space="preserve">to other major cholinergic genes in the bulk DLPFC dataset, we performed a series of Pearson-correlation analyses on the </w:t>
      </w:r>
      <w:proofErr w:type="spellStart"/>
      <w:r>
        <w:rPr>
          <w:bCs/>
        </w:rPr>
        <w:t>residualized</w:t>
      </w:r>
      <w:proofErr w:type="spellEnd"/>
      <w:r>
        <w:rPr>
          <w:bCs/>
        </w:rPr>
        <w:t xml:space="preserve"> expression of the different cholinergic genes and used the resulting correlations to construct a correlation network (</w:t>
      </w:r>
      <w:r>
        <w:rPr>
          <w:b/>
        </w:rPr>
        <w:t>Fig. 1G</w:t>
      </w:r>
      <w:r>
        <w:rPr>
          <w:bCs/>
        </w:rPr>
        <w:t>). Network nodes correspond to the different cholinergic genes and the edges represent the size of the correlation coefficient (r). Only correlations significant after adjustment for false discovery rate (56 comparisons) are shown in the network graph.</w:t>
      </w:r>
    </w:p>
    <w:p w14:paraId="2DB446D0" w14:textId="77777777" w:rsidR="00DA0AC5" w:rsidRDefault="00DA0AC5" w:rsidP="00DA0AC5">
      <w:pPr>
        <w:spacing w:before="240" w:after="240" w:line="240" w:lineRule="auto"/>
        <w:rPr>
          <w:b/>
          <w:i/>
          <w:iCs/>
        </w:rPr>
      </w:pPr>
      <w:r w:rsidRPr="008A3AD9">
        <w:rPr>
          <w:b/>
          <w:i/>
          <w:iCs/>
        </w:rPr>
        <w:t xml:space="preserve">Analysis of single-nucleus </w:t>
      </w:r>
      <w:proofErr w:type="spellStart"/>
      <w:r w:rsidRPr="008A3AD9">
        <w:rPr>
          <w:b/>
          <w:i/>
          <w:iCs/>
        </w:rPr>
        <w:t>RNAseq</w:t>
      </w:r>
      <w:proofErr w:type="spellEnd"/>
      <w:r w:rsidRPr="008A3AD9">
        <w:rPr>
          <w:b/>
          <w:i/>
          <w:iCs/>
        </w:rPr>
        <w:t xml:space="preserve"> data from DLPFC</w:t>
      </w:r>
    </w:p>
    <w:p w14:paraId="780D6F81" w14:textId="77777777" w:rsidR="00DA0AC5" w:rsidRPr="00AD6F2B" w:rsidRDefault="00DA0AC5" w:rsidP="00DA0AC5">
      <w:pPr>
        <w:spacing w:before="240" w:after="240" w:line="240" w:lineRule="auto"/>
      </w:pPr>
      <w:r>
        <w:t xml:space="preserve">The single-nucleus </w:t>
      </w:r>
      <w:proofErr w:type="spellStart"/>
      <w:r>
        <w:t>RNAseq</w:t>
      </w:r>
      <w:proofErr w:type="spellEnd"/>
      <w:r>
        <w:t xml:space="preserve"> dataset published by Cain et al. 2020 contained cells clustered into 37 subtypes. As we were interested in genotypic effects on </w:t>
      </w:r>
      <w:r>
        <w:rPr>
          <w:i/>
          <w:iCs/>
        </w:rPr>
        <w:t xml:space="preserve">CHRNA5 </w:t>
      </w:r>
      <w:r>
        <w:t>expression in neurons specifically, t</w:t>
      </w:r>
      <w:r w:rsidRPr="001456AD">
        <w:t xml:space="preserve">o narrow the scope of the analysis, non-neuronal cell </w:t>
      </w:r>
      <w:r>
        <w:t>subsets</w:t>
      </w:r>
      <w:r w:rsidRPr="001456AD">
        <w:t xml:space="preserve"> (</w:t>
      </w:r>
      <w:r>
        <w:t xml:space="preserve">microglia : </w:t>
      </w:r>
      <w:r w:rsidRPr="001456AD">
        <w:t xml:space="preserve">Micro.1 – Micro.6, </w:t>
      </w:r>
      <w:r>
        <w:t>oligodendrocyte:</w:t>
      </w:r>
      <w:r w:rsidRPr="001456AD">
        <w:t xml:space="preserve">Olig.1 – Olig.4, </w:t>
      </w:r>
      <w:r>
        <w:t xml:space="preserve">endothelial cells: </w:t>
      </w:r>
      <w:r w:rsidRPr="001456AD">
        <w:t>Endo.1 – Endo.4,</w:t>
      </w:r>
      <w:r>
        <w:t xml:space="preserve"> astrocyte cells:</w:t>
      </w:r>
      <w:r w:rsidRPr="001456AD">
        <w:t xml:space="preserve"> Astr.1 – Astr.5) were grouped into cell-subtype categories (Microglia, Oligodendrocytes, Endothelial cells, Astrocytes) while neuronal cells were kept in their </w:t>
      </w:r>
      <w:r>
        <w:t>subtypes</w:t>
      </w:r>
      <w:r w:rsidRPr="001456AD">
        <w:t xml:space="preserve"> </w:t>
      </w:r>
      <w:r>
        <w:t xml:space="preserve">(except the L5 RORB IT subtype which was formed by grouping the Exc.Exc.RORB_L5_IT_1 and Exc.Exc.RORB_L5_IT_2 subtypes) </w:t>
      </w:r>
      <w:r w:rsidRPr="001456AD">
        <w:t>as defined in Cain et</w:t>
      </w:r>
      <w:r>
        <w:t xml:space="preserve"> </w:t>
      </w:r>
      <w:r w:rsidRPr="001456AD">
        <w:t>al</w:t>
      </w:r>
      <w:r>
        <w:t>.</w:t>
      </w:r>
      <w:r w:rsidRPr="001456AD">
        <w:t xml:space="preserve"> 202</w:t>
      </w:r>
      <w:r>
        <w:t>0</w:t>
      </w:r>
      <w:r w:rsidRPr="001456AD">
        <w:t xml:space="preserve">. </w:t>
      </w:r>
      <w:r w:rsidRPr="001456AD">
        <w:lastRenderedPageBreak/>
        <w:t xml:space="preserve">Using the aggregate function in R, the log-normalized DLPFC </w:t>
      </w:r>
      <w:proofErr w:type="spellStart"/>
      <w:r w:rsidRPr="001456AD">
        <w:t>snRNAseq</w:t>
      </w:r>
      <w:proofErr w:type="spellEnd"/>
      <w:r w:rsidRPr="001456AD">
        <w:t xml:space="preserve"> </w:t>
      </w:r>
      <w:r w:rsidRPr="001456AD">
        <w:rPr>
          <w:i/>
          <w:iCs/>
        </w:rPr>
        <w:t xml:space="preserve">CHRNA5 </w:t>
      </w:r>
      <w:r w:rsidRPr="001456AD">
        <w:t>expression (n = 24) was averaged per cell type (subtype) per individual (using the unique participant "</w:t>
      </w:r>
      <w:proofErr w:type="spellStart"/>
      <w:r w:rsidRPr="001456AD">
        <w:t>projid</w:t>
      </w:r>
      <w:proofErr w:type="spellEnd"/>
      <w:r w:rsidRPr="001456AD">
        <w:t>" IDs) as follows:</w:t>
      </w:r>
      <w:r>
        <w:t xml:space="preserve"> [</w:t>
      </w:r>
      <w:proofErr w:type="gramStart"/>
      <w:r w:rsidRPr="00AD6F2B">
        <w:t>aggregate(</w:t>
      </w:r>
      <w:proofErr w:type="gramEnd"/>
      <w:r w:rsidRPr="00AD6F2B">
        <w:rPr>
          <w:i/>
          <w:iCs/>
        </w:rPr>
        <w:t xml:space="preserve">CHRNA5 </w:t>
      </w:r>
      <w:r w:rsidRPr="00AD6F2B">
        <w:t xml:space="preserve">~ </w:t>
      </w:r>
      <w:proofErr w:type="spellStart"/>
      <w:r w:rsidRPr="00AD6F2B">
        <w:t>projid</w:t>
      </w:r>
      <w:proofErr w:type="spellEnd"/>
      <w:r w:rsidRPr="00AD6F2B">
        <w:t xml:space="preserve"> + subtype, data, mean)</w:t>
      </w:r>
      <w:r>
        <w:t>].</w:t>
      </w:r>
    </w:p>
    <w:p w14:paraId="367B8ED1" w14:textId="77777777" w:rsidR="00DA0AC5" w:rsidRPr="00AD6F2B" w:rsidRDefault="00DA0AC5" w:rsidP="00DA0AC5">
      <w:pPr>
        <w:spacing w:before="240" w:after="240" w:line="240" w:lineRule="auto"/>
        <w:ind w:firstLine="708"/>
      </w:pPr>
      <w:r w:rsidRPr="00AD6F2B">
        <w:t xml:space="preserve">To assess the expression of </w:t>
      </w:r>
      <w:r w:rsidRPr="00AD6F2B">
        <w:rPr>
          <w:i/>
          <w:iCs/>
        </w:rPr>
        <w:t xml:space="preserve">CHRNA5 </w:t>
      </w:r>
      <w:r w:rsidRPr="00AD6F2B">
        <w:t xml:space="preserve">across the different cell types, we used a one-way ANOVA with Tukey's post-hoc t-test on the </w:t>
      </w:r>
      <w:r w:rsidRPr="00AD6F2B">
        <w:rPr>
          <w:i/>
          <w:iCs/>
        </w:rPr>
        <w:t xml:space="preserve">CHRNA5 </w:t>
      </w:r>
      <w:r w:rsidRPr="00AD6F2B">
        <w:t>expression previously averaged per cell type per individual.</w:t>
      </w:r>
    </w:p>
    <w:p w14:paraId="3D22B195" w14:textId="77777777" w:rsidR="00DA0AC5" w:rsidRPr="00AD6F2B" w:rsidRDefault="00DA0AC5" w:rsidP="00DA0AC5">
      <w:pPr>
        <w:spacing w:before="240" w:after="240" w:line="240" w:lineRule="auto"/>
        <w:ind w:firstLine="708"/>
      </w:pPr>
      <w:r w:rsidRPr="00AD6F2B">
        <w:t>To assess the association between the rs197</w:t>
      </w:r>
      <w:r>
        <w:t xml:space="preserve">9905 </w:t>
      </w:r>
      <w:r w:rsidRPr="00AD6F2B">
        <w:t xml:space="preserve">genotype and </w:t>
      </w:r>
      <w:r w:rsidRPr="00AD6F2B">
        <w:rPr>
          <w:i/>
          <w:iCs/>
        </w:rPr>
        <w:t xml:space="preserve">CHRNA5 </w:t>
      </w:r>
      <w:r w:rsidRPr="00AD6F2B">
        <w:t xml:space="preserve">expression in the DLPFC </w:t>
      </w:r>
      <w:proofErr w:type="spellStart"/>
      <w:r w:rsidRPr="00AD6F2B">
        <w:t>snRNAseq</w:t>
      </w:r>
      <w:proofErr w:type="spellEnd"/>
      <w:r w:rsidRPr="00AD6F2B">
        <w:t xml:space="preserve"> data, we matched the </w:t>
      </w:r>
      <w:r w:rsidRPr="00AD6F2B">
        <w:rPr>
          <w:i/>
          <w:iCs/>
        </w:rPr>
        <w:t xml:space="preserve">CHRNA5 </w:t>
      </w:r>
      <w:r w:rsidRPr="00AD6F2B">
        <w:t xml:space="preserve">expression data averaged per cell type per individual with genotype data (final = 22). We then used general linear models covaried for sex, age at death and </w:t>
      </w:r>
      <w:r>
        <w:t>PMI</w:t>
      </w:r>
      <w:r w:rsidRPr="00AD6F2B">
        <w:t xml:space="preserve"> to assess the association between the rs197</w:t>
      </w:r>
      <w:r>
        <w:t>9905</w:t>
      </w:r>
      <w:r w:rsidRPr="00AD6F2B">
        <w:t xml:space="preserve"> genotype and </w:t>
      </w:r>
      <w:r w:rsidRPr="00AD6F2B">
        <w:rPr>
          <w:i/>
          <w:iCs/>
        </w:rPr>
        <w:t xml:space="preserve">CHRNA5 </w:t>
      </w:r>
      <w:r w:rsidRPr="00AD6F2B">
        <w:t>expression in the different cell types.</w:t>
      </w:r>
    </w:p>
    <w:p w14:paraId="770369CE" w14:textId="77777777" w:rsidR="00DA0AC5" w:rsidRPr="00B43421" w:rsidRDefault="00DA0AC5" w:rsidP="00DA0AC5">
      <w:pPr>
        <w:spacing w:before="240" w:after="240" w:line="240" w:lineRule="auto"/>
        <w:rPr>
          <w:b/>
        </w:rPr>
      </w:pPr>
      <w:r w:rsidRPr="00B43421">
        <w:rPr>
          <w:b/>
          <w:i/>
          <w:iCs/>
        </w:rPr>
        <w:t>Interaction modelling of neuropathology, CHRNA5 genotype, and bulk-estimated cell type proportions</w:t>
      </w:r>
    </w:p>
    <w:p w14:paraId="58FF0B61" w14:textId="77777777" w:rsidR="00DA0AC5" w:rsidRPr="00B43421" w:rsidRDefault="00DA0AC5" w:rsidP="00DA0AC5">
      <w:pPr>
        <w:spacing w:before="240" w:after="240" w:line="240" w:lineRule="auto"/>
      </w:pPr>
      <w:r w:rsidRPr="00B43421">
        <w:t xml:space="preserve">To assess the association between amyloid and </w:t>
      </w:r>
      <w:r>
        <w:t>tau</w:t>
      </w:r>
      <w:r w:rsidRPr="00B43421">
        <w:t xml:space="preserve"> neuropathology, and chandelier cell proportions, we used a linear regression model of these variables covaried for sex, age at death and </w:t>
      </w:r>
      <w:r>
        <w:t>PMI</w:t>
      </w:r>
      <w:r w:rsidRPr="00B43421">
        <w:t xml:space="preserve">. A linear regression model with the same covariates was also used to assess the association between </w:t>
      </w:r>
      <w:r w:rsidRPr="00B43421">
        <w:rPr>
          <w:i/>
          <w:iCs/>
        </w:rPr>
        <w:t xml:space="preserve">CHRNA5 </w:t>
      </w:r>
      <w:r w:rsidRPr="00B43421">
        <w:t>expression and chandelier cell proportions. To test the association between rs197</w:t>
      </w:r>
      <w:r>
        <w:t>9905</w:t>
      </w:r>
      <w:r w:rsidRPr="00B43421">
        <w:t xml:space="preserve"> and rs169</w:t>
      </w:r>
      <w:r>
        <w:t>69968</w:t>
      </w:r>
      <w:r w:rsidRPr="00B43421">
        <w:t xml:space="preserve"> genotype with chandelier cell proportions, we used a linear regression model covaried for sex, age at death and post-mortem interval. Finally, we used a linear interaction model to test the association between genotype-neuropathology interaction on the proportion of chandelier cells, covaried for sex, age at death, post-mortem interval and the first 10 genomic PCs:</w:t>
      </w:r>
      <w:r>
        <w:t xml:space="preserve"> [</w:t>
      </w:r>
      <w:r w:rsidRPr="00B43421">
        <w:t xml:space="preserve">Cell proportion ~ Genotype * Neuropathology + sex + age at death + </w:t>
      </w:r>
      <w:r>
        <w:t>PMI</w:t>
      </w:r>
      <w:r w:rsidRPr="00B43421" w:rsidDel="00842E4E">
        <w:t xml:space="preserve"> </w:t>
      </w:r>
      <w:r w:rsidRPr="00B43421">
        <w:t>+ PC1 + … + PC10</w:t>
      </w:r>
      <w:r>
        <w:t>].</w:t>
      </w:r>
    </w:p>
    <w:bookmarkEnd w:id="0"/>
    <w:p w14:paraId="4859AC8B" w14:textId="77777777" w:rsidR="00DA0AC5" w:rsidRDefault="00DA0AC5"/>
    <w:sectPr w:rsidR="00DA0AC5" w:rsidSect="00963DB4">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Lato">
    <w:altName w:val="Calibri"/>
    <w:panose1 w:val="020B0604020202020204"/>
    <w:charset w:val="00"/>
    <w:family w:val="swiss"/>
    <w:pitch w:val="variable"/>
    <w:sig w:usb0="E10002FF" w:usb1="5000ECFF" w:usb2="00000021"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83"/>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A0AC5"/>
    <w:rsid w:val="000065F7"/>
    <w:rsid w:val="00006AD2"/>
    <w:rsid w:val="00022C6C"/>
    <w:rsid w:val="00036E8D"/>
    <w:rsid w:val="000660F7"/>
    <w:rsid w:val="000934EC"/>
    <w:rsid w:val="00094401"/>
    <w:rsid w:val="000D3A58"/>
    <w:rsid w:val="00100CB3"/>
    <w:rsid w:val="00113AB6"/>
    <w:rsid w:val="00115431"/>
    <w:rsid w:val="00122828"/>
    <w:rsid w:val="00156C46"/>
    <w:rsid w:val="00165B57"/>
    <w:rsid w:val="001F0ACB"/>
    <w:rsid w:val="001F5536"/>
    <w:rsid w:val="001F68B4"/>
    <w:rsid w:val="001F7088"/>
    <w:rsid w:val="00222B2C"/>
    <w:rsid w:val="00224B6A"/>
    <w:rsid w:val="0022759F"/>
    <w:rsid w:val="0023674C"/>
    <w:rsid w:val="00247A14"/>
    <w:rsid w:val="00254F7C"/>
    <w:rsid w:val="00265F00"/>
    <w:rsid w:val="00281632"/>
    <w:rsid w:val="002A36BB"/>
    <w:rsid w:val="002E5ED9"/>
    <w:rsid w:val="002F097F"/>
    <w:rsid w:val="0030297C"/>
    <w:rsid w:val="00313CAC"/>
    <w:rsid w:val="00330AC6"/>
    <w:rsid w:val="003312D5"/>
    <w:rsid w:val="003505B3"/>
    <w:rsid w:val="003815E2"/>
    <w:rsid w:val="00384D07"/>
    <w:rsid w:val="00387BA3"/>
    <w:rsid w:val="003A38EE"/>
    <w:rsid w:val="003B5AFF"/>
    <w:rsid w:val="003C38DE"/>
    <w:rsid w:val="003D2AE5"/>
    <w:rsid w:val="003D4DB0"/>
    <w:rsid w:val="003F21A2"/>
    <w:rsid w:val="004010E9"/>
    <w:rsid w:val="0045147F"/>
    <w:rsid w:val="0045723C"/>
    <w:rsid w:val="00467F94"/>
    <w:rsid w:val="00475507"/>
    <w:rsid w:val="00494036"/>
    <w:rsid w:val="004A35C4"/>
    <w:rsid w:val="004C07EC"/>
    <w:rsid w:val="004F22DA"/>
    <w:rsid w:val="0050009A"/>
    <w:rsid w:val="0056000F"/>
    <w:rsid w:val="00561F9A"/>
    <w:rsid w:val="00563BB7"/>
    <w:rsid w:val="005827A6"/>
    <w:rsid w:val="005B7549"/>
    <w:rsid w:val="005D4CAB"/>
    <w:rsid w:val="005D7EFF"/>
    <w:rsid w:val="0064573F"/>
    <w:rsid w:val="00662895"/>
    <w:rsid w:val="006758FB"/>
    <w:rsid w:val="0068188E"/>
    <w:rsid w:val="00691A1B"/>
    <w:rsid w:val="006B60C0"/>
    <w:rsid w:val="006C46B4"/>
    <w:rsid w:val="006F11EF"/>
    <w:rsid w:val="006F2CE6"/>
    <w:rsid w:val="006F7367"/>
    <w:rsid w:val="0070407F"/>
    <w:rsid w:val="00712CA7"/>
    <w:rsid w:val="00721FF5"/>
    <w:rsid w:val="007241CF"/>
    <w:rsid w:val="007336BD"/>
    <w:rsid w:val="00735658"/>
    <w:rsid w:val="00774A7C"/>
    <w:rsid w:val="00787317"/>
    <w:rsid w:val="00791B87"/>
    <w:rsid w:val="00792AB5"/>
    <w:rsid w:val="00794753"/>
    <w:rsid w:val="0079478D"/>
    <w:rsid w:val="007C217D"/>
    <w:rsid w:val="00815022"/>
    <w:rsid w:val="00840775"/>
    <w:rsid w:val="00851090"/>
    <w:rsid w:val="008D4555"/>
    <w:rsid w:val="008E680E"/>
    <w:rsid w:val="008E7CCE"/>
    <w:rsid w:val="008F2425"/>
    <w:rsid w:val="009147B2"/>
    <w:rsid w:val="009331D7"/>
    <w:rsid w:val="00960AC6"/>
    <w:rsid w:val="00963DB4"/>
    <w:rsid w:val="00A04B41"/>
    <w:rsid w:val="00A105A2"/>
    <w:rsid w:val="00A35DAD"/>
    <w:rsid w:val="00A55D70"/>
    <w:rsid w:val="00B65458"/>
    <w:rsid w:val="00B84DB0"/>
    <w:rsid w:val="00BB5485"/>
    <w:rsid w:val="00BF4246"/>
    <w:rsid w:val="00C015E8"/>
    <w:rsid w:val="00C02FAF"/>
    <w:rsid w:val="00C235D5"/>
    <w:rsid w:val="00C4762F"/>
    <w:rsid w:val="00C50F86"/>
    <w:rsid w:val="00C5569E"/>
    <w:rsid w:val="00C665B7"/>
    <w:rsid w:val="00CC37A1"/>
    <w:rsid w:val="00CC77B6"/>
    <w:rsid w:val="00CC7D2A"/>
    <w:rsid w:val="00D336FD"/>
    <w:rsid w:val="00D517BA"/>
    <w:rsid w:val="00D53A09"/>
    <w:rsid w:val="00D55301"/>
    <w:rsid w:val="00D55922"/>
    <w:rsid w:val="00D65289"/>
    <w:rsid w:val="00D65FD3"/>
    <w:rsid w:val="00D72305"/>
    <w:rsid w:val="00D873FC"/>
    <w:rsid w:val="00DA0AC5"/>
    <w:rsid w:val="00DA6CB6"/>
    <w:rsid w:val="00DB0906"/>
    <w:rsid w:val="00DB6E60"/>
    <w:rsid w:val="00DD6C48"/>
    <w:rsid w:val="00DE7617"/>
    <w:rsid w:val="00E222E6"/>
    <w:rsid w:val="00E5688D"/>
    <w:rsid w:val="00E576C8"/>
    <w:rsid w:val="00E62650"/>
    <w:rsid w:val="00E62C18"/>
    <w:rsid w:val="00E7391A"/>
    <w:rsid w:val="00EA0234"/>
    <w:rsid w:val="00EB5DDF"/>
    <w:rsid w:val="00EC437B"/>
    <w:rsid w:val="00EC59C6"/>
    <w:rsid w:val="00F22DE8"/>
    <w:rsid w:val="00F237DE"/>
    <w:rsid w:val="00F43446"/>
    <w:rsid w:val="00F663D1"/>
    <w:rsid w:val="00FA6414"/>
    <w:rsid w:val="00FB1487"/>
    <w:rsid w:val="00FC724F"/>
    <w:rsid w:val="00FE3E1D"/>
    <w:rsid w:val="00FF4245"/>
    <w:rsid w:val="00FF567F"/>
    <w:rsid w:val="00FF738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4A08979"/>
  <w14:defaultImageDpi w14:val="32767"/>
  <w15:chartTrackingRefBased/>
  <w15:docId w15:val="{349B3D23-B712-4E45-BA91-6EB930F483A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DA0AC5"/>
    <w:pPr>
      <w:spacing w:after="160" w:line="259" w:lineRule="auto"/>
    </w:pPr>
    <w:rPr>
      <w:rFonts w:ascii="Calibri" w:eastAsia="Calibri" w:hAnsi="Calibri" w:cs="Times New Roman"/>
      <w:sz w:val="22"/>
      <w:szCs w:val="22"/>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CommentReference">
    <w:name w:val="annotation reference"/>
    <w:uiPriority w:val="99"/>
    <w:semiHidden/>
    <w:unhideWhenUsed/>
    <w:rsid w:val="00DA0AC5"/>
    <w:rPr>
      <w:sz w:val="16"/>
      <w:szCs w:val="16"/>
    </w:rPr>
  </w:style>
  <w:style w:type="paragraph" w:styleId="CommentText">
    <w:name w:val="annotation text"/>
    <w:basedOn w:val="Normal"/>
    <w:link w:val="CommentTextChar"/>
    <w:uiPriority w:val="99"/>
    <w:unhideWhenUsed/>
    <w:rsid w:val="00DA0AC5"/>
    <w:pPr>
      <w:spacing w:after="0" w:line="240" w:lineRule="auto"/>
    </w:pPr>
    <w:rPr>
      <w:rFonts w:ascii="Arial" w:eastAsia="Arial" w:hAnsi="Arial" w:cs="Arial"/>
      <w:sz w:val="20"/>
      <w:szCs w:val="20"/>
      <w:lang w:val="en"/>
    </w:rPr>
  </w:style>
  <w:style w:type="character" w:customStyle="1" w:styleId="CommentTextChar">
    <w:name w:val="Comment Text Char"/>
    <w:basedOn w:val="DefaultParagraphFont"/>
    <w:link w:val="CommentText"/>
    <w:uiPriority w:val="99"/>
    <w:rsid w:val="00DA0AC5"/>
    <w:rPr>
      <w:rFonts w:ascii="Arial" w:eastAsia="Arial" w:hAnsi="Arial" w:cs="Arial"/>
      <w:sz w:val="20"/>
      <w:szCs w:val="20"/>
      <w:lang w:val="en"/>
    </w:rPr>
  </w:style>
  <w:style w:type="paragraph" w:styleId="BalloonText">
    <w:name w:val="Balloon Text"/>
    <w:basedOn w:val="Normal"/>
    <w:link w:val="BalloonTextChar"/>
    <w:uiPriority w:val="99"/>
    <w:semiHidden/>
    <w:unhideWhenUsed/>
    <w:rsid w:val="00DA0AC5"/>
    <w:pPr>
      <w:spacing w:after="0" w:line="240" w:lineRule="auto"/>
    </w:pPr>
    <w:rPr>
      <w:rFonts w:ascii="Times New Roman" w:hAnsi="Times New Roman"/>
      <w:sz w:val="18"/>
      <w:szCs w:val="18"/>
    </w:rPr>
  </w:style>
  <w:style w:type="character" w:customStyle="1" w:styleId="BalloonTextChar">
    <w:name w:val="Balloon Text Char"/>
    <w:basedOn w:val="DefaultParagraphFont"/>
    <w:link w:val="BalloonText"/>
    <w:uiPriority w:val="99"/>
    <w:semiHidden/>
    <w:rsid w:val="00DA0AC5"/>
    <w:rPr>
      <w:rFonts w:ascii="Times New Roman" w:eastAsia="Calibri" w:hAnsi="Times New Roman" w:cs="Times New Roman"/>
      <w:sz w:val="18"/>
      <w:szCs w:val="18"/>
      <w:lang w:val="en-GB"/>
    </w:rPr>
  </w:style>
  <w:style w:type="character" w:styleId="Hyperlink">
    <w:name w:val="Hyperlink"/>
    <w:uiPriority w:val="99"/>
    <w:unhideWhenUsed/>
    <w:rsid w:val="00FF567F"/>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s://topmedimpute.readthedocs.io/en/latest/prepare-your-data.htm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4</Pages>
  <Words>5275</Words>
  <Characters>30070</Characters>
  <Application>Microsoft Office Word</Application>
  <DocSecurity>0</DocSecurity>
  <Lines>250</Lines>
  <Paragraphs>70</Paragraphs>
  <ScaleCrop>false</ScaleCrop>
  <Company/>
  <LinksUpToDate>false</LinksUpToDate>
  <CharactersWithSpaces>35275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Evelyn Lambe</dc:creator>
  <cp:keywords/>
  <dc:description/>
  <cp:lastModifiedBy>Evelyn Lambe</cp:lastModifiedBy>
  <cp:revision>3</cp:revision>
  <dcterms:created xsi:type="dcterms:W3CDTF">2022-06-30T22:34:00Z</dcterms:created>
  <dcterms:modified xsi:type="dcterms:W3CDTF">2022-06-30T22:49:00Z</dcterms:modified>
</cp:coreProperties>
</file>