
<file path=[Content_Types].xml><?xml version="1.0" encoding="utf-8"?>
<Types xmlns="http://schemas.openxmlformats.org/package/2006/content-types">
  <Default Extension="xml" ContentType="application/xml"/>
  <Default Extension="jpeg" ContentType="image/jpeg"/>
  <Default Extension="JPG" ContentType="image/.jpg"/>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r>
        <w:drawing>
          <wp:inline distT="0" distB="0" distL="0" distR="0">
            <wp:extent cx="5143500" cy="9779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5168084" cy="982983"/>
                    </a:xfrm>
                    <a:prstGeom prst="rect">
                      <a:avLst/>
                    </a:prstGeom>
                  </pic:spPr>
                </pic:pic>
              </a:graphicData>
            </a:graphic>
          </wp:inline>
        </w:drawing>
      </w:r>
    </w:p>
    <w:p>
      <w:pPr>
        <w:spacing w:line="360" w:lineRule="auto"/>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Fig. S1 CUR5g induces a shift in GFP-LC3B signal from a diffuse cytosolic staining to a punctate pattern. </w:t>
      </w:r>
      <w:r>
        <w:rPr>
          <w:rFonts w:ascii="Times New Roman" w:hAnsi="Times New Roman" w:eastAsia="宋体" w:cs="Times New Roman"/>
          <w:kern w:val="0"/>
          <w:sz w:val="24"/>
          <w:szCs w:val="24"/>
          <w:shd w:val="clear" w:color="auto" w:fill="FFFFFF"/>
        </w:rPr>
        <w:t>Representative</w:t>
      </w:r>
      <w:r>
        <w:rPr>
          <w:rFonts w:ascii="Times New Roman" w:hAnsi="Times New Roman" w:eastAsia="宋体" w:cs="Times New Roman"/>
          <w:bCs/>
          <w:color w:val="0D0D0D" w:themeColor="text1" w:themeTint="F2"/>
          <w:kern w:val="0"/>
          <w:sz w:val="24"/>
          <w:szCs w:val="24"/>
          <w:shd w:val="clear" w:color="auto" w:fill="FFFFFF"/>
          <w14:textFill>
            <w14:solidFill>
              <w14:schemeClr w14:val="tx1">
                <w14:lumMod w14:val="95000"/>
                <w14:lumOff w14:val="5000"/>
              </w14:schemeClr>
            </w14:solidFill>
          </w14:textFill>
        </w:rPr>
        <w:t xml:space="preserve"> fluorescence images </w:t>
      </w:r>
      <w:r>
        <w:rPr>
          <w:rFonts w:ascii="Times New Roman" w:hAnsi="Times New Roman" w:eastAsia="宋体" w:cs="Times New Roman"/>
          <w:kern w:val="0"/>
          <w:sz w:val="24"/>
          <w:szCs w:val="24"/>
          <w:shd w:val="clear" w:color="auto" w:fill="FFFFFF"/>
        </w:rPr>
        <w:t>of GFP-LC3B puncta in U87 cells treated with various doses (0-40 μM) of CUR5g for 24 h. Scale bar = 10 μm.</w:t>
      </w:r>
    </w:p>
    <w:p>
      <w:pPr>
        <w:spacing w:line="360" w:lineRule="auto"/>
        <w:rPr>
          <w:rFonts w:ascii="Times New Roman" w:hAnsi="Times New Roman" w:eastAsia="宋体" w:cs="Times New Roman"/>
          <w:kern w:val="0"/>
          <w:sz w:val="24"/>
          <w:szCs w:val="24"/>
          <w:shd w:val="clear" w:color="auto" w:fill="FFFFFF"/>
        </w:rPr>
      </w:pPr>
    </w:p>
    <w:p>
      <w:pPr>
        <w:spacing w:line="360" w:lineRule="auto"/>
        <w:rPr>
          <w:rFonts w:ascii="Times New Roman" w:hAnsi="Times New Roman" w:eastAsia="宋体" w:cs="Times New Roman"/>
          <w:kern w:val="0"/>
          <w:sz w:val="24"/>
          <w:szCs w:val="24"/>
          <w:shd w:val="clear" w:color="auto" w:fill="FFFFFF"/>
        </w:rPr>
      </w:pPr>
    </w:p>
    <w:p>
      <w:pPr>
        <w:spacing w:line="36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drawing>
          <wp:inline distT="0" distB="0" distL="0" distR="0">
            <wp:extent cx="5111750" cy="4794250"/>
            <wp:effectExtent l="0" t="0" r="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118677" cy="4801373"/>
                    </a:xfrm>
                    <a:prstGeom prst="rect">
                      <a:avLst/>
                    </a:prstGeom>
                  </pic:spPr>
                </pic:pic>
              </a:graphicData>
            </a:graphic>
          </wp:inline>
        </w:drawing>
      </w:r>
    </w:p>
    <w:p>
      <w:pPr>
        <w:spacing w:line="360" w:lineRule="auto"/>
        <w:rPr>
          <w:rFonts w:ascii="Times New Roman" w:hAnsi="Times New Roman" w:eastAsia="宋体" w:cs="Times New Roman"/>
          <w:kern w:val="0"/>
          <w:sz w:val="24"/>
          <w:szCs w:val="24"/>
          <w:shd w:val="clear" w:color="auto" w:fill="FFFFFF"/>
        </w:rPr>
      </w:pPr>
      <w:r>
        <w:rPr>
          <w:rFonts w:ascii="Times New Roman" w:hAnsi="Times New Roman" w:cs="Times New Roman"/>
          <w:b/>
          <w:color w:val="000000"/>
          <w:sz w:val="24"/>
          <w:szCs w:val="24"/>
        </w:rPr>
        <w:t xml:space="preserve">Fig. S2 </w:t>
      </w:r>
      <w:r>
        <w:rPr>
          <w:rFonts w:ascii="Times New Roman" w:hAnsi="Times New Roman" w:cs="Times New Roman"/>
          <w:b/>
          <w:sz w:val="24"/>
          <w:szCs w:val="24"/>
        </w:rPr>
        <w:t xml:space="preserve">Western blot analysis of LC3B-II and SQSTM1 levels in cancer cell lines. </w:t>
      </w:r>
      <w:r>
        <w:rPr>
          <w:rFonts w:ascii="Times New Roman" w:hAnsi="Times New Roman" w:cs="Times New Roman"/>
          <w:sz w:val="24"/>
          <w:szCs w:val="24"/>
        </w:rPr>
        <w:t>H157 cells</w:t>
      </w:r>
      <w:r>
        <w:rPr>
          <w:rFonts w:ascii="Times New Roman" w:hAnsi="Times New Roman" w:eastAsia="宋体" w:cs="Times New Roman"/>
          <w:kern w:val="0"/>
          <w:sz w:val="24"/>
          <w:szCs w:val="24"/>
          <w:shd w:val="clear" w:color="auto" w:fill="FFFFFF"/>
        </w:rPr>
        <w:t xml:space="preserve"> (A), HepG2 cells(B), </w:t>
      </w:r>
      <w:r>
        <w:rPr>
          <w:rFonts w:ascii="Times New Roman" w:hAnsi="Times New Roman" w:cs="Times New Roman"/>
          <w:sz w:val="24"/>
          <w:szCs w:val="24"/>
        </w:rPr>
        <w:t>MCF-7</w:t>
      </w:r>
      <w:r>
        <w:rPr>
          <w:rFonts w:ascii="Times New Roman" w:hAnsi="Times New Roman" w:eastAsia="宋体" w:cs="Times New Roman"/>
          <w:kern w:val="0"/>
          <w:sz w:val="24"/>
          <w:szCs w:val="24"/>
          <w:shd w:val="clear" w:color="auto" w:fill="FFFFFF"/>
        </w:rPr>
        <w:t xml:space="preserve"> cells (C), and </w:t>
      </w:r>
      <w:r>
        <w:rPr>
          <w:rStyle w:val="7"/>
          <w:rFonts w:ascii="Times New Roman" w:hAnsi="Times New Roman" w:cs="Times New Roman"/>
          <w:i w:val="0"/>
          <w:iCs w:val="0"/>
          <w:sz w:val="24"/>
          <w:szCs w:val="24"/>
          <w:shd w:val="clear" w:color="auto" w:fill="FFFFFF"/>
        </w:rPr>
        <w:t xml:space="preserve">MCF-7/ADR </w:t>
      </w:r>
      <w:r>
        <w:rPr>
          <w:rFonts w:ascii="Times New Roman" w:hAnsi="Times New Roman" w:cs="Times New Roman"/>
          <w:sz w:val="24"/>
          <w:szCs w:val="24"/>
          <w:shd w:val="clear" w:color="auto" w:fill="FFFFFF"/>
        </w:rPr>
        <w:t xml:space="preserve">cells (D) </w:t>
      </w:r>
      <w:r>
        <w:rPr>
          <w:rFonts w:ascii="Times New Roman" w:hAnsi="Times New Roman" w:eastAsia="宋体" w:cs="Times New Roman"/>
          <w:kern w:val="0"/>
          <w:sz w:val="24"/>
          <w:szCs w:val="24"/>
          <w:shd w:val="clear" w:color="auto" w:fill="FFFFFF"/>
        </w:rPr>
        <w:t xml:space="preserve">treated with various doses (0-40 μM) of CUR5g for 24 h. GAPDH is used as a loading control. </w:t>
      </w:r>
    </w:p>
    <w:p>
      <w:pPr>
        <w:spacing w:line="360" w:lineRule="auto"/>
        <w:rPr>
          <w:rFonts w:ascii="Times New Roman" w:hAnsi="Times New Roman" w:cs="Times New Roman"/>
          <w:b/>
          <w:color w:val="000000"/>
          <w:sz w:val="24"/>
          <w:szCs w:val="24"/>
        </w:rPr>
      </w:pPr>
      <w:r>
        <w:rPr>
          <w:rFonts w:hint="eastAsia" w:ascii="Times New Roman" w:hAnsi="Times New Roman" w:cs="Times New Roman"/>
          <w:b/>
          <w:color w:val="000000"/>
          <w:sz w:val="24"/>
          <w:szCs w:val="24"/>
        </w:rPr>
        <w:drawing>
          <wp:inline distT="0" distB="0" distL="0" distR="0">
            <wp:extent cx="5274310" cy="1656080"/>
            <wp:effectExtent l="0" t="0" r="2540" b="12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1656080"/>
                    </a:xfrm>
                    <a:prstGeom prst="rect">
                      <a:avLst/>
                    </a:prstGeom>
                  </pic:spPr>
                </pic:pic>
              </a:graphicData>
            </a:graphic>
          </wp:inline>
        </w:drawing>
      </w:r>
    </w:p>
    <w:p>
      <w:pPr>
        <w:spacing w:line="360" w:lineRule="auto"/>
        <w:rPr>
          <w:rFonts w:ascii="Times New Roman" w:hAnsi="Times New Roman" w:eastAsia="宋体" w:cs="Times New Roman"/>
          <w:kern w:val="0"/>
          <w:sz w:val="24"/>
          <w:szCs w:val="24"/>
          <w:shd w:val="clear" w:color="auto" w:fill="FFFFFF"/>
        </w:rPr>
      </w:pPr>
      <w:r>
        <w:rPr>
          <w:rFonts w:ascii="Times New Roman" w:hAnsi="Times New Roman" w:cs="Times New Roman"/>
          <w:b/>
          <w:color w:val="000000"/>
          <w:sz w:val="24"/>
          <w:szCs w:val="24"/>
        </w:rPr>
        <w:t xml:space="preserve">Fig. S3 </w:t>
      </w:r>
      <w:r>
        <w:rPr>
          <w:rFonts w:ascii="Times New Roman" w:hAnsi="Times New Roman" w:cs="Times New Roman"/>
          <w:b/>
          <w:sz w:val="24"/>
          <w:szCs w:val="24"/>
        </w:rPr>
        <w:t xml:space="preserve">Western blot analysis of LC3B-II and SQSTM1 levels in normal cells. </w:t>
      </w:r>
      <w:r>
        <w:rPr>
          <w:rFonts w:ascii="Times New Roman" w:hAnsi="Times New Roman" w:cs="Times New Roman"/>
          <w:sz w:val="24"/>
          <w:szCs w:val="24"/>
        </w:rPr>
        <w:t xml:space="preserve">BEAS-2B cells </w:t>
      </w:r>
      <w:r>
        <w:rPr>
          <w:rFonts w:ascii="Times New Roman" w:hAnsi="Times New Roman" w:eastAsia="宋体" w:cs="Times New Roman"/>
          <w:kern w:val="0"/>
          <w:sz w:val="24"/>
          <w:szCs w:val="24"/>
          <w:shd w:val="clear" w:color="auto" w:fill="FFFFFF"/>
        </w:rPr>
        <w:t xml:space="preserve">(A), </w:t>
      </w:r>
      <w:r>
        <w:rPr>
          <w:rFonts w:ascii="Times New Roman" w:hAnsi="Times New Roman" w:cs="Times New Roman"/>
          <w:sz w:val="24"/>
          <w:szCs w:val="24"/>
        </w:rPr>
        <w:t>HUVECs</w:t>
      </w:r>
      <w:r>
        <w:rPr>
          <w:rFonts w:ascii="Times New Roman" w:hAnsi="Times New Roman" w:eastAsia="宋体" w:cs="Times New Roman"/>
          <w:kern w:val="0"/>
          <w:sz w:val="24"/>
          <w:szCs w:val="24"/>
          <w:shd w:val="clear" w:color="auto" w:fill="FFFFFF"/>
        </w:rPr>
        <w:t xml:space="preserve"> (B), and </w:t>
      </w:r>
      <w:r>
        <w:rPr>
          <w:rFonts w:ascii="Times New Roman" w:hAnsi="Times New Roman" w:cs="Times New Roman"/>
          <w:sz w:val="24"/>
          <w:szCs w:val="24"/>
        </w:rPr>
        <w:t xml:space="preserve">HBMECs </w:t>
      </w:r>
      <w:r>
        <w:rPr>
          <w:rFonts w:ascii="Times New Roman" w:hAnsi="Times New Roman" w:eastAsia="宋体" w:cs="Times New Roman"/>
          <w:kern w:val="0"/>
          <w:sz w:val="24"/>
          <w:szCs w:val="24"/>
          <w:shd w:val="clear" w:color="auto" w:fill="FFFFFF"/>
        </w:rPr>
        <w:t>(C)</w:t>
      </w:r>
      <w:r>
        <w:rPr>
          <w:rFonts w:ascii="Times New Roman" w:hAnsi="Times New Roman" w:cs="Times New Roman"/>
          <w:sz w:val="24"/>
          <w:szCs w:val="24"/>
          <w:shd w:val="clear" w:color="auto" w:fill="FFFFFF"/>
        </w:rPr>
        <w:t xml:space="preserve"> </w:t>
      </w:r>
      <w:r>
        <w:rPr>
          <w:rFonts w:ascii="Times New Roman" w:hAnsi="Times New Roman" w:eastAsia="宋体" w:cs="Times New Roman"/>
          <w:kern w:val="0"/>
          <w:sz w:val="24"/>
          <w:szCs w:val="24"/>
          <w:shd w:val="clear" w:color="auto" w:fill="FFFFFF"/>
        </w:rPr>
        <w:t xml:space="preserve">treated with various doses (0-40 μM) of CUR5g for 24 h. GAPDH is used as a loading control. </w:t>
      </w:r>
    </w:p>
    <w:p>
      <w:pPr>
        <w:spacing w:line="360" w:lineRule="auto"/>
        <w:rPr>
          <w:rFonts w:ascii="Times New Roman" w:hAnsi="Times New Roman" w:eastAsia="宋体" w:cs="Times New Roman"/>
          <w:kern w:val="0"/>
          <w:sz w:val="24"/>
          <w:szCs w:val="24"/>
          <w:shd w:val="clear" w:color="auto" w:fill="FFFFFF"/>
        </w:rPr>
      </w:pPr>
    </w:p>
    <w:p>
      <w:pPr>
        <w:spacing w:line="360" w:lineRule="auto"/>
        <w:rPr>
          <w:rFonts w:ascii="Times New Roman" w:hAnsi="Times New Roman" w:cs="Times New Roman"/>
          <w:sz w:val="24"/>
          <w:szCs w:val="24"/>
        </w:rPr>
      </w:pPr>
    </w:p>
    <w:p>
      <w:pPr>
        <w:spacing w:line="360" w:lineRule="auto"/>
        <w:jc w:val="center"/>
        <w:rPr>
          <w:rFonts w:ascii="Times New Roman" w:hAnsi="Times New Roman" w:cs="Times New Roman"/>
          <w:b/>
          <w:color w:val="000000"/>
          <w:sz w:val="24"/>
          <w:szCs w:val="24"/>
        </w:rPr>
      </w:pPr>
      <w:r>
        <w:rPr>
          <w:rFonts w:hint="eastAsia" w:ascii="Times New Roman" w:hAnsi="Times New Roman" w:cs="Times New Roman"/>
          <w:b/>
          <w:color w:val="000000"/>
          <w:sz w:val="24"/>
          <w:szCs w:val="24"/>
        </w:rPr>
        <w:drawing>
          <wp:inline distT="0" distB="0" distL="0" distR="0">
            <wp:extent cx="5039360" cy="2280920"/>
            <wp:effectExtent l="0" t="0" r="8890" b="508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039868" cy="2281428"/>
                    </a:xfrm>
                    <a:prstGeom prst="rect">
                      <a:avLst/>
                    </a:prstGeom>
                  </pic:spPr>
                </pic:pic>
              </a:graphicData>
            </a:graphic>
          </wp:inline>
        </w:drawing>
      </w:r>
    </w:p>
    <w:p>
      <w:pPr>
        <w:spacing w:line="480" w:lineRule="auto"/>
        <w:rPr>
          <w:rFonts w:ascii="Times New Roman" w:hAnsi="Times New Roman" w:cs="Times New Roman"/>
          <w:color w:val="FF0000"/>
          <w:sz w:val="24"/>
          <w:szCs w:val="24"/>
          <w:shd w:val="clear" w:color="auto" w:fill="FFFFFF"/>
        </w:rPr>
      </w:pPr>
      <w:r>
        <w:rPr>
          <w:rFonts w:ascii="Times New Roman" w:hAnsi="Times New Roman" w:cs="Times New Roman"/>
          <w:b/>
          <w:color w:val="000000"/>
          <w:sz w:val="24"/>
          <w:szCs w:val="24"/>
        </w:rPr>
        <w:t xml:space="preserve">Fig. S4 CUR5g blocks autophagy in a Rab7-independent manner. </w:t>
      </w:r>
      <w:r>
        <w:rPr>
          <w:rFonts w:ascii="Times New Roman" w:hAnsi="Times New Roman" w:cs="Times New Roman"/>
          <w:bCs/>
          <w:color w:val="000000"/>
          <w:sz w:val="24"/>
          <w:szCs w:val="24"/>
        </w:rPr>
        <w:t xml:space="preserve">A </w:t>
      </w:r>
      <w:r>
        <w:rPr>
          <w:rFonts w:ascii="Times New Roman" w:hAnsi="Times New Roman" w:cs="Times New Roman"/>
          <w:bCs/>
          <w:sz w:val="24"/>
          <w:szCs w:val="24"/>
        </w:rPr>
        <w:t xml:space="preserve">Western blot analysis of Rab7 levels in A549 cells treated with </w:t>
      </w:r>
      <w:r>
        <w:rPr>
          <w:rFonts w:ascii="Times New Roman" w:hAnsi="Times New Roman" w:eastAsia="宋体" w:cs="Times New Roman"/>
          <w:kern w:val="0"/>
          <w:sz w:val="24"/>
          <w:szCs w:val="24"/>
          <w:shd w:val="clear" w:color="auto" w:fill="FFFFFF"/>
        </w:rPr>
        <w:t xml:space="preserve">CUR5g (10 μM) for 0-24 h. GAPDH is used as a loading control. B </w:t>
      </w:r>
      <w:r>
        <w:rPr>
          <w:rFonts w:ascii="Times New Roman" w:hAnsi="Times New Roman" w:cs="Times New Roman"/>
          <w:bCs/>
          <w:sz w:val="24"/>
          <w:szCs w:val="24"/>
        </w:rPr>
        <w:t xml:space="preserve">Western blot analysis of LC3B-II and SQSTM1 levels in A549 cells transfected with </w:t>
      </w:r>
      <w:r>
        <w:rPr>
          <w:rFonts w:ascii="Times New Roman" w:hAnsi="Times New Roman" w:cs="Times New Roman"/>
          <w:color w:val="000000" w:themeColor="text1"/>
          <w:sz w:val="24"/>
          <w:szCs w:val="24"/>
          <w:shd w:val="clear" w:color="auto" w:fill="FFFFFF"/>
          <w14:textFill>
            <w14:solidFill>
              <w14:schemeClr w14:val="tx1"/>
            </w14:solidFill>
          </w14:textFill>
        </w:rPr>
        <w:t xml:space="preserve">wild-type pEGFP-Rab7 or the mutants Q67L or T22N in the presence of DMSO or CUR5g </w:t>
      </w:r>
      <w:r>
        <w:rPr>
          <w:rFonts w:ascii="Times New Roman" w:hAnsi="Times New Roman" w:eastAsia="宋体" w:cs="Times New Roman"/>
          <w:kern w:val="0"/>
          <w:sz w:val="24"/>
          <w:szCs w:val="24"/>
          <w:shd w:val="clear" w:color="auto" w:fill="FFFFFF"/>
        </w:rPr>
        <w:t xml:space="preserve">(10 μM) </w:t>
      </w:r>
      <w:r>
        <w:rPr>
          <w:rFonts w:hint="eastAsia" w:ascii="Times New Roman" w:hAnsi="Times New Roman" w:eastAsia="宋体" w:cs="Times New Roman"/>
          <w:kern w:val="0"/>
          <w:sz w:val="24"/>
          <w:szCs w:val="24"/>
          <w:shd w:val="clear" w:color="auto" w:fill="FFFFFF"/>
        </w:rPr>
        <w:t>for</w:t>
      </w:r>
      <w:r>
        <w:rPr>
          <w:rFonts w:ascii="Times New Roman" w:hAnsi="Times New Roman" w:eastAsia="宋体" w:cs="Times New Roman"/>
          <w:kern w:val="0"/>
          <w:sz w:val="24"/>
          <w:szCs w:val="24"/>
          <w:shd w:val="clear" w:color="auto" w:fill="FFFFFF"/>
        </w:rPr>
        <w:t xml:space="preserve"> 24 </w:t>
      </w:r>
      <w:r>
        <w:rPr>
          <w:rFonts w:hint="eastAsia" w:ascii="Times New Roman" w:hAnsi="Times New Roman" w:eastAsia="宋体" w:cs="Times New Roman"/>
          <w:kern w:val="0"/>
          <w:sz w:val="24"/>
          <w:szCs w:val="24"/>
          <w:shd w:val="clear" w:color="auto" w:fill="FFFFFF"/>
        </w:rPr>
        <w:t>h</w:t>
      </w:r>
      <w:r>
        <w:rPr>
          <w:rFonts w:ascii="Times New Roman" w:hAnsi="Times New Roman" w:cs="Times New Roman"/>
          <w:color w:val="FF0000"/>
          <w:sz w:val="24"/>
          <w:szCs w:val="24"/>
          <w:shd w:val="clear" w:color="auto" w:fill="FFFFFF"/>
        </w:rPr>
        <w:t>.</w:t>
      </w:r>
    </w:p>
    <w:p>
      <w:pPr>
        <w:spacing w:line="480" w:lineRule="auto"/>
        <w:rPr>
          <w:rFonts w:ascii="Times New Roman" w:hAnsi="Times New Roman" w:cs="Times New Roman"/>
          <w:color w:val="FF0000"/>
          <w:sz w:val="24"/>
          <w:szCs w:val="24"/>
          <w:shd w:val="clear" w:color="auto" w:fill="FFFFFF"/>
        </w:rPr>
      </w:pPr>
    </w:p>
    <w:p>
      <w:pPr>
        <w:spacing w:line="480" w:lineRule="auto"/>
        <w:rPr>
          <w:rFonts w:ascii="Times New Roman" w:hAnsi="Times New Roman" w:cs="Times New Roman"/>
          <w:color w:val="FF0000"/>
          <w:sz w:val="24"/>
          <w:szCs w:val="24"/>
          <w:shd w:val="clear" w:color="auto" w:fill="FFFFFF"/>
        </w:rPr>
      </w:pPr>
    </w:p>
    <w:p>
      <w:pPr>
        <w:spacing w:line="480" w:lineRule="auto"/>
        <w:rPr>
          <w:rFonts w:ascii="Times New Roman" w:hAnsi="Times New Roman" w:cs="Times New Roman"/>
          <w:color w:val="FF0000"/>
          <w:sz w:val="24"/>
          <w:szCs w:val="24"/>
          <w:shd w:val="clear" w:color="auto" w:fill="FFFFFF"/>
        </w:rPr>
      </w:pPr>
    </w:p>
    <w:p>
      <w:pPr>
        <w:spacing w:line="48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drawing>
          <wp:inline distT="0" distB="0" distL="0" distR="0">
            <wp:extent cx="3599180" cy="1691640"/>
            <wp:effectExtent l="0" t="0" r="1270" b="381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99688" cy="1691640"/>
                    </a:xfrm>
                    <a:prstGeom prst="rect">
                      <a:avLst/>
                    </a:prstGeom>
                  </pic:spPr>
                </pic:pic>
              </a:graphicData>
            </a:graphic>
          </wp:inline>
        </w:drawing>
      </w:r>
    </w:p>
    <w:p>
      <w:pPr>
        <w:spacing w:line="480" w:lineRule="auto"/>
        <w:rPr>
          <w:rFonts w:ascii="Times New Roman" w:hAnsi="Times New Roman" w:eastAsia="宋体" w:cs="Times New Roman"/>
          <w:kern w:val="0"/>
          <w:sz w:val="24"/>
          <w:szCs w:val="24"/>
          <w:shd w:val="clear" w:color="auto" w:fill="FFFFFF"/>
        </w:rPr>
      </w:pPr>
      <w:r>
        <w:rPr>
          <w:rFonts w:ascii="Times New Roman" w:hAnsi="Times New Roman" w:cs="Times New Roman"/>
          <w:b/>
          <w:color w:val="000000"/>
          <w:sz w:val="24"/>
          <w:szCs w:val="24"/>
        </w:rPr>
        <w:t>Fig. S5 CUR5</w:t>
      </w:r>
      <w:r>
        <w:rPr>
          <w:rFonts w:hint="eastAsia" w:ascii="Times New Roman" w:hAnsi="Times New Roman" w:cs="Times New Roman"/>
          <w:b/>
          <w:color w:val="000000"/>
          <w:sz w:val="24"/>
          <w:szCs w:val="24"/>
        </w:rPr>
        <w:t>g</w:t>
      </w:r>
      <w:r>
        <w:rPr>
          <w:rFonts w:ascii="Times New Roman" w:hAnsi="Times New Roman" w:cs="Times New Roman"/>
          <w:b/>
          <w:color w:val="000000"/>
          <w:sz w:val="24"/>
          <w:szCs w:val="24"/>
        </w:rPr>
        <w:t xml:space="preserve"> decreases UVRAG mRNA level in A549 cells. </w:t>
      </w:r>
      <w:r>
        <w:rPr>
          <w:rFonts w:ascii="Times New Roman" w:hAnsi="Times New Roman" w:eastAsia="宋体" w:cs="Times New Roman"/>
          <w:kern w:val="0"/>
          <w:sz w:val="24"/>
          <w:szCs w:val="24"/>
          <w:shd w:val="clear" w:color="auto" w:fill="FFFFFF"/>
        </w:rPr>
        <w:t xml:space="preserve">qRT-PCR analysis of UVRAG mRNA level in A549 cells treated with CUR5g (10 μM) for 0-15 h. </w:t>
      </w:r>
    </w:p>
    <w:p>
      <w:pPr>
        <w:spacing w:line="480" w:lineRule="auto"/>
        <w:rPr>
          <w:rFonts w:ascii="Times New Roman" w:hAnsi="Times New Roman" w:eastAsia="宋体" w:cs="Times New Roman"/>
          <w:kern w:val="0"/>
          <w:sz w:val="24"/>
          <w:szCs w:val="24"/>
          <w:shd w:val="clear" w:color="auto" w:fill="FFFFFF"/>
        </w:rPr>
      </w:pPr>
    </w:p>
    <w:p>
      <w:pPr>
        <w:spacing w:line="480" w:lineRule="auto"/>
        <w:jc w:val="center"/>
        <w:rPr>
          <w:rFonts w:ascii="Times New Roman" w:hAnsi="Times New Roman" w:eastAsia="宋体" w:cs="Times New Roman"/>
          <w:kern w:val="0"/>
          <w:sz w:val="24"/>
          <w:szCs w:val="24"/>
          <w:shd w:val="clear" w:color="auto" w:fill="FFFFFF"/>
        </w:rPr>
      </w:pPr>
      <w:r>
        <w:rPr>
          <w:rFonts w:hint="eastAsia" w:ascii="Times New Roman" w:hAnsi="Times New Roman" w:eastAsia="宋体" w:cs="Times New Roman"/>
          <w:kern w:val="0"/>
          <w:sz w:val="24"/>
          <w:szCs w:val="24"/>
          <w:shd w:val="clear" w:color="auto" w:fill="FFFFFF"/>
        </w:rPr>
        <w:drawing>
          <wp:inline distT="0" distB="0" distL="0" distR="0">
            <wp:extent cx="5039360" cy="2195830"/>
            <wp:effectExtent l="0" t="0" r="889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039868" cy="2196084"/>
                    </a:xfrm>
                    <a:prstGeom prst="rect">
                      <a:avLst/>
                    </a:prstGeom>
                  </pic:spPr>
                </pic:pic>
              </a:graphicData>
            </a:graphic>
          </wp:inline>
        </w:drawing>
      </w:r>
    </w:p>
    <w:p>
      <w:pPr>
        <w:spacing w:line="360" w:lineRule="auto"/>
        <w:rPr>
          <w:rFonts w:ascii="Times New Roman" w:hAnsi="Times New Roman" w:eastAsia="宋体" w:cs="Times New Roman"/>
          <w:kern w:val="0"/>
          <w:sz w:val="24"/>
          <w:szCs w:val="24"/>
          <w:shd w:val="clear" w:color="auto" w:fill="FFFFFF"/>
        </w:rPr>
      </w:pPr>
      <w:r>
        <w:rPr>
          <w:rFonts w:ascii="Times New Roman" w:hAnsi="Times New Roman" w:cs="Times New Roman"/>
          <w:b/>
          <w:color w:val="000000"/>
          <w:sz w:val="24"/>
          <w:szCs w:val="24"/>
        </w:rPr>
        <w:t xml:space="preserve">Fig. S6 The binding interaction details of CUR5g with key amino acid residues on the best model of UVRAG. </w:t>
      </w:r>
      <w:r>
        <w:rPr>
          <w:rFonts w:ascii="Times New Roman" w:hAnsi="Times New Roman" w:eastAsia="宋体" w:cs="Times New Roman"/>
          <w:kern w:val="0"/>
          <w:sz w:val="24"/>
          <w:szCs w:val="24"/>
          <w:shd w:val="clear" w:color="auto" w:fill="FFFFFF"/>
        </w:rPr>
        <w:t xml:space="preserve">The backbone structure and molecular surface of the UVRAG model bound with the computed most favorable conformation of CUR5g (carbon atoms in light blue). The negative-charged surface is indicated as red and positive charged as blue. The binding interaction details of CUR5g with key amino acid residues (carbon atoms in yellow), pi-pi stacking (light blue) is depicted with dashes. </w:t>
      </w:r>
    </w:p>
    <w:p>
      <w:pPr>
        <w:spacing w:line="360" w:lineRule="auto"/>
        <w:rPr>
          <w:rFonts w:ascii="Times New Roman" w:hAnsi="Times New Roman" w:eastAsia="宋体" w:cs="Times New Roman"/>
          <w:kern w:val="0"/>
          <w:sz w:val="24"/>
          <w:szCs w:val="24"/>
          <w:shd w:val="clear" w:color="auto" w:fill="FFFFFF"/>
        </w:rPr>
      </w:pPr>
    </w:p>
    <w:p>
      <w:pPr>
        <w:spacing w:line="360" w:lineRule="auto"/>
        <w:rPr>
          <w:rFonts w:ascii="Times New Roman" w:hAnsi="Times New Roman" w:eastAsia="宋体" w:cs="Times New Roman"/>
          <w:kern w:val="0"/>
          <w:sz w:val="24"/>
          <w:szCs w:val="24"/>
          <w:shd w:val="clear" w:color="auto" w:fill="FFFFFF"/>
        </w:rPr>
      </w:pPr>
    </w:p>
    <w:p>
      <w:pPr>
        <w:spacing w:line="360" w:lineRule="auto"/>
        <w:rPr>
          <w:rFonts w:ascii="Times New Roman" w:hAnsi="Times New Roman" w:eastAsia="宋体" w:cs="Times New Roman"/>
          <w:kern w:val="0"/>
          <w:sz w:val="24"/>
          <w:szCs w:val="24"/>
          <w:shd w:val="clear" w:color="auto" w:fill="FFFFFF"/>
        </w:rPr>
      </w:pPr>
    </w:p>
    <w:p>
      <w:pPr>
        <w:spacing w:line="360" w:lineRule="auto"/>
        <w:rPr>
          <w:rFonts w:ascii="Times New Roman" w:hAnsi="Times New Roman" w:cs="Times New Roman"/>
          <w:b/>
          <w:color w:val="000000"/>
          <w:sz w:val="24"/>
          <w:szCs w:val="24"/>
        </w:rPr>
      </w:pPr>
      <w:r>
        <w:rPr>
          <w:rFonts w:ascii="Times New Roman" w:hAnsi="Times New Roman" w:cs="Times New Roman"/>
          <w:b/>
          <w:color w:val="000000"/>
          <w:sz w:val="24"/>
          <w:szCs w:val="24"/>
        </w:rPr>
        <w:drawing>
          <wp:inline distT="0" distB="0" distL="0" distR="0">
            <wp:extent cx="5274310" cy="1210310"/>
            <wp:effectExtent l="0" t="0" r="2540" b="889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1210310"/>
                    </a:xfrm>
                    <a:prstGeom prst="rect">
                      <a:avLst/>
                    </a:prstGeom>
                  </pic:spPr>
                </pic:pic>
              </a:graphicData>
            </a:graphic>
          </wp:inline>
        </w:drawing>
      </w:r>
    </w:p>
    <w:p>
      <w:pPr>
        <w:spacing w:line="360" w:lineRule="auto"/>
        <w:rPr>
          <w:rFonts w:ascii="Times New Roman" w:hAnsi="Times New Roman" w:eastAsia="宋体" w:cs="Times New Roman"/>
          <w:bCs/>
          <w:kern w:val="0"/>
          <w:sz w:val="24"/>
          <w:szCs w:val="24"/>
          <w:shd w:val="clear" w:color="auto" w:fill="FFFFFF"/>
        </w:rPr>
      </w:pPr>
      <w:r>
        <w:rPr>
          <w:rFonts w:ascii="Times New Roman" w:hAnsi="Times New Roman" w:eastAsia="宋体" w:cs="Times New Roman"/>
          <w:b/>
          <w:bCs/>
          <w:kern w:val="0"/>
          <w:sz w:val="24"/>
          <w:szCs w:val="24"/>
          <w:shd w:val="clear" w:color="auto" w:fill="FFFFFF"/>
        </w:rPr>
        <w:t xml:space="preserve">Fig. S7 </w:t>
      </w:r>
      <w:r>
        <w:rPr>
          <w:rFonts w:ascii="Times New Roman" w:hAnsi="Times New Roman" w:eastAsia="宋体" w:cs="Times New Roman"/>
          <w:b/>
          <w:kern w:val="0"/>
          <w:sz w:val="24"/>
          <w:szCs w:val="24"/>
          <w:shd w:val="clear" w:color="auto" w:fill="FFFFFF"/>
        </w:rPr>
        <w:t xml:space="preserve">CUR5g weakens the interaction between UVRAG and VPS16. </w:t>
      </w:r>
      <w:r>
        <w:rPr>
          <w:rFonts w:ascii="Times New Roman" w:hAnsi="Times New Roman" w:eastAsia="宋体" w:cs="Times New Roman"/>
          <w:bCs/>
          <w:kern w:val="0"/>
          <w:sz w:val="24"/>
          <w:szCs w:val="24"/>
          <w:shd w:val="clear" w:color="auto" w:fill="FFFFFF"/>
        </w:rPr>
        <w:t>A Representative fluorescence images of the colocalization of UVRAG (green) and VPS16 (red). Nuclei were stained with DAPI. The line scanned proﬁles show the distribution of ﬂuorescence for each channel in the white line in the corresponding confocal images. Scale bar = 5 μ</w:t>
      </w:r>
      <w:r>
        <w:rPr>
          <w:rFonts w:hint="eastAsia" w:ascii="Times New Roman" w:hAnsi="Times New Roman" w:eastAsia="宋体" w:cs="Times New Roman"/>
          <w:bCs/>
          <w:kern w:val="0"/>
          <w:sz w:val="24"/>
          <w:szCs w:val="24"/>
          <w:shd w:val="clear" w:color="auto" w:fill="FFFFFF"/>
        </w:rPr>
        <w:t>m</w:t>
      </w:r>
      <w:r>
        <w:rPr>
          <w:rFonts w:ascii="Times New Roman" w:hAnsi="Times New Roman" w:eastAsia="宋体" w:cs="Times New Roman"/>
          <w:bCs/>
          <w:kern w:val="0"/>
          <w:sz w:val="24"/>
          <w:szCs w:val="24"/>
          <w:shd w:val="clear" w:color="auto" w:fill="FFFFFF"/>
        </w:rPr>
        <w:t>. B</w:t>
      </w:r>
      <w:r>
        <w:rPr>
          <w:rFonts w:ascii="Times New Roman" w:hAnsi="Times New Roman" w:eastAsia="宋体" w:cs="Times New Roman"/>
          <w:bCs/>
          <w:color w:val="0D0D0D" w:themeColor="text1" w:themeTint="F2"/>
          <w:kern w:val="0"/>
          <w:sz w:val="24"/>
          <w:szCs w:val="24"/>
          <w:shd w:val="clear" w:color="auto" w:fill="FFFFFF"/>
          <w14:textFill>
            <w14:solidFill>
              <w14:schemeClr w14:val="tx1">
                <w14:lumMod w14:val="95000"/>
                <w14:lumOff w14:val="5000"/>
              </w14:schemeClr>
            </w14:solidFill>
          </w14:textFill>
        </w:rPr>
        <w:t xml:space="preserve"> The extracts of A549 cells were immunoprecipitated with anti-UVRAG antibody and analyzed by western blot with anti-UVRAG and anti-VPS16 antibodies. </w:t>
      </w:r>
    </w:p>
    <w:p>
      <w:pPr>
        <w:spacing w:line="480" w:lineRule="auto"/>
        <w:rPr>
          <w:rFonts w:ascii="Times New Roman" w:hAnsi="Times New Roman" w:cs="Times New Roman"/>
          <w:color w:val="FF0000"/>
          <w:sz w:val="24"/>
          <w:szCs w:val="24"/>
          <w:shd w:val="clear" w:color="auto" w:fill="FFFFFF"/>
        </w:rPr>
      </w:pPr>
    </w:p>
    <w:p>
      <w:pPr>
        <w:spacing w:line="480" w:lineRule="auto"/>
        <w:jc w:val="center"/>
        <w:rPr>
          <w:rFonts w:ascii="Times New Roman" w:hAnsi="Times New Roman" w:eastAsia="宋体" w:cs="Times New Roman"/>
          <w:kern w:val="0"/>
          <w:sz w:val="24"/>
          <w:szCs w:val="24"/>
          <w:shd w:val="clear" w:color="auto" w:fill="FFFFFF"/>
        </w:rPr>
      </w:pPr>
    </w:p>
    <w:p>
      <w:pPr>
        <w:spacing w:line="480" w:lineRule="auto"/>
        <w:jc w:val="center"/>
        <w:rPr>
          <w:rFonts w:ascii="Times New Roman" w:hAnsi="Times New Roman" w:eastAsia="宋体" w:cs="Times New Roman"/>
          <w:kern w:val="0"/>
          <w:sz w:val="24"/>
          <w:szCs w:val="24"/>
          <w:shd w:val="clear" w:color="auto" w:fill="FFFFFF"/>
        </w:rPr>
      </w:pPr>
      <w:r>
        <w:rPr>
          <w:rFonts w:hint="eastAsia" w:ascii="Times New Roman" w:hAnsi="Times New Roman" w:eastAsia="宋体" w:cs="Times New Roman"/>
          <w:kern w:val="0"/>
          <w:sz w:val="24"/>
          <w:szCs w:val="24"/>
          <w:shd w:val="clear" w:color="auto" w:fill="FFFFFF"/>
        </w:rPr>
        <w:drawing>
          <wp:inline distT="0" distB="0" distL="0" distR="0">
            <wp:extent cx="2520315" cy="143065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20696" cy="1431036"/>
                    </a:xfrm>
                    <a:prstGeom prst="rect">
                      <a:avLst/>
                    </a:prstGeom>
                  </pic:spPr>
                </pic:pic>
              </a:graphicData>
            </a:graphic>
          </wp:inline>
        </w:drawing>
      </w:r>
    </w:p>
    <w:p>
      <w:pPr>
        <w:spacing w:line="360" w:lineRule="auto"/>
        <w:rPr>
          <w:rFonts w:ascii="Times New Roman" w:hAnsi="Times New Roman" w:eastAsia="宋体" w:cs="Times New Roman"/>
          <w:b/>
          <w:kern w:val="0"/>
          <w:sz w:val="24"/>
          <w:szCs w:val="24"/>
          <w:shd w:val="clear" w:color="auto" w:fill="FFFFFF"/>
        </w:rPr>
      </w:pPr>
      <w:r>
        <w:rPr>
          <w:rFonts w:ascii="Times New Roman" w:hAnsi="Times New Roman" w:eastAsia="宋体" w:cs="Times New Roman"/>
          <w:b/>
          <w:bCs/>
          <w:color w:val="000000" w:themeColor="text1"/>
          <w:kern w:val="0"/>
          <w:sz w:val="24"/>
          <w:szCs w:val="24"/>
          <w:shd w:val="clear" w:color="auto" w:fill="FFFFFF"/>
          <w14:textFill>
            <w14:solidFill>
              <w14:schemeClr w14:val="tx1"/>
            </w14:solidFill>
          </w14:textFill>
        </w:rPr>
        <w:t xml:space="preserve">Fig. S8 Effects of </w:t>
      </w:r>
      <w:r>
        <w:rPr>
          <w:rFonts w:ascii="Times New Roman" w:hAnsi="Times New Roman" w:eastAsia="宋体" w:cs="Times New Roman"/>
          <w:b/>
          <w:kern w:val="0"/>
          <w:sz w:val="24"/>
          <w:szCs w:val="24"/>
          <w:shd w:val="clear" w:color="auto" w:fill="FFFFFF"/>
        </w:rPr>
        <w:t xml:space="preserve">CUR5g on the cell viability of normal HUVECs. </w:t>
      </w:r>
      <w:r>
        <w:rPr>
          <w:rFonts w:ascii="Times New Roman" w:hAnsi="Times New Roman" w:eastAsia="宋体" w:cs="Times New Roman"/>
          <w:bCs/>
          <w:kern w:val="0"/>
          <w:sz w:val="24"/>
          <w:szCs w:val="24"/>
          <w:shd w:val="clear" w:color="auto" w:fill="FFFFFF"/>
        </w:rPr>
        <w:t>Cell number was monitored over 96 h in a real-time manner using an xCELLigence RTCA S16 System. Cell-sensor impedance is displayed as the cell index. CUR5g (0-40</w:t>
      </w:r>
      <w:r>
        <w:rPr>
          <w:rFonts w:ascii="Times New Roman" w:hAnsi="Times New Roman" w:eastAsia="宋体" w:cs="Times New Roman"/>
          <w:kern w:val="0"/>
          <w:sz w:val="24"/>
          <w:szCs w:val="24"/>
          <w:shd w:val="clear" w:color="auto" w:fill="FFFFFF"/>
        </w:rPr>
        <w:t xml:space="preserve"> μM</w:t>
      </w:r>
      <w:r>
        <w:rPr>
          <w:rFonts w:ascii="Times New Roman" w:hAnsi="Times New Roman" w:eastAsia="宋体" w:cs="Times New Roman"/>
          <w:bCs/>
          <w:kern w:val="0"/>
          <w:sz w:val="24"/>
          <w:szCs w:val="24"/>
          <w:shd w:val="clear" w:color="auto" w:fill="FFFFFF"/>
        </w:rPr>
        <w:t>) was added after the cells were seeded into the plates for 24 h.</w:t>
      </w:r>
    </w:p>
    <w:p>
      <w:pPr>
        <w:spacing w:line="360" w:lineRule="auto"/>
        <w:jc w:val="center"/>
        <w:rPr>
          <w:rFonts w:ascii="Times New Roman" w:hAnsi="Times New Roman" w:eastAsia="宋体" w:cs="Times New Roman"/>
          <w:b/>
          <w:kern w:val="0"/>
          <w:sz w:val="24"/>
          <w:szCs w:val="24"/>
          <w:shd w:val="clear" w:color="auto" w:fill="FFFFFF"/>
        </w:rPr>
      </w:pPr>
    </w:p>
    <w:p>
      <w:pPr>
        <w:spacing w:line="360" w:lineRule="auto"/>
        <w:jc w:val="center"/>
        <w:rPr>
          <w:rFonts w:ascii="Times New Roman" w:hAnsi="Times New Roman" w:eastAsia="宋体" w:cs="Times New Roman"/>
          <w:b/>
          <w:kern w:val="0"/>
          <w:sz w:val="24"/>
          <w:szCs w:val="24"/>
          <w:shd w:val="clear" w:color="auto" w:fill="FFFFFF"/>
        </w:rPr>
      </w:pPr>
    </w:p>
    <w:p>
      <w:pPr>
        <w:spacing w:line="360" w:lineRule="auto"/>
        <w:jc w:val="center"/>
        <w:rPr>
          <w:rFonts w:ascii="Times New Roman" w:hAnsi="Times New Roman" w:eastAsia="宋体" w:cs="Times New Roman"/>
          <w:b/>
          <w:kern w:val="0"/>
          <w:sz w:val="24"/>
          <w:szCs w:val="24"/>
          <w:shd w:val="clear" w:color="auto" w:fill="FFFFFF"/>
        </w:rPr>
      </w:pPr>
    </w:p>
    <w:p>
      <w:pPr>
        <w:spacing w:line="360" w:lineRule="auto"/>
        <w:jc w:val="center"/>
        <w:rPr>
          <w:rFonts w:ascii="Times New Roman" w:hAnsi="Times New Roman" w:eastAsia="宋体" w:cs="Times New Roman"/>
          <w:b/>
          <w:kern w:val="0"/>
          <w:sz w:val="24"/>
          <w:szCs w:val="24"/>
          <w:shd w:val="clear" w:color="auto" w:fill="FFFFFF"/>
        </w:rPr>
      </w:pPr>
    </w:p>
    <w:p>
      <w:pPr>
        <w:spacing w:line="360" w:lineRule="auto"/>
        <w:jc w:val="center"/>
        <w:rPr>
          <w:rFonts w:ascii="Times New Roman" w:hAnsi="Times New Roman" w:eastAsia="宋体" w:cs="Times New Roman"/>
          <w:b/>
          <w:kern w:val="0"/>
          <w:sz w:val="24"/>
          <w:szCs w:val="24"/>
          <w:shd w:val="clear" w:color="auto" w:fill="FFFFFF"/>
        </w:rPr>
      </w:pPr>
    </w:p>
    <w:p>
      <w:pPr>
        <w:spacing w:line="360" w:lineRule="auto"/>
        <w:jc w:val="center"/>
        <w:rPr>
          <w:rFonts w:ascii="Times New Roman" w:hAnsi="Times New Roman" w:eastAsia="宋体" w:cs="Times New Roman"/>
          <w:b/>
          <w:kern w:val="0"/>
          <w:sz w:val="24"/>
          <w:szCs w:val="24"/>
          <w:shd w:val="clear" w:color="auto" w:fill="FFFFFF"/>
        </w:rPr>
      </w:pPr>
    </w:p>
    <w:p>
      <w:pPr>
        <w:spacing w:line="360" w:lineRule="auto"/>
        <w:jc w:val="center"/>
        <w:rPr>
          <w:rFonts w:ascii="Times New Roman" w:hAnsi="Times New Roman" w:eastAsia="宋体" w:cs="Times New Roman"/>
          <w:b/>
          <w:kern w:val="0"/>
          <w:sz w:val="24"/>
          <w:szCs w:val="24"/>
          <w:shd w:val="clear" w:color="auto" w:fill="FFFFFF"/>
        </w:rPr>
      </w:pPr>
      <w:r>
        <w:rPr>
          <w:rFonts w:hint="eastAsia" w:ascii="Times New Roman" w:hAnsi="Times New Roman" w:eastAsia="宋体" w:cs="Times New Roman"/>
          <w:b/>
          <w:kern w:val="0"/>
          <w:sz w:val="24"/>
          <w:szCs w:val="24"/>
          <w:shd w:val="clear" w:color="auto" w:fill="FFFFFF"/>
        </w:rPr>
        <w:drawing>
          <wp:inline distT="0" distB="0" distL="0" distR="0">
            <wp:extent cx="3982085" cy="381571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985767" cy="3819253"/>
                    </a:xfrm>
                    <a:prstGeom prst="rect">
                      <a:avLst/>
                    </a:prstGeom>
                  </pic:spPr>
                </pic:pic>
              </a:graphicData>
            </a:graphic>
          </wp:inline>
        </w:drawing>
      </w:r>
    </w:p>
    <w:p>
      <w:pPr>
        <w:spacing w:line="360" w:lineRule="auto"/>
        <w:rPr>
          <w:rFonts w:ascii="Times New Roman" w:hAnsi="Times New Roman" w:eastAsia="宋体" w:cs="Times New Roman"/>
          <w:b/>
          <w:color w:val="000000" w:themeColor="text1"/>
          <w:kern w:val="0"/>
          <w:sz w:val="24"/>
          <w:szCs w:val="24"/>
          <w:highlight w:val="none"/>
          <w:shd w:val="clear" w:color="auto" w:fill="FFFFFF"/>
          <w14:textFill>
            <w14:solidFill>
              <w14:schemeClr w14:val="tx1"/>
            </w14:solidFill>
          </w14:textFill>
        </w:rPr>
      </w:pPr>
      <w:r>
        <w:rPr>
          <w:rFonts w:ascii="Times New Roman" w:hAnsi="Times New Roman" w:eastAsia="宋体" w:cs="Times New Roman"/>
          <w:b/>
          <w:bCs/>
          <w:color w:val="000000" w:themeColor="text1"/>
          <w:kern w:val="0"/>
          <w:sz w:val="24"/>
          <w:szCs w:val="24"/>
          <w:highlight w:val="none"/>
          <w:shd w:val="clear" w:color="auto" w:fill="FFFFFF"/>
          <w14:textFill>
            <w14:solidFill>
              <w14:schemeClr w14:val="tx1"/>
            </w14:solidFill>
          </w14:textFill>
        </w:rPr>
        <w:t xml:space="preserve">Fig. S9 Effects of </w:t>
      </w:r>
      <w:r>
        <w:rPr>
          <w:rFonts w:ascii="Times New Roman" w:hAnsi="Times New Roman" w:eastAsia="宋体" w:cs="Times New Roman"/>
          <w:b/>
          <w:color w:val="000000" w:themeColor="text1"/>
          <w:kern w:val="0"/>
          <w:sz w:val="24"/>
          <w:szCs w:val="24"/>
          <w:highlight w:val="none"/>
          <w:shd w:val="clear" w:color="auto" w:fill="FFFFFF"/>
          <w14:textFill>
            <w14:solidFill>
              <w14:schemeClr w14:val="tx1"/>
            </w14:solidFill>
          </w14:textFill>
        </w:rPr>
        <w:t>CUR5g on the level of UVRAG and the UVRAG-VPS16 interaction in normal HUVECs. A</w:t>
      </w:r>
      <w:r>
        <w:rPr>
          <w:rFonts w:ascii="Times New Roman" w:hAnsi="Times New Roman" w:eastAsia="宋体" w:cs="Times New Roman"/>
          <w:color w:val="000000" w:themeColor="text1"/>
          <w:kern w:val="0"/>
          <w:sz w:val="24"/>
          <w:szCs w:val="24"/>
          <w:highlight w:val="none"/>
          <w:shd w:val="clear" w:color="auto" w:fill="FFFFFF"/>
          <w:lang w:bidi="ar"/>
          <w14:textFill>
            <w14:solidFill>
              <w14:schemeClr w14:val="tx1"/>
            </w14:solidFill>
          </w14:textFill>
        </w:rPr>
        <w:t xml:space="preserve"> qRT-PCR analysis of UVRAG mRNA levels in A549 cells and HUVECs. B </w:t>
      </w:r>
      <w:r>
        <w:rPr>
          <w:rFonts w:ascii="Times New Roman" w:hAnsi="Times New Roman" w:cs="Times New Roman"/>
          <w:bCs/>
          <w:color w:val="000000" w:themeColor="text1"/>
          <w:sz w:val="24"/>
          <w:szCs w:val="24"/>
          <w:highlight w:val="none"/>
          <w14:textFill>
            <w14:solidFill>
              <w14:schemeClr w14:val="tx1"/>
            </w14:solidFill>
          </w14:textFill>
        </w:rPr>
        <w:t xml:space="preserve">Western blot analysis of UVRAG levels </w:t>
      </w:r>
      <w:r>
        <w:rPr>
          <w:rFonts w:ascii="Times New Roman" w:hAnsi="Times New Roman" w:eastAsia="宋体" w:cs="Times New Roman"/>
          <w:color w:val="000000" w:themeColor="text1"/>
          <w:kern w:val="0"/>
          <w:sz w:val="24"/>
          <w:szCs w:val="24"/>
          <w:highlight w:val="none"/>
          <w:shd w:val="clear" w:color="auto" w:fill="FFFFFF"/>
          <w:lang w:bidi="ar"/>
          <w14:textFill>
            <w14:solidFill>
              <w14:schemeClr w14:val="tx1"/>
            </w14:solidFill>
          </w14:textFill>
        </w:rPr>
        <w:t xml:space="preserve">in A549 cells and HUVECs. C </w:t>
      </w:r>
      <w:r>
        <w:rPr>
          <w:rFonts w:ascii="Times New Roman" w:hAnsi="Times New Roman" w:cs="Times New Roman"/>
          <w:bCs/>
          <w:color w:val="000000" w:themeColor="text1"/>
          <w:sz w:val="24"/>
          <w:szCs w:val="24"/>
          <w:highlight w:val="none"/>
          <w14:textFill>
            <w14:solidFill>
              <w14:schemeClr w14:val="tx1"/>
            </w14:solidFill>
          </w14:textFill>
        </w:rPr>
        <w:t xml:space="preserve">Western blot analysis of UVRAG levels </w:t>
      </w:r>
      <w:r>
        <w:rPr>
          <w:rFonts w:ascii="Times New Roman" w:hAnsi="Times New Roman" w:eastAsia="宋体" w:cs="Times New Roman"/>
          <w:color w:val="000000" w:themeColor="text1"/>
          <w:kern w:val="0"/>
          <w:sz w:val="24"/>
          <w:szCs w:val="24"/>
          <w:highlight w:val="none"/>
          <w:shd w:val="clear" w:color="auto" w:fill="FFFFFF"/>
          <w:lang w:bidi="ar"/>
          <w14:textFill>
            <w14:solidFill>
              <w14:schemeClr w14:val="tx1"/>
            </w14:solidFill>
          </w14:textFill>
        </w:rPr>
        <w:t xml:space="preserve">in HUVECs treated with various doses (0-100 μM) of CUR5g for 24 h. D </w:t>
      </w:r>
      <w:r>
        <w:rPr>
          <w:rFonts w:ascii="Times New Roman" w:hAnsi="Times New Roman" w:eastAsia="宋体" w:cs="Times New Roman"/>
          <w:bCs/>
          <w:color w:val="000000" w:themeColor="text1"/>
          <w:kern w:val="0"/>
          <w:sz w:val="24"/>
          <w:szCs w:val="24"/>
          <w:highlight w:val="none"/>
          <w:shd w:val="clear" w:color="auto" w:fill="FFFFFF"/>
          <w14:textFill>
            <w14:solidFill>
              <w14:schemeClr w14:val="tx1"/>
            </w14:solidFill>
          </w14:textFill>
        </w:rPr>
        <w:t>Representative fluorescence images of the colocalization of UVRAG (green) and VPS16 (red). Nuclei were stained with DAPI. The line scanned proﬁles show the distribution of ﬂuorescence for each channel in the white line in the corresponding confocal images. Scale bar = 5 μ</w:t>
      </w:r>
      <w:r>
        <w:rPr>
          <w:rFonts w:hint="eastAsia" w:ascii="Times New Roman" w:hAnsi="Times New Roman" w:eastAsia="宋体" w:cs="Times New Roman"/>
          <w:bCs/>
          <w:color w:val="000000" w:themeColor="text1"/>
          <w:kern w:val="0"/>
          <w:sz w:val="24"/>
          <w:szCs w:val="24"/>
          <w:highlight w:val="none"/>
          <w:shd w:val="clear" w:color="auto" w:fill="FFFFFF"/>
          <w14:textFill>
            <w14:solidFill>
              <w14:schemeClr w14:val="tx1"/>
            </w14:solidFill>
          </w14:textFill>
        </w:rPr>
        <w:t>m</w:t>
      </w:r>
      <w:r>
        <w:rPr>
          <w:rFonts w:ascii="Times New Roman" w:hAnsi="Times New Roman" w:eastAsia="宋体" w:cs="Times New Roman"/>
          <w:bCs/>
          <w:color w:val="000000" w:themeColor="text1"/>
          <w:kern w:val="0"/>
          <w:sz w:val="24"/>
          <w:szCs w:val="24"/>
          <w:highlight w:val="none"/>
          <w:shd w:val="clear" w:color="auto" w:fill="FFFFFF"/>
          <w14:textFill>
            <w14:solidFill>
              <w14:schemeClr w14:val="tx1"/>
            </w14:solidFill>
          </w14:textFill>
        </w:rPr>
        <w:t>.</w:t>
      </w:r>
    </w:p>
    <w:p>
      <w:pPr>
        <w:spacing w:line="360" w:lineRule="auto"/>
        <w:rPr>
          <w:rFonts w:ascii="Times New Roman" w:hAnsi="Times New Roman" w:eastAsia="宋体" w:cs="Times New Roman"/>
          <w:b/>
          <w:kern w:val="0"/>
          <w:sz w:val="24"/>
          <w:szCs w:val="24"/>
          <w:highlight w:val="yellow"/>
          <w:shd w:val="clear" w:color="auto" w:fill="FFFFFF"/>
        </w:rPr>
      </w:pPr>
    </w:p>
    <w:p>
      <w:pPr>
        <w:spacing w:line="360" w:lineRule="auto"/>
        <w:jc w:val="center"/>
        <w:rPr>
          <w:rFonts w:ascii="Times New Roman" w:hAnsi="Times New Roman" w:eastAsia="宋体" w:cs="Times New Roman"/>
          <w:b/>
          <w:kern w:val="0"/>
          <w:sz w:val="24"/>
          <w:szCs w:val="24"/>
          <w:shd w:val="clear" w:color="auto" w:fill="FFFFFF"/>
        </w:rPr>
      </w:pPr>
    </w:p>
    <w:p>
      <w:pPr>
        <w:spacing w:line="360" w:lineRule="auto"/>
        <w:jc w:val="center"/>
        <w:rPr>
          <w:rFonts w:ascii="Times New Roman" w:hAnsi="Times New Roman" w:eastAsia="宋体" w:cs="Times New Roman"/>
          <w:b/>
          <w:kern w:val="0"/>
          <w:sz w:val="24"/>
          <w:szCs w:val="24"/>
          <w:shd w:val="clear" w:color="auto" w:fill="FFFFFF"/>
        </w:rPr>
      </w:pPr>
    </w:p>
    <w:p>
      <w:pPr>
        <w:spacing w:line="360" w:lineRule="auto"/>
        <w:jc w:val="center"/>
        <w:rPr>
          <w:rFonts w:ascii="Times New Roman" w:hAnsi="Times New Roman" w:eastAsia="宋体" w:cs="Times New Roman"/>
          <w:b/>
          <w:kern w:val="0"/>
          <w:sz w:val="24"/>
          <w:szCs w:val="24"/>
          <w:shd w:val="clear" w:color="auto" w:fill="FFFFFF"/>
        </w:rPr>
      </w:pPr>
    </w:p>
    <w:p>
      <w:pPr>
        <w:spacing w:line="360" w:lineRule="auto"/>
        <w:jc w:val="center"/>
        <w:rPr>
          <w:rFonts w:hint="eastAsia" w:ascii="Times New Roman" w:hAnsi="Times New Roman" w:eastAsia="宋体" w:cs="Times New Roman"/>
          <w:b/>
          <w:kern w:val="0"/>
          <w:sz w:val="24"/>
          <w:szCs w:val="24"/>
          <w:shd w:val="clear" w:color="auto" w:fill="FFFFFF"/>
        </w:rPr>
      </w:pPr>
    </w:p>
    <w:p>
      <w:pPr>
        <w:spacing w:line="360" w:lineRule="auto"/>
        <w:jc w:val="center"/>
        <w:rPr>
          <w:rFonts w:ascii="Times New Roman" w:hAnsi="Times New Roman" w:cs="Times New Roman"/>
          <w:b/>
          <w:color w:val="000000"/>
          <w:sz w:val="24"/>
          <w:szCs w:val="24"/>
        </w:rPr>
      </w:pPr>
      <w:r>
        <w:rPr>
          <w:rFonts w:hint="eastAsia" w:ascii="Times New Roman" w:hAnsi="Times New Roman" w:cs="Times New Roman"/>
          <w:b/>
          <w:color w:val="000000"/>
          <w:sz w:val="24"/>
          <w:szCs w:val="24"/>
        </w:rPr>
        <w:drawing>
          <wp:inline distT="0" distB="0" distL="0" distR="0">
            <wp:extent cx="5039360" cy="1231265"/>
            <wp:effectExtent l="0" t="0" r="8890" b="698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039868" cy="1231392"/>
                    </a:xfrm>
                    <a:prstGeom prst="rect">
                      <a:avLst/>
                    </a:prstGeom>
                  </pic:spPr>
                </pic:pic>
              </a:graphicData>
            </a:graphic>
          </wp:inline>
        </w:drawing>
      </w:r>
    </w:p>
    <w:p>
      <w:pPr>
        <w:spacing w:line="360" w:lineRule="auto"/>
        <w:rPr>
          <w:rFonts w:ascii="Times New Roman" w:hAnsi="Times New Roman" w:eastAsia="宋体"/>
          <w:szCs w:val="21"/>
        </w:rPr>
      </w:pPr>
      <w:r>
        <w:rPr>
          <w:rFonts w:ascii="Times New Roman" w:hAnsi="Times New Roman" w:eastAsia="宋体" w:cs="Times New Roman"/>
          <w:b/>
          <w:bCs/>
          <w:color w:val="000000" w:themeColor="text1"/>
          <w:kern w:val="0"/>
          <w:sz w:val="24"/>
          <w:szCs w:val="24"/>
          <w:highlight w:val="none"/>
          <w:shd w:val="clear" w:color="auto" w:fill="FFFFFF"/>
          <w14:textFill>
            <w14:solidFill>
              <w14:schemeClr w14:val="tx1"/>
            </w14:solidFill>
          </w14:textFill>
        </w:rPr>
        <w:t xml:space="preserve">Fig. S10 </w:t>
      </w:r>
      <w:r>
        <w:rPr>
          <w:rFonts w:ascii="Times New Roman" w:hAnsi="Times New Roman" w:eastAsia="宋体" w:cs="Times New Roman"/>
          <w:b/>
          <w:bCs/>
          <w:color w:val="000000" w:themeColor="text1"/>
          <w:kern w:val="0"/>
          <w:sz w:val="24"/>
          <w:szCs w:val="24"/>
          <w:shd w:val="clear" w:color="auto" w:fill="FFFFFF"/>
          <w14:textFill>
            <w14:solidFill>
              <w14:schemeClr w14:val="tx1"/>
            </w14:solidFill>
          </w14:textFill>
        </w:rPr>
        <w:t xml:space="preserve">Effects of </w:t>
      </w:r>
      <w:r>
        <w:rPr>
          <w:rFonts w:ascii="Times New Roman" w:hAnsi="Times New Roman" w:eastAsia="宋体" w:cs="Times New Roman"/>
          <w:b/>
          <w:kern w:val="0"/>
          <w:sz w:val="24"/>
          <w:szCs w:val="24"/>
          <w:shd w:val="clear" w:color="auto" w:fill="FFFFFF"/>
        </w:rPr>
        <w:t xml:space="preserve">CUR5g on the intracellular ROS and mitochondrial ROS. </w:t>
      </w:r>
      <w:r>
        <w:rPr>
          <w:rFonts w:ascii="Times New Roman" w:hAnsi="Times New Roman" w:eastAsia="宋体" w:cs="Times New Roman"/>
          <w:bCs/>
          <w:kern w:val="0"/>
          <w:sz w:val="24"/>
          <w:szCs w:val="24"/>
          <w:shd w:val="clear" w:color="auto" w:fill="FFFFFF"/>
        </w:rPr>
        <w:t xml:space="preserve">A549 cells were treated with DMSO or CA-5f (10 μM) for </w:t>
      </w:r>
      <w:r>
        <w:rPr>
          <w:rFonts w:ascii="Times New Roman" w:hAnsi="Times New Roman" w:eastAsia="宋体" w:cs="Times New Roman"/>
          <w:bCs/>
          <w:color w:val="000000" w:themeColor="text1"/>
          <w:kern w:val="0"/>
          <w:sz w:val="24"/>
          <w:szCs w:val="24"/>
          <w:shd w:val="clear" w:color="auto" w:fill="FFFFFF"/>
          <w14:textFill>
            <w14:solidFill>
              <w14:schemeClr w14:val="tx1"/>
            </w14:solidFill>
          </w14:textFill>
        </w:rPr>
        <w:t>24 h</w:t>
      </w:r>
      <w:r>
        <w:rPr>
          <w:rFonts w:ascii="Times New Roman" w:hAnsi="Times New Roman" w:eastAsia="宋体" w:cs="Times New Roman"/>
          <w:bCs/>
          <w:kern w:val="0"/>
          <w:sz w:val="24"/>
          <w:szCs w:val="24"/>
          <w:shd w:val="clear" w:color="auto" w:fill="FFFFFF"/>
        </w:rPr>
        <w:t xml:space="preserve">. A For determination of the intracellular ROS levels, the cells were loaded with </w:t>
      </w:r>
      <w:r>
        <w:rPr>
          <w:rFonts w:ascii="Times New Roman" w:hAnsi="Times New Roman" w:eastAsia="宋体" w:cs="Times New Roman"/>
          <w:bCs/>
          <w:color w:val="000000" w:themeColor="text1"/>
          <w:kern w:val="0"/>
          <w:sz w:val="24"/>
          <w:szCs w:val="24"/>
          <w:shd w:val="clear" w:color="auto" w:fill="FFFFFF"/>
          <w14:textFill>
            <w14:solidFill>
              <w14:schemeClr w14:val="tx1"/>
            </w14:solidFill>
          </w14:textFill>
        </w:rPr>
        <w:t>10 µM DCFH-DA for 20 min</w:t>
      </w:r>
      <w:r>
        <w:rPr>
          <w:rFonts w:ascii="Times New Roman" w:hAnsi="Times New Roman" w:eastAsia="宋体" w:cs="Times New Roman"/>
          <w:bCs/>
          <w:kern w:val="0"/>
          <w:sz w:val="24"/>
          <w:szCs w:val="24"/>
          <w:shd w:val="clear" w:color="auto" w:fill="FFFFFF"/>
        </w:rPr>
        <w:t xml:space="preserve"> and collected for flow cytometry </w:t>
      </w:r>
      <w:r>
        <w:rPr>
          <w:rFonts w:hint="eastAsia" w:ascii="Times New Roman" w:hAnsi="Times New Roman" w:eastAsia="宋体" w:cs="Times New Roman"/>
          <w:bCs/>
          <w:kern w:val="0"/>
          <w:sz w:val="24"/>
          <w:szCs w:val="24"/>
          <w:shd w:val="clear" w:color="auto" w:fill="FFFFFF"/>
        </w:rPr>
        <w:t>analysis</w:t>
      </w:r>
      <w:r>
        <w:rPr>
          <w:rFonts w:ascii="Times New Roman" w:hAnsi="Times New Roman" w:eastAsia="宋体" w:cs="Times New Roman"/>
          <w:bCs/>
          <w:kern w:val="0"/>
          <w:sz w:val="24"/>
          <w:szCs w:val="24"/>
          <w:shd w:val="clear" w:color="auto" w:fill="FFFFFF"/>
        </w:rPr>
        <w:t>. B To measure the mitochondrial ROS production, the cells were loaded with</w:t>
      </w:r>
      <w:r>
        <w:rPr>
          <w:rFonts w:ascii="Times New Roman" w:hAnsi="Times New Roman" w:eastAsia="宋体" w:cs="Times New Roman"/>
          <w:bCs/>
          <w:color w:val="FF0000"/>
          <w:kern w:val="0"/>
          <w:sz w:val="24"/>
          <w:szCs w:val="24"/>
          <w:shd w:val="clear" w:color="auto" w:fill="FFFFFF"/>
        </w:rPr>
        <w:t xml:space="preserve"> </w:t>
      </w:r>
      <w:r>
        <w:rPr>
          <w:rFonts w:ascii="Times New Roman" w:hAnsi="Times New Roman" w:eastAsia="宋体" w:cs="Times New Roman"/>
          <w:bCs/>
          <w:color w:val="000000" w:themeColor="text1"/>
          <w:kern w:val="0"/>
          <w:sz w:val="24"/>
          <w:szCs w:val="24"/>
          <w:shd w:val="clear" w:color="auto" w:fill="FFFFFF"/>
          <w14:textFill>
            <w14:solidFill>
              <w14:schemeClr w14:val="tx1"/>
            </w14:solidFill>
          </w14:textFill>
        </w:rPr>
        <w:t>5 µM</w:t>
      </w:r>
      <w:r>
        <w:rPr>
          <w:rFonts w:ascii="Times New Roman" w:hAnsi="Times New Roman" w:eastAsia="宋体" w:cs="Times New Roman"/>
          <w:bCs/>
          <w:color w:val="FF0000"/>
          <w:kern w:val="0"/>
          <w:sz w:val="24"/>
          <w:szCs w:val="24"/>
          <w:shd w:val="clear" w:color="auto" w:fill="FFFFFF"/>
        </w:rPr>
        <w:t xml:space="preserve"> </w:t>
      </w:r>
      <w:r>
        <w:rPr>
          <w:rFonts w:ascii="Times New Roman" w:hAnsi="Times New Roman" w:eastAsia="宋体" w:cs="Times New Roman"/>
          <w:bCs/>
          <w:color w:val="000000" w:themeColor="text1"/>
          <w:kern w:val="0"/>
          <w:sz w:val="24"/>
          <w:szCs w:val="24"/>
          <w:shd w:val="clear" w:color="auto" w:fill="FFFFFF"/>
          <w14:textFill>
            <w14:solidFill>
              <w14:schemeClr w14:val="tx1"/>
            </w14:solidFill>
          </w14:textFill>
        </w:rPr>
        <w:t>MitoSOX® Re</w:t>
      </w:r>
      <w:r>
        <w:rPr>
          <w:rFonts w:ascii="Times New Roman" w:hAnsi="Times New Roman" w:eastAsia="宋体" w:cs="Times New Roman"/>
          <w:bCs/>
          <w:kern w:val="0"/>
          <w:sz w:val="24"/>
          <w:szCs w:val="24"/>
          <w:shd w:val="clear" w:color="auto" w:fill="FFFFFF"/>
        </w:rPr>
        <w:t xml:space="preserve">d for </w:t>
      </w:r>
      <w:r>
        <w:rPr>
          <w:rFonts w:hint="eastAsia" w:ascii="Times New Roman" w:hAnsi="Times New Roman" w:eastAsia="宋体" w:cs="Times New Roman"/>
          <w:bCs/>
          <w:kern w:val="0"/>
          <w:sz w:val="24"/>
          <w:szCs w:val="24"/>
          <w:shd w:val="clear" w:color="auto" w:fill="FFFFFF"/>
        </w:rPr>
        <w:t>1</w:t>
      </w:r>
      <w:r>
        <w:rPr>
          <w:rFonts w:ascii="Times New Roman" w:hAnsi="Times New Roman" w:eastAsia="宋体" w:cs="Times New Roman"/>
          <w:bCs/>
          <w:kern w:val="0"/>
          <w:sz w:val="24"/>
          <w:szCs w:val="24"/>
          <w:shd w:val="clear" w:color="auto" w:fill="FFFFFF"/>
        </w:rPr>
        <w:t xml:space="preserve">0 min and collected for flow cytometry </w:t>
      </w:r>
      <w:r>
        <w:rPr>
          <w:rFonts w:hint="eastAsia" w:ascii="Times New Roman" w:hAnsi="Times New Roman" w:eastAsia="宋体" w:cs="Times New Roman"/>
          <w:bCs/>
          <w:kern w:val="0"/>
          <w:sz w:val="24"/>
          <w:szCs w:val="24"/>
          <w:shd w:val="clear" w:color="auto" w:fill="FFFFFF"/>
        </w:rPr>
        <w:t>analysis</w:t>
      </w:r>
      <w:r>
        <w:rPr>
          <w:rFonts w:ascii="Times New Roman" w:hAnsi="Times New Roman" w:eastAsia="宋体" w:cs="Times New Roman"/>
          <w:bCs/>
          <w:kern w:val="0"/>
          <w:sz w:val="24"/>
          <w:szCs w:val="24"/>
          <w:shd w:val="clear" w:color="auto" w:fill="FFFFFF"/>
        </w:rPr>
        <w:t>.</w:t>
      </w:r>
    </w:p>
    <w:p>
      <w:pPr>
        <w:spacing w:line="360" w:lineRule="auto"/>
        <w:rPr>
          <w:rFonts w:ascii="Times New Roman" w:hAnsi="Times New Roman" w:cs="Times New Roman"/>
          <w:b/>
          <w:color w:val="000000"/>
          <w:sz w:val="24"/>
          <w:szCs w:val="24"/>
        </w:rPr>
      </w:pPr>
    </w:p>
    <w:p>
      <w:pPr>
        <w:spacing w:line="360" w:lineRule="auto"/>
        <w:rPr>
          <w:rFonts w:ascii="Times New Roman" w:hAnsi="Times New Roman" w:cs="Times New Roman"/>
          <w:b/>
          <w:color w:val="000000"/>
          <w:sz w:val="24"/>
          <w:szCs w:val="24"/>
        </w:rPr>
      </w:pPr>
    </w:p>
    <w:p>
      <w:pPr>
        <w:spacing w:line="360" w:lineRule="auto"/>
        <w:rPr>
          <w:rFonts w:hint="eastAsia" w:ascii="Times New Roman" w:hAnsi="Times New Roman" w:cs="Times New Roman"/>
          <w:b/>
          <w:color w:val="000000"/>
          <w:sz w:val="24"/>
          <w:szCs w:val="24"/>
        </w:rPr>
      </w:pPr>
    </w:p>
    <w:p>
      <w:pPr>
        <w:spacing w:line="360" w:lineRule="auto"/>
        <w:jc w:val="center"/>
        <w:rPr>
          <w:rFonts w:ascii="Times New Roman" w:hAnsi="Times New Roman" w:cs="Times New Roman"/>
          <w:b/>
          <w:color w:val="000000"/>
          <w:sz w:val="24"/>
          <w:szCs w:val="24"/>
        </w:rPr>
      </w:pPr>
      <w:r>
        <w:rPr>
          <w:rFonts w:hint="eastAsia" w:ascii="Times New Roman" w:hAnsi="Times New Roman" w:cs="Times New Roman"/>
          <w:b/>
          <w:color w:val="000000"/>
          <w:sz w:val="24"/>
          <w:szCs w:val="24"/>
        </w:rPr>
        <w:drawing>
          <wp:inline distT="0" distB="0" distL="0" distR="0">
            <wp:extent cx="2520315" cy="145669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520696" cy="1456944"/>
                    </a:xfrm>
                    <a:prstGeom prst="rect">
                      <a:avLst/>
                    </a:prstGeom>
                  </pic:spPr>
                </pic:pic>
              </a:graphicData>
            </a:graphic>
          </wp:inline>
        </w:drawing>
      </w:r>
    </w:p>
    <w:p>
      <w:pPr>
        <w:spacing w:line="360" w:lineRule="auto"/>
        <w:rPr>
          <w:rFonts w:ascii="Times New Roman" w:hAnsi="Times New Roman" w:eastAsia="宋体" w:cs="Times New Roman"/>
          <w:bCs/>
          <w:kern w:val="0"/>
          <w:sz w:val="24"/>
          <w:szCs w:val="24"/>
          <w:shd w:val="clear" w:color="auto" w:fill="FFFFFF"/>
        </w:rPr>
      </w:pPr>
      <w:r>
        <w:rPr>
          <w:rFonts w:ascii="Times New Roman" w:hAnsi="Times New Roman" w:eastAsia="宋体"/>
          <w:b/>
          <w:bCs/>
          <w:sz w:val="24"/>
          <w:szCs w:val="24"/>
          <w:highlight w:val="none"/>
        </w:rPr>
        <w:t xml:space="preserve">Fig. S11 </w:t>
      </w:r>
      <w:r>
        <w:rPr>
          <w:rFonts w:ascii="Times New Roman" w:hAnsi="Times New Roman" w:eastAsia="宋体" w:cs="Times New Roman"/>
          <w:b/>
          <w:bCs/>
          <w:color w:val="000000" w:themeColor="text1"/>
          <w:kern w:val="0"/>
          <w:sz w:val="24"/>
          <w:szCs w:val="24"/>
          <w:shd w:val="clear" w:color="auto" w:fill="FFFFFF"/>
          <w14:textFill>
            <w14:solidFill>
              <w14:schemeClr w14:val="tx1"/>
            </w14:solidFill>
          </w14:textFill>
        </w:rPr>
        <w:t xml:space="preserve">Effects of </w:t>
      </w:r>
      <w:r>
        <w:rPr>
          <w:rFonts w:ascii="Times New Roman" w:hAnsi="Times New Roman" w:eastAsia="宋体" w:cs="Times New Roman"/>
          <w:b/>
          <w:kern w:val="0"/>
          <w:sz w:val="24"/>
          <w:szCs w:val="24"/>
          <w:shd w:val="clear" w:color="auto" w:fill="FFFFFF"/>
        </w:rPr>
        <w:t>CUR5g on</w:t>
      </w:r>
      <w:r>
        <w:rPr>
          <w:rFonts w:ascii="Times New Roman" w:hAnsi="Times New Roman" w:eastAsia="宋体" w:cs="Times New Roman"/>
          <w:b/>
          <w:bCs/>
          <w:color w:val="000000" w:themeColor="text1"/>
          <w:kern w:val="0"/>
          <w:sz w:val="24"/>
          <w:szCs w:val="24"/>
          <w:shd w:val="clear" w:color="auto" w:fill="FFFFFF"/>
          <w14:textFill>
            <w14:solidFill>
              <w14:schemeClr w14:val="tx1"/>
            </w14:solidFill>
          </w14:textFill>
        </w:rPr>
        <w:t xml:space="preserve"> the mitochondrial membrane potential (MMP).</w:t>
      </w:r>
      <w:r>
        <w:rPr>
          <w:rFonts w:ascii="Times New Roman" w:hAnsi="Times New Roman" w:eastAsia="宋体" w:cs="Times New Roman"/>
          <w:bCs/>
          <w:kern w:val="0"/>
          <w:sz w:val="24"/>
          <w:szCs w:val="24"/>
          <w:shd w:val="clear" w:color="auto" w:fill="FFFFFF"/>
        </w:rPr>
        <w:t xml:space="preserve"> Fluorescence photographs of JC-1 staining </w:t>
      </w:r>
      <w:r>
        <w:rPr>
          <w:rFonts w:hint="eastAsia" w:ascii="Times New Roman" w:hAnsi="Times New Roman" w:eastAsia="宋体" w:cs="Times New Roman"/>
          <w:bCs/>
          <w:kern w:val="0"/>
          <w:sz w:val="24"/>
          <w:szCs w:val="24"/>
          <w:shd w:val="clear" w:color="auto" w:fill="FFFFFF"/>
        </w:rPr>
        <w:t>in</w:t>
      </w:r>
      <w:r>
        <w:rPr>
          <w:rFonts w:ascii="Times New Roman" w:hAnsi="Times New Roman" w:eastAsia="宋体" w:cs="Times New Roman"/>
          <w:bCs/>
          <w:kern w:val="0"/>
          <w:sz w:val="24"/>
          <w:szCs w:val="24"/>
          <w:shd w:val="clear" w:color="auto" w:fill="FFFFFF"/>
        </w:rPr>
        <w:t xml:space="preserve"> A549 cells </w:t>
      </w:r>
      <w:r>
        <w:rPr>
          <w:rFonts w:hint="eastAsia" w:ascii="Times New Roman" w:hAnsi="Times New Roman" w:eastAsia="宋体" w:cs="Times New Roman"/>
          <w:bCs/>
          <w:kern w:val="0"/>
          <w:sz w:val="24"/>
          <w:szCs w:val="24"/>
          <w:shd w:val="clear" w:color="auto" w:fill="FFFFFF"/>
        </w:rPr>
        <w:t>treated</w:t>
      </w:r>
      <w:r>
        <w:rPr>
          <w:rFonts w:ascii="Times New Roman" w:hAnsi="Times New Roman" w:eastAsia="宋体" w:cs="Times New Roman"/>
          <w:bCs/>
          <w:kern w:val="0"/>
          <w:sz w:val="24"/>
          <w:szCs w:val="24"/>
          <w:shd w:val="clear" w:color="auto" w:fill="FFFFFF"/>
        </w:rPr>
        <w:t xml:space="preserve"> </w:t>
      </w:r>
      <w:r>
        <w:rPr>
          <w:rFonts w:hint="eastAsia" w:ascii="Times New Roman" w:hAnsi="Times New Roman" w:eastAsia="宋体" w:cs="Times New Roman"/>
          <w:bCs/>
          <w:kern w:val="0"/>
          <w:sz w:val="24"/>
          <w:szCs w:val="24"/>
          <w:shd w:val="clear" w:color="auto" w:fill="FFFFFF"/>
        </w:rPr>
        <w:t>with</w:t>
      </w:r>
      <w:r>
        <w:rPr>
          <w:rFonts w:ascii="Times New Roman" w:hAnsi="Times New Roman" w:eastAsia="宋体" w:cs="Times New Roman"/>
          <w:bCs/>
          <w:kern w:val="0"/>
          <w:sz w:val="24"/>
          <w:szCs w:val="24"/>
          <w:shd w:val="clear" w:color="auto" w:fill="FFFFFF"/>
        </w:rPr>
        <w:t xml:space="preserve"> DMSO or CA-5f (10 μM) for </w:t>
      </w:r>
      <w:r>
        <w:rPr>
          <w:rFonts w:ascii="Times New Roman" w:hAnsi="Times New Roman" w:eastAsia="宋体" w:cs="Times New Roman"/>
          <w:bCs/>
          <w:color w:val="000000" w:themeColor="text1"/>
          <w:kern w:val="0"/>
          <w:sz w:val="24"/>
          <w:szCs w:val="24"/>
          <w:shd w:val="clear" w:color="auto" w:fill="FFFFFF"/>
          <w14:textFill>
            <w14:solidFill>
              <w14:schemeClr w14:val="tx1"/>
            </w14:solidFill>
          </w14:textFill>
        </w:rPr>
        <w:t>24 h.</w:t>
      </w:r>
      <w:r>
        <w:rPr>
          <w:rFonts w:ascii="Times New Roman" w:hAnsi="Times New Roman" w:eastAsia="宋体" w:cs="Times New Roman"/>
          <w:bCs/>
          <w:kern w:val="0"/>
          <w:sz w:val="24"/>
          <w:szCs w:val="24"/>
          <w:shd w:val="clear" w:color="auto" w:fill="FFFFFF"/>
        </w:rPr>
        <w:t xml:space="preserve"> For determination of the MMP, cells were incubated with </w:t>
      </w:r>
      <w:r>
        <w:rPr>
          <w:rFonts w:hint="eastAsia" w:ascii="Times New Roman" w:hAnsi="Times New Roman" w:eastAsia="宋体" w:cs="Times New Roman"/>
          <w:bCs/>
          <w:kern w:val="0"/>
          <w:sz w:val="24"/>
          <w:szCs w:val="24"/>
          <w:shd w:val="clear" w:color="auto" w:fill="FFFFFF"/>
        </w:rPr>
        <w:t>10</w:t>
      </w:r>
      <w:r>
        <w:rPr>
          <w:rFonts w:ascii="Times New Roman" w:hAnsi="Times New Roman" w:eastAsia="宋体" w:cs="Times New Roman"/>
          <w:bCs/>
          <w:kern w:val="0"/>
          <w:sz w:val="24"/>
          <w:szCs w:val="24"/>
          <w:shd w:val="clear" w:color="auto" w:fill="FFFFFF"/>
        </w:rPr>
        <w:t xml:space="preserve"> µg/ml JC-1 for </w:t>
      </w:r>
      <w:r>
        <w:rPr>
          <w:rFonts w:hint="eastAsia" w:ascii="Times New Roman" w:hAnsi="Times New Roman" w:eastAsia="宋体" w:cs="Times New Roman"/>
          <w:bCs/>
          <w:kern w:val="0"/>
          <w:sz w:val="24"/>
          <w:szCs w:val="24"/>
          <w:shd w:val="clear" w:color="auto" w:fill="FFFFFF"/>
        </w:rPr>
        <w:t>20</w:t>
      </w:r>
      <w:r>
        <w:rPr>
          <w:rFonts w:ascii="Times New Roman" w:hAnsi="Times New Roman" w:eastAsia="宋体" w:cs="Times New Roman"/>
          <w:bCs/>
          <w:kern w:val="0"/>
          <w:sz w:val="24"/>
          <w:szCs w:val="24"/>
          <w:shd w:val="clear" w:color="auto" w:fill="FFFFFF"/>
        </w:rPr>
        <w:t xml:space="preserve"> min and collected for flow cytometry </w:t>
      </w:r>
      <w:r>
        <w:rPr>
          <w:rFonts w:hint="eastAsia" w:ascii="Times New Roman" w:hAnsi="Times New Roman" w:eastAsia="宋体" w:cs="Times New Roman"/>
          <w:bCs/>
          <w:kern w:val="0"/>
          <w:sz w:val="24"/>
          <w:szCs w:val="24"/>
          <w:shd w:val="clear" w:color="auto" w:fill="FFFFFF"/>
        </w:rPr>
        <w:t>analysis</w:t>
      </w:r>
      <w:r>
        <w:rPr>
          <w:rFonts w:ascii="Times New Roman" w:hAnsi="Times New Roman" w:eastAsia="宋体" w:cs="Times New Roman"/>
          <w:bCs/>
          <w:kern w:val="0"/>
          <w:sz w:val="24"/>
          <w:szCs w:val="24"/>
          <w:shd w:val="clear" w:color="auto" w:fill="FFFFFF"/>
        </w:rPr>
        <w:t>.</w:t>
      </w:r>
    </w:p>
    <w:p>
      <w:pPr>
        <w:spacing w:line="360" w:lineRule="auto"/>
        <w:rPr>
          <w:rFonts w:ascii="Times New Roman" w:hAnsi="Times New Roman" w:eastAsia="宋体" w:cs="Times New Roman"/>
          <w:bCs/>
          <w:kern w:val="0"/>
          <w:sz w:val="24"/>
          <w:szCs w:val="24"/>
          <w:shd w:val="clear" w:color="auto" w:fill="FFFFFF"/>
        </w:rPr>
      </w:pPr>
    </w:p>
    <w:p>
      <w:pPr>
        <w:spacing w:line="480" w:lineRule="auto"/>
        <w:rPr>
          <w:rFonts w:ascii="Times New Roman" w:hAnsi="Times New Roman" w:eastAsia="宋体" w:cs="Times New Roman"/>
          <w:bCs/>
          <w:kern w:val="0"/>
          <w:sz w:val="24"/>
          <w:szCs w:val="24"/>
          <w:shd w:val="clear" w:color="auto" w:fill="FFFFFF"/>
        </w:rPr>
      </w:pPr>
    </w:p>
    <w:p>
      <w:pPr>
        <w:spacing w:line="480" w:lineRule="auto"/>
        <w:jc w:val="center"/>
        <w:rPr>
          <w:rFonts w:ascii="Times New Roman" w:hAnsi="Times New Roman" w:eastAsia="宋体" w:cs="Times New Roman"/>
          <w:bCs/>
          <w:kern w:val="0"/>
          <w:sz w:val="24"/>
          <w:szCs w:val="24"/>
          <w:shd w:val="clear" w:color="auto" w:fill="FFFFFF"/>
        </w:rPr>
      </w:pPr>
      <w:r>
        <w:rPr>
          <w:rFonts w:ascii="Times New Roman" w:hAnsi="Times New Roman" w:eastAsia="宋体" w:cs="Times New Roman"/>
          <w:bCs/>
          <w:kern w:val="0"/>
          <w:sz w:val="24"/>
          <w:szCs w:val="24"/>
          <w:shd w:val="clear" w:color="auto" w:fill="FFFFFF"/>
        </w:rPr>
        <w:drawing>
          <wp:inline distT="0" distB="0" distL="0" distR="0">
            <wp:extent cx="3134995" cy="1903095"/>
            <wp:effectExtent l="0" t="0" r="8255" b="190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145577" cy="1909720"/>
                    </a:xfrm>
                    <a:prstGeom prst="rect">
                      <a:avLst/>
                    </a:prstGeom>
                  </pic:spPr>
                </pic:pic>
              </a:graphicData>
            </a:graphic>
          </wp:inline>
        </w:drawing>
      </w:r>
    </w:p>
    <w:p>
      <w:pPr>
        <w:spacing w:line="360" w:lineRule="auto"/>
        <w:rPr>
          <w:rFonts w:ascii="Times New Roman" w:hAnsi="Times New Roman" w:eastAsia="宋体" w:cs="Times New Roman"/>
          <w:bCs/>
          <w:kern w:val="0"/>
          <w:sz w:val="24"/>
          <w:szCs w:val="24"/>
          <w:shd w:val="clear" w:color="auto" w:fill="FFFFFF"/>
        </w:rPr>
      </w:pPr>
      <w:r>
        <w:rPr>
          <w:rFonts w:ascii="Times New Roman" w:hAnsi="Times New Roman" w:eastAsia="宋体"/>
          <w:b/>
          <w:bCs/>
          <w:sz w:val="24"/>
          <w:szCs w:val="24"/>
          <w:highlight w:val="none"/>
        </w:rPr>
        <w:t xml:space="preserve">Fig. S12 </w:t>
      </w:r>
      <w:r>
        <w:rPr>
          <w:rFonts w:ascii="Times New Roman" w:hAnsi="Times New Roman" w:cs="Times New Roman"/>
          <w:b/>
          <w:color w:val="000000"/>
          <w:sz w:val="24"/>
          <w:szCs w:val="24"/>
        </w:rPr>
        <w:t>Mouse body weight. Comparison of efficacy of CUR5g combined cisplatin and other established autophagy regulators combined cisplatin.</w:t>
      </w:r>
      <w:r>
        <w:rPr>
          <w:rFonts w:hint="eastAsia" w:ascii="Times New Roman" w:hAnsi="Times New Roman" w:eastAsia="宋体" w:cs="Times New Roman"/>
          <w:bCs/>
          <w:kern w:val="0"/>
          <w:sz w:val="24"/>
          <w:szCs w:val="24"/>
          <w:shd w:val="clear" w:color="auto" w:fill="FFFFFF"/>
        </w:rPr>
        <w:t xml:space="preserve"> </w:t>
      </w:r>
      <w:r>
        <w:rPr>
          <w:rFonts w:ascii="Times New Roman" w:hAnsi="Times New Roman" w:eastAsia="宋体" w:cs="Times New Roman"/>
          <w:bCs/>
          <w:kern w:val="0"/>
          <w:sz w:val="24"/>
          <w:szCs w:val="24"/>
          <w:shd w:val="clear" w:color="auto" w:fill="FFFFFF"/>
        </w:rPr>
        <w:t xml:space="preserve">Cell number was monitored over 120 h in a real-time manner using an xCELLigence RTCA S16 System. DMSO, cisplatin (30 </w:t>
      </w:r>
      <w:r>
        <w:rPr>
          <w:rFonts w:ascii="Times New Roman" w:hAnsi="Times New Roman" w:eastAsia="宋体" w:cs="Times New Roman"/>
          <w:kern w:val="0"/>
          <w:sz w:val="24"/>
          <w:szCs w:val="24"/>
          <w:shd w:val="clear" w:color="auto" w:fill="FFFFFF"/>
        </w:rPr>
        <w:t>μM</w:t>
      </w:r>
      <w:r>
        <w:rPr>
          <w:rFonts w:ascii="Times New Roman" w:hAnsi="Times New Roman" w:eastAsia="宋体" w:cs="Times New Roman"/>
          <w:bCs/>
          <w:kern w:val="0"/>
          <w:sz w:val="24"/>
          <w:szCs w:val="24"/>
          <w:shd w:val="clear" w:color="auto" w:fill="FFFFFF"/>
        </w:rPr>
        <w:t>), curcumin (10</w:t>
      </w:r>
      <w:r>
        <w:rPr>
          <w:rFonts w:ascii="Times New Roman" w:hAnsi="Times New Roman" w:eastAsia="宋体" w:cs="Times New Roman"/>
          <w:kern w:val="0"/>
          <w:sz w:val="24"/>
          <w:szCs w:val="24"/>
          <w:shd w:val="clear" w:color="auto" w:fill="FFFFFF"/>
        </w:rPr>
        <w:t xml:space="preserve"> μM</w:t>
      </w:r>
      <w:r>
        <w:rPr>
          <w:rFonts w:ascii="Times New Roman" w:hAnsi="Times New Roman" w:eastAsia="宋体" w:cs="Times New Roman"/>
          <w:bCs/>
          <w:kern w:val="0"/>
          <w:sz w:val="24"/>
          <w:szCs w:val="24"/>
          <w:shd w:val="clear" w:color="auto" w:fill="FFFFFF"/>
        </w:rPr>
        <w:t xml:space="preserve">) plus cisplatin (30 </w:t>
      </w:r>
      <w:r>
        <w:rPr>
          <w:rFonts w:ascii="Times New Roman" w:hAnsi="Times New Roman" w:eastAsia="宋体" w:cs="Times New Roman"/>
          <w:kern w:val="0"/>
          <w:sz w:val="24"/>
          <w:szCs w:val="24"/>
          <w:shd w:val="clear" w:color="auto" w:fill="FFFFFF"/>
        </w:rPr>
        <w:t>μM</w:t>
      </w:r>
      <w:r>
        <w:rPr>
          <w:rFonts w:ascii="Times New Roman" w:hAnsi="Times New Roman" w:eastAsia="宋体" w:cs="Times New Roman"/>
          <w:bCs/>
          <w:kern w:val="0"/>
          <w:sz w:val="24"/>
          <w:szCs w:val="24"/>
          <w:shd w:val="clear" w:color="auto" w:fill="FFFFFF"/>
        </w:rPr>
        <w:t xml:space="preserve">), CA-5f (10 </w:t>
      </w:r>
      <w:r>
        <w:rPr>
          <w:rFonts w:ascii="Times New Roman" w:hAnsi="Times New Roman" w:eastAsia="宋体" w:cs="Times New Roman"/>
          <w:kern w:val="0"/>
          <w:sz w:val="24"/>
          <w:szCs w:val="24"/>
          <w:shd w:val="clear" w:color="auto" w:fill="FFFFFF"/>
        </w:rPr>
        <w:t>μM</w:t>
      </w:r>
      <w:r>
        <w:rPr>
          <w:rFonts w:ascii="Times New Roman" w:hAnsi="Times New Roman" w:eastAsia="宋体" w:cs="Times New Roman"/>
          <w:bCs/>
          <w:kern w:val="0"/>
          <w:sz w:val="24"/>
          <w:szCs w:val="24"/>
          <w:shd w:val="clear" w:color="auto" w:fill="FFFFFF"/>
        </w:rPr>
        <w:t xml:space="preserve">) plus cisplatin (30 </w:t>
      </w:r>
      <w:r>
        <w:rPr>
          <w:rFonts w:ascii="Times New Roman" w:hAnsi="Times New Roman" w:eastAsia="宋体" w:cs="Times New Roman"/>
          <w:kern w:val="0"/>
          <w:sz w:val="24"/>
          <w:szCs w:val="24"/>
          <w:shd w:val="clear" w:color="auto" w:fill="FFFFFF"/>
        </w:rPr>
        <w:t>μM</w:t>
      </w:r>
      <w:r>
        <w:rPr>
          <w:rFonts w:ascii="Times New Roman" w:hAnsi="Times New Roman" w:eastAsia="宋体" w:cs="Times New Roman"/>
          <w:bCs/>
          <w:kern w:val="0"/>
          <w:sz w:val="24"/>
          <w:szCs w:val="24"/>
          <w:shd w:val="clear" w:color="auto" w:fill="FFFFFF"/>
        </w:rPr>
        <w:t xml:space="preserve">), CQ (30 </w:t>
      </w:r>
      <w:r>
        <w:rPr>
          <w:rFonts w:ascii="Times New Roman" w:hAnsi="Times New Roman" w:eastAsia="宋体" w:cs="Times New Roman"/>
          <w:kern w:val="0"/>
          <w:sz w:val="24"/>
          <w:szCs w:val="24"/>
          <w:shd w:val="clear" w:color="auto" w:fill="FFFFFF"/>
        </w:rPr>
        <w:t>μM</w:t>
      </w:r>
      <w:r>
        <w:rPr>
          <w:rFonts w:ascii="Times New Roman" w:hAnsi="Times New Roman" w:eastAsia="宋体" w:cs="Times New Roman"/>
          <w:bCs/>
          <w:kern w:val="0"/>
          <w:sz w:val="24"/>
          <w:szCs w:val="24"/>
          <w:shd w:val="clear" w:color="auto" w:fill="FFFFFF"/>
        </w:rPr>
        <w:t xml:space="preserve">) plus cisplatin (30 </w:t>
      </w:r>
      <w:r>
        <w:rPr>
          <w:rFonts w:ascii="Times New Roman" w:hAnsi="Times New Roman" w:eastAsia="宋体" w:cs="Times New Roman"/>
          <w:kern w:val="0"/>
          <w:sz w:val="24"/>
          <w:szCs w:val="24"/>
          <w:shd w:val="clear" w:color="auto" w:fill="FFFFFF"/>
        </w:rPr>
        <w:t>μM)</w:t>
      </w:r>
      <w:r>
        <w:rPr>
          <w:rFonts w:ascii="Times New Roman" w:hAnsi="Times New Roman" w:eastAsia="宋体" w:cs="Times New Roman"/>
          <w:bCs/>
          <w:kern w:val="0"/>
          <w:sz w:val="24"/>
          <w:szCs w:val="24"/>
          <w:shd w:val="clear" w:color="auto" w:fill="FFFFFF"/>
        </w:rPr>
        <w:t xml:space="preserve"> or CUR5g (10</w:t>
      </w:r>
      <w:r>
        <w:rPr>
          <w:rFonts w:ascii="Times New Roman" w:hAnsi="Times New Roman" w:eastAsia="宋体" w:cs="Times New Roman"/>
          <w:kern w:val="0"/>
          <w:sz w:val="24"/>
          <w:szCs w:val="24"/>
          <w:shd w:val="clear" w:color="auto" w:fill="FFFFFF"/>
        </w:rPr>
        <w:t xml:space="preserve"> μM</w:t>
      </w:r>
      <w:r>
        <w:rPr>
          <w:rFonts w:ascii="Times New Roman" w:hAnsi="Times New Roman" w:eastAsia="宋体" w:cs="Times New Roman"/>
          <w:bCs/>
          <w:kern w:val="0"/>
          <w:sz w:val="24"/>
          <w:szCs w:val="24"/>
          <w:shd w:val="clear" w:color="auto" w:fill="FFFFFF"/>
        </w:rPr>
        <w:t xml:space="preserve">) plus cisplatin (30 </w:t>
      </w:r>
      <w:r>
        <w:rPr>
          <w:rFonts w:ascii="Times New Roman" w:hAnsi="Times New Roman" w:eastAsia="宋体" w:cs="Times New Roman"/>
          <w:kern w:val="0"/>
          <w:sz w:val="24"/>
          <w:szCs w:val="24"/>
          <w:shd w:val="clear" w:color="auto" w:fill="FFFFFF"/>
        </w:rPr>
        <w:t>μM</w:t>
      </w:r>
      <w:r>
        <w:rPr>
          <w:rFonts w:ascii="Times New Roman" w:hAnsi="Times New Roman" w:eastAsia="宋体" w:cs="Times New Roman"/>
          <w:bCs/>
          <w:kern w:val="0"/>
          <w:sz w:val="24"/>
          <w:szCs w:val="24"/>
          <w:shd w:val="clear" w:color="auto" w:fill="FFFFFF"/>
        </w:rPr>
        <w:t>) was added after the cells were seeded into the plates for 24 h.</w:t>
      </w:r>
    </w:p>
    <w:p>
      <w:pPr>
        <w:spacing w:line="480" w:lineRule="auto"/>
        <w:rPr>
          <w:rFonts w:ascii="Times New Roman" w:hAnsi="Times New Roman" w:eastAsia="宋体"/>
          <w:szCs w:val="21"/>
        </w:rPr>
      </w:pPr>
    </w:p>
    <w:p>
      <w:pPr>
        <w:spacing w:line="360" w:lineRule="auto"/>
        <w:jc w:val="center"/>
        <w:rPr>
          <w:rFonts w:ascii="Times New Roman" w:hAnsi="Times New Roman" w:eastAsia="宋体" w:cs="Times New Roman"/>
          <w:bCs/>
          <w:kern w:val="0"/>
          <w:sz w:val="24"/>
          <w:szCs w:val="24"/>
          <w:shd w:val="clear" w:color="auto" w:fill="FFFFFF"/>
        </w:rPr>
      </w:pPr>
    </w:p>
    <w:p>
      <w:pPr>
        <w:spacing w:line="360" w:lineRule="auto"/>
        <w:jc w:val="center"/>
        <w:rPr>
          <w:rFonts w:ascii="Times New Roman" w:hAnsi="Times New Roman" w:eastAsia="宋体" w:cs="Times New Roman"/>
          <w:bCs/>
          <w:kern w:val="0"/>
          <w:sz w:val="24"/>
          <w:szCs w:val="24"/>
          <w:shd w:val="clear" w:color="auto" w:fill="FFFFFF"/>
        </w:rPr>
      </w:pPr>
    </w:p>
    <w:p>
      <w:pPr>
        <w:spacing w:line="360" w:lineRule="auto"/>
        <w:jc w:val="center"/>
        <w:rPr>
          <w:rFonts w:ascii="Times New Roman" w:hAnsi="Times New Roman" w:cs="Times New Roman"/>
          <w:b/>
          <w:color w:val="000000"/>
          <w:sz w:val="24"/>
          <w:szCs w:val="24"/>
        </w:rPr>
      </w:pPr>
      <w:r>
        <w:rPr>
          <w:rFonts w:hint="eastAsia" w:ascii="Times New Roman" w:hAnsi="Times New Roman" w:cs="Times New Roman"/>
          <w:b/>
          <w:color w:val="000000"/>
          <w:sz w:val="24"/>
          <w:szCs w:val="24"/>
        </w:rPr>
        <w:drawing>
          <wp:inline distT="0" distB="0" distL="0" distR="0">
            <wp:extent cx="5039360" cy="1238885"/>
            <wp:effectExtent l="0" t="0" r="889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039868" cy="1239012"/>
                    </a:xfrm>
                    <a:prstGeom prst="rect">
                      <a:avLst/>
                    </a:prstGeom>
                  </pic:spPr>
                </pic:pic>
              </a:graphicData>
            </a:graphic>
          </wp:inline>
        </w:drawing>
      </w:r>
    </w:p>
    <w:p>
      <w:pPr>
        <w:spacing w:line="360" w:lineRule="auto"/>
        <w:rPr>
          <w:rFonts w:ascii="Times New Roman" w:hAnsi="Times New Roman" w:cs="Times New Roman"/>
          <w:color w:val="000000"/>
          <w:sz w:val="24"/>
          <w:szCs w:val="24"/>
        </w:rPr>
      </w:pPr>
      <w:r>
        <w:rPr>
          <w:rFonts w:ascii="Times New Roman" w:hAnsi="Times New Roman" w:eastAsia="宋体"/>
          <w:b/>
          <w:bCs/>
          <w:sz w:val="24"/>
          <w:szCs w:val="24"/>
          <w:highlight w:val="none"/>
        </w:rPr>
        <w:t xml:space="preserve">Fig. S13 </w:t>
      </w:r>
      <w:r>
        <w:rPr>
          <w:rFonts w:ascii="Times New Roman" w:hAnsi="Times New Roman" w:cs="Times New Roman"/>
          <w:b/>
          <w:color w:val="000000"/>
          <w:sz w:val="24"/>
          <w:szCs w:val="24"/>
        </w:rPr>
        <w:t xml:space="preserve">Mouse body weight. </w:t>
      </w:r>
      <w:r>
        <w:rPr>
          <w:rFonts w:ascii="Times New Roman" w:hAnsi="Times New Roman" w:cs="Times New Roman"/>
          <w:bCs/>
          <w:color w:val="000000"/>
          <w:sz w:val="24"/>
          <w:szCs w:val="24"/>
        </w:rPr>
        <w:t>A</w:t>
      </w:r>
      <w:r>
        <w:rPr>
          <w:rFonts w:ascii="Times New Roman" w:hAnsi="Times New Roman" w:eastAsia="宋体" w:cs="Times New Roman"/>
          <w:b/>
          <w:bCs/>
          <w:color w:val="000000" w:themeColor="text1"/>
          <w:kern w:val="0"/>
          <w:sz w:val="24"/>
          <w:szCs w:val="24"/>
          <w:shd w:val="clear" w:color="auto" w:fill="FFFFFF"/>
          <w14:textFill>
            <w14:solidFill>
              <w14:schemeClr w14:val="tx1"/>
            </w14:solidFill>
          </w14:textFill>
        </w:rPr>
        <w:t xml:space="preserve"> </w:t>
      </w:r>
      <w:r>
        <w:rPr>
          <w:rFonts w:ascii="Times New Roman" w:hAnsi="Times New Roman" w:eastAsia="宋体" w:cs="Times New Roman"/>
          <w:color w:val="000000" w:themeColor="text1"/>
          <w:kern w:val="0"/>
          <w:sz w:val="24"/>
          <w:szCs w:val="24"/>
          <w:shd w:val="clear" w:color="auto" w:fill="FFFFFF"/>
          <w14:textFill>
            <w14:solidFill>
              <w14:schemeClr w14:val="tx1"/>
            </w14:solidFill>
          </w14:textFill>
        </w:rPr>
        <w:t xml:space="preserve">The mean body weight of each group </w:t>
      </w:r>
      <w:r>
        <w:rPr>
          <w:rFonts w:ascii="Times New Roman" w:hAnsi="Times New Roman" w:cs="Times New Roman"/>
          <w:color w:val="000000"/>
          <w:sz w:val="24"/>
          <w:szCs w:val="24"/>
        </w:rPr>
        <w:t>was recorded every 2 days for up to 15 days. B The body weight of each mouse was recorded at the end of experiments.</w:t>
      </w:r>
    </w:p>
    <w:p>
      <w:pPr>
        <w:spacing w:line="360" w:lineRule="auto"/>
        <w:jc w:val="center"/>
        <w:rPr>
          <w:rFonts w:ascii="Times New Roman" w:hAnsi="Times New Roman" w:eastAsia="宋体" w:cs="Times New Roman"/>
          <w:color w:val="000000" w:themeColor="text1"/>
          <w:kern w:val="0"/>
          <w:sz w:val="24"/>
          <w:szCs w:val="24"/>
          <w:shd w:val="clear" w:color="auto" w:fill="FFFFFF"/>
          <w14:textFill>
            <w14:solidFill>
              <w14:schemeClr w14:val="tx1"/>
            </w14:solidFill>
          </w14:textFill>
        </w:rPr>
      </w:pPr>
    </w:p>
    <w:p>
      <w:pPr>
        <w:spacing w:line="360" w:lineRule="auto"/>
        <w:jc w:val="center"/>
        <w:rPr>
          <w:rFonts w:ascii="Times New Roman" w:hAnsi="Times New Roman" w:eastAsia="宋体" w:cs="Times New Roman"/>
          <w:color w:val="000000" w:themeColor="text1"/>
          <w:kern w:val="0"/>
          <w:sz w:val="24"/>
          <w:szCs w:val="24"/>
          <w:shd w:val="clear" w:color="auto" w:fill="FFFFFF"/>
          <w14:textFill>
            <w14:solidFill>
              <w14:schemeClr w14:val="tx1"/>
            </w14:solidFill>
          </w14:textFill>
        </w:rPr>
      </w:pPr>
    </w:p>
    <w:p>
      <w:pPr>
        <w:spacing w:line="360" w:lineRule="auto"/>
        <w:jc w:val="center"/>
        <w:rPr>
          <w:rFonts w:ascii="Times New Roman" w:hAnsi="Times New Roman" w:eastAsia="宋体" w:cs="Times New Roman"/>
          <w:color w:val="000000" w:themeColor="text1"/>
          <w:kern w:val="0"/>
          <w:sz w:val="24"/>
          <w:szCs w:val="24"/>
          <w:shd w:val="clear" w:color="auto" w:fill="FFFFFF"/>
          <w14:textFill>
            <w14:solidFill>
              <w14:schemeClr w14:val="tx1"/>
            </w14:solidFill>
          </w14:textFill>
        </w:rPr>
      </w:pPr>
    </w:p>
    <w:p>
      <w:pPr>
        <w:spacing w:line="360" w:lineRule="auto"/>
        <w:jc w:val="center"/>
        <w:rPr>
          <w:rFonts w:ascii="Times New Roman" w:hAnsi="Times New Roman" w:eastAsia="宋体" w:cs="Times New Roman"/>
          <w:color w:val="000000" w:themeColor="text1"/>
          <w:kern w:val="0"/>
          <w:sz w:val="24"/>
          <w:szCs w:val="24"/>
          <w:shd w:val="clear" w:color="auto" w:fill="FFFFFF"/>
          <w14:textFill>
            <w14:solidFill>
              <w14:schemeClr w14:val="tx1"/>
            </w14:solidFill>
          </w14:textFill>
        </w:rPr>
      </w:pPr>
    </w:p>
    <w:p>
      <w:pPr>
        <w:spacing w:line="360" w:lineRule="auto"/>
        <w:jc w:val="center"/>
        <w:rPr>
          <w:rFonts w:ascii="Times New Roman" w:hAnsi="Times New Roman" w:eastAsia="宋体" w:cs="Times New Roman"/>
          <w:color w:val="000000" w:themeColor="text1"/>
          <w:kern w:val="0"/>
          <w:sz w:val="24"/>
          <w:szCs w:val="24"/>
          <w:shd w:val="clear" w:color="auto" w:fill="FFFFFF"/>
          <w14:textFill>
            <w14:solidFill>
              <w14:schemeClr w14:val="tx1"/>
            </w14:solidFill>
          </w14:textFill>
        </w:rPr>
      </w:pPr>
    </w:p>
    <w:p>
      <w:pPr>
        <w:spacing w:line="360" w:lineRule="auto"/>
        <w:jc w:val="center"/>
        <w:rPr>
          <w:rFonts w:ascii="Times New Roman" w:hAnsi="Times New Roman" w:eastAsia="宋体" w:cs="Times New Roman"/>
          <w:color w:val="000000" w:themeColor="text1"/>
          <w:kern w:val="0"/>
          <w:sz w:val="24"/>
          <w:szCs w:val="24"/>
          <w:shd w:val="clear" w:color="auto" w:fill="FFFFFF"/>
          <w14:textFill>
            <w14:solidFill>
              <w14:schemeClr w14:val="tx1"/>
            </w14:solidFill>
          </w14:textFill>
        </w:rPr>
      </w:pPr>
    </w:p>
    <w:p>
      <w:pPr>
        <w:spacing w:line="360" w:lineRule="auto"/>
        <w:jc w:val="center"/>
        <w:rPr>
          <w:rFonts w:ascii="Times New Roman" w:hAnsi="Times New Roman" w:eastAsia="宋体" w:cs="Times New Roman"/>
          <w:color w:val="000000" w:themeColor="text1"/>
          <w:kern w:val="0"/>
          <w:sz w:val="24"/>
          <w:szCs w:val="24"/>
          <w:shd w:val="clear" w:color="auto" w:fill="FFFFFF"/>
          <w14:textFill>
            <w14:solidFill>
              <w14:schemeClr w14:val="tx1"/>
            </w14:solidFill>
          </w14:textFill>
        </w:rPr>
      </w:pPr>
      <w:r>
        <w:rPr>
          <w:rFonts w:hint="eastAsia" w:ascii="Times New Roman" w:hAnsi="Times New Roman" w:eastAsia="宋体" w:cs="Times New Roman"/>
          <w:color w:val="000000" w:themeColor="text1"/>
          <w:kern w:val="0"/>
          <w:sz w:val="24"/>
          <w:szCs w:val="24"/>
          <w:shd w:val="clear" w:color="auto" w:fill="FFFFFF"/>
          <w14:textFill>
            <w14:solidFill>
              <w14:schemeClr w14:val="tx1"/>
            </w14:solidFill>
          </w14:textFill>
        </w:rPr>
        <w:drawing>
          <wp:inline distT="0" distB="0" distL="0" distR="0">
            <wp:extent cx="5039360" cy="6242050"/>
            <wp:effectExtent l="0" t="0" r="8890" b="635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039868" cy="6242304"/>
                    </a:xfrm>
                    <a:prstGeom prst="rect">
                      <a:avLst/>
                    </a:prstGeom>
                  </pic:spPr>
                </pic:pic>
              </a:graphicData>
            </a:graphic>
          </wp:inline>
        </w:drawing>
      </w:r>
    </w:p>
    <w:p>
      <w:pPr>
        <w:spacing w:line="360" w:lineRule="auto"/>
        <w:rPr>
          <w:rFonts w:ascii="Times New Roman" w:hAnsi="Times New Roman" w:cs="Times New Roman"/>
          <w:b/>
          <w:color w:val="000000"/>
          <w:sz w:val="24"/>
          <w:szCs w:val="24"/>
        </w:rPr>
      </w:pPr>
      <w:r>
        <w:rPr>
          <w:rFonts w:ascii="Times New Roman" w:hAnsi="Times New Roman" w:cs="Times New Roman"/>
          <w:b/>
          <w:bCs/>
          <w:sz w:val="24"/>
          <w:szCs w:val="24"/>
          <w:highlight w:val="none"/>
        </w:rPr>
        <w:t xml:space="preserve">Fig. S14 </w:t>
      </w:r>
      <w:r>
        <w:rPr>
          <w:rFonts w:ascii="Times New Roman" w:hAnsi="Times New Roman" w:cs="Times New Roman"/>
          <w:b/>
          <w:bCs/>
          <w:sz w:val="24"/>
          <w:szCs w:val="24"/>
        </w:rPr>
        <w:t xml:space="preserve">All animals did not exhibit abnormal histopathological changes. </w:t>
      </w:r>
      <w:r>
        <w:rPr>
          <w:rFonts w:ascii="Times New Roman" w:hAnsi="Times New Roman" w:cs="Times New Roman"/>
          <w:sz w:val="24"/>
          <w:szCs w:val="24"/>
        </w:rPr>
        <w:t xml:space="preserve">Representative images of the histological examination of HE-stained sections of hearts, livers, spleen, lung and kidneys. </w:t>
      </w:r>
      <w:r>
        <w:rPr>
          <w:rFonts w:ascii="Times New Roman" w:hAnsi="Times New Roman" w:eastAsia="宋体" w:cs="Times New Roman"/>
          <w:kern w:val="0"/>
          <w:sz w:val="24"/>
          <w:szCs w:val="24"/>
          <w:shd w:val="clear" w:color="auto" w:fill="FFFFFF"/>
        </w:rPr>
        <w:t>Scale bar = 200 μm.</w:t>
      </w:r>
    </w:p>
    <w:p>
      <w:pPr>
        <w:spacing w:line="360" w:lineRule="auto"/>
        <w:rPr>
          <w:rFonts w:ascii="Times New Roman" w:hAnsi="Times New Roman" w:cs="Times New Roman"/>
          <w:sz w:val="24"/>
          <w:szCs w:val="24"/>
        </w:rPr>
      </w:pPr>
    </w:p>
    <w:p>
      <w:pPr>
        <w:spacing w:line="360" w:lineRule="auto"/>
        <w:jc w:val="center"/>
        <w:rPr>
          <w:rFonts w:ascii="Times New Roman" w:hAnsi="Times New Roman" w:eastAsia="宋体" w:cs="Times New Roman"/>
          <w:color w:val="000000" w:themeColor="text1"/>
          <w:kern w:val="0"/>
          <w:sz w:val="24"/>
          <w:szCs w:val="24"/>
          <w:shd w:val="clear" w:color="auto" w:fill="FFFFFF"/>
          <w14:textFill>
            <w14:solidFill>
              <w14:schemeClr w14:val="tx1"/>
            </w14:solidFill>
          </w14:textFill>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I1MjdhOWYyNWVmYmUwMWQ3ODI4ZDUxYjUzMDIwY2YifQ=="/>
  </w:docVars>
  <w:rsids>
    <w:rsidRoot w:val="008762F4"/>
    <w:rsid w:val="0004210B"/>
    <w:rsid w:val="000A59A5"/>
    <w:rsid w:val="001225AC"/>
    <w:rsid w:val="00151531"/>
    <w:rsid w:val="00172FE6"/>
    <w:rsid w:val="00185702"/>
    <w:rsid w:val="001A1C0B"/>
    <w:rsid w:val="001B3198"/>
    <w:rsid w:val="001D539F"/>
    <w:rsid w:val="002232F5"/>
    <w:rsid w:val="00247ACA"/>
    <w:rsid w:val="00263A4F"/>
    <w:rsid w:val="002E673F"/>
    <w:rsid w:val="003B5BBC"/>
    <w:rsid w:val="0040386F"/>
    <w:rsid w:val="0044696C"/>
    <w:rsid w:val="004A1496"/>
    <w:rsid w:val="004A5EC3"/>
    <w:rsid w:val="005B7BE4"/>
    <w:rsid w:val="005E4941"/>
    <w:rsid w:val="00660C8F"/>
    <w:rsid w:val="006C738D"/>
    <w:rsid w:val="0078624A"/>
    <w:rsid w:val="008762F4"/>
    <w:rsid w:val="00890012"/>
    <w:rsid w:val="008E6A1F"/>
    <w:rsid w:val="008F4365"/>
    <w:rsid w:val="009521E6"/>
    <w:rsid w:val="00954869"/>
    <w:rsid w:val="009E1E89"/>
    <w:rsid w:val="009F17EC"/>
    <w:rsid w:val="00A32564"/>
    <w:rsid w:val="00A731BA"/>
    <w:rsid w:val="00A90E44"/>
    <w:rsid w:val="00B327B7"/>
    <w:rsid w:val="00BE3022"/>
    <w:rsid w:val="00BF02A1"/>
    <w:rsid w:val="00C267DE"/>
    <w:rsid w:val="00C8035B"/>
    <w:rsid w:val="00D57A16"/>
    <w:rsid w:val="00D745DE"/>
    <w:rsid w:val="00D80383"/>
    <w:rsid w:val="00DB7EB3"/>
    <w:rsid w:val="00E4465F"/>
    <w:rsid w:val="00EB15AC"/>
    <w:rsid w:val="00ED4B45"/>
    <w:rsid w:val="00F179DA"/>
    <w:rsid w:val="00F47951"/>
    <w:rsid w:val="00F70F94"/>
    <w:rsid w:val="07063444"/>
    <w:rsid w:val="5E8A75F4"/>
    <w:rsid w:val="77EF08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0"/>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Emphasis"/>
    <w:basedOn w:val="6"/>
    <w:qFormat/>
    <w:uiPriority w:val="20"/>
    <w:rPr>
      <w:i/>
      <w:iCs/>
    </w:rPr>
  </w:style>
  <w:style w:type="character" w:customStyle="1" w:styleId="8">
    <w:name w:val="页眉 字符"/>
    <w:basedOn w:val="6"/>
    <w:link w:val="4"/>
    <w:qFormat/>
    <w:uiPriority w:val="99"/>
    <w:rPr>
      <w:sz w:val="18"/>
      <w:szCs w:val="18"/>
    </w:rPr>
  </w:style>
  <w:style w:type="character" w:customStyle="1" w:styleId="9">
    <w:name w:val="页脚 字符"/>
    <w:basedOn w:val="6"/>
    <w:link w:val="3"/>
    <w:qFormat/>
    <w:uiPriority w:val="99"/>
    <w:rPr>
      <w:sz w:val="18"/>
      <w:szCs w:val="18"/>
    </w:rPr>
  </w:style>
  <w:style w:type="character" w:customStyle="1" w:styleId="10">
    <w:name w:val="标题 1 字符"/>
    <w:basedOn w:val="6"/>
    <w:link w:val="2"/>
    <w:qFormat/>
    <w:uiPriority w:val="9"/>
    <w:rPr>
      <w:rFonts w:ascii="宋体" w:hAnsi="宋体" w:eastAsia="宋体" w:cs="宋体"/>
      <w:b/>
      <w:bCs/>
      <w:kern w:val="36"/>
      <w:sz w:val="48"/>
      <w:szCs w:val="48"/>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image" Target="media/image5.tiff"/><Relationship Id="rId7" Type="http://schemas.openxmlformats.org/officeDocument/2006/relationships/image" Target="media/image4.tiff"/><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1.xml"/><Relationship Id="rId17" Type="http://schemas.openxmlformats.org/officeDocument/2006/relationships/image" Target="media/image2.jpeg"/><Relationship Id="rId16" Type="http://schemas.openxmlformats.org/officeDocument/2006/relationships/image" Target="media/image12.tiff"/><Relationship Id="rId15" Type="http://schemas.openxmlformats.org/officeDocument/2006/relationships/image" Target="media/image11.tiff"/><Relationship Id="rId14" Type="http://schemas.openxmlformats.org/officeDocument/2006/relationships/image" Target="media/image10.tiff"/><Relationship Id="rId13" Type="http://schemas.openxmlformats.org/officeDocument/2006/relationships/image" Target="media/image9.tiff"/><Relationship Id="rId12" Type="http://schemas.openxmlformats.org/officeDocument/2006/relationships/image" Target="media/image8.tiff"/><Relationship Id="rId11" Type="http://schemas.openxmlformats.org/officeDocument/2006/relationships/image" Target="media/image7.tiff"/><Relationship Id="rId10" Type="http://schemas.openxmlformats.org/officeDocument/2006/relationships/image" Target="media/image6.tif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807</Words>
  <Characters>3912</Characters>
  <Lines>33</Lines>
  <Paragraphs>9</Paragraphs>
  <TotalTime>5</TotalTime>
  <ScaleCrop>false</ScaleCrop>
  <LinksUpToDate>false</LinksUpToDate>
  <CharactersWithSpaces>4710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2022-06-16T13:51:00Z</dcterms:created>
  <dc:creator>璐 张</dc:creator>
  <cp:lastModifiedBy>cc</cp:lastModifiedBy>
  <dcterms:modified xsi:type="dcterms:W3CDTF">2022-06-16T15:32:13Z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D391C1172CC342DDA482C7BDEDE3CCDA</vt:lpwstr>
  </property>
</Properties>
</file>