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20B" w:rsidRDefault="007D020B" w:rsidP="007D020B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Supplemental appendix</w:t>
      </w:r>
    </w:p>
    <w:p w:rsidR="007D020B" w:rsidRDefault="007D020B" w:rsidP="007D020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020B" w:rsidRPr="00C44D62" w:rsidRDefault="007D020B" w:rsidP="007D020B">
      <w:pPr>
        <w:jc w:val="center"/>
        <w:rPr>
          <w:rFonts w:ascii="Times New Roman" w:eastAsia="Times New Roman" w:hAnsi="Times New Roman" w:cs="Times New Roman"/>
          <w:sz w:val="32"/>
          <w:szCs w:val="32"/>
          <w:lang w:val="fr-FR"/>
        </w:rPr>
      </w:pPr>
    </w:p>
    <w:p w:rsidR="007D020B" w:rsidRDefault="007D020B" w:rsidP="007D020B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color w:val="FF0000"/>
          <w:lang w:eastAsia="en-US"/>
        </w:rPr>
        <w:drawing>
          <wp:inline distT="0" distB="0" distL="0" distR="0" wp14:anchorId="74F75C19" wp14:editId="50950E36">
            <wp:extent cx="5783439" cy="2717861"/>
            <wp:effectExtent l="0" t="0" r="0" b="0"/>
            <wp:docPr id="220" name="image4.jpg" descr="population inclus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population incluse"/>
                    <pic:cNvPicPr preferRelativeResize="0"/>
                  </pic:nvPicPr>
                  <pic:blipFill>
                    <a:blip r:embed="rId4"/>
                    <a:srcRect l="5299" t="4101" r="4703" b="22614"/>
                    <a:stretch>
                      <a:fillRect/>
                    </a:stretch>
                  </pic:blipFill>
                  <pic:spPr>
                    <a:xfrm>
                      <a:off x="0" y="0"/>
                      <a:ext cx="5783439" cy="27178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D020B" w:rsidRDefault="007D020B" w:rsidP="007D020B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Appendix Figure 1:</w:t>
      </w:r>
      <w:r>
        <w:rPr>
          <w:rFonts w:ascii="Times New Roman" w:eastAsia="Times New Roman" w:hAnsi="Times New Roman" w:cs="Times New Roman"/>
        </w:rPr>
        <w:t xml:space="preserve"> Flow diagram of patient inclusion in the descriptive study of the endodontic treatments.</w:t>
      </w:r>
    </w:p>
    <w:p w:rsidR="007D020B" w:rsidRDefault="007D020B" w:rsidP="007D020B">
      <w:pPr>
        <w:rPr>
          <w:rFonts w:ascii="Times New Roman" w:eastAsia="Times New Roman" w:hAnsi="Times New Roman" w:cs="Times New Roman"/>
        </w:rPr>
      </w:pPr>
    </w:p>
    <w:p w:rsidR="007D020B" w:rsidRDefault="007D020B" w:rsidP="007D020B">
      <w:r>
        <w:rPr>
          <w:noProof/>
          <w:lang w:eastAsia="en-US"/>
        </w:rPr>
        <w:drawing>
          <wp:inline distT="0" distB="0" distL="0" distR="0" wp14:anchorId="014F1373" wp14:editId="51A9D07C">
            <wp:extent cx="5760720" cy="355536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20B" w:rsidRDefault="007D020B" w:rsidP="007D020B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Appendix Figure 2:</w:t>
      </w:r>
      <w:r>
        <w:rPr>
          <w:rFonts w:ascii="Times New Roman" w:eastAsia="Times New Roman" w:hAnsi="Times New Roman" w:cs="Times New Roman"/>
        </w:rPr>
        <w:t xml:space="preserve"> Flow diagram of publication inclusion in the literature systematic review.</w:t>
      </w:r>
    </w:p>
    <w:p w:rsidR="007D020B" w:rsidRDefault="007D020B" w:rsidP="007D020B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Root canal treatments performed by postgraduate or specialists have been excluded because of the risk of overestimating the quality of endodontic treatments.  </w:t>
      </w:r>
    </w:p>
    <w:p w:rsidR="007D020B" w:rsidRDefault="007D020B" w:rsidP="007D020B">
      <w:pPr>
        <w:rPr>
          <w:rFonts w:ascii="Times New Roman" w:eastAsia="Times New Roman" w:hAnsi="Times New Roman" w:cs="Times New Roman"/>
        </w:rPr>
        <w:sectPr w:rsidR="007D020B">
          <w:footerReference w:type="default" r:id="rId6"/>
          <w:pgSz w:w="11906" w:h="16838"/>
          <w:pgMar w:top="1417" w:right="1417" w:bottom="1417" w:left="1417" w:header="708" w:footer="708" w:gutter="0"/>
          <w:pgNumType w:start="1"/>
          <w:cols w:space="720"/>
        </w:sectPr>
      </w:pPr>
    </w:p>
    <w:p w:rsidR="007D020B" w:rsidRDefault="007D020B" w:rsidP="007D020B">
      <w:pPr>
        <w:spacing w:after="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Appendix Table 1: </w:t>
      </w:r>
      <w:r>
        <w:rPr>
          <w:rFonts w:ascii="Times New Roman" w:eastAsia="Times New Roman" w:hAnsi="Times New Roman" w:cs="Times New Roman"/>
        </w:rPr>
        <w:t>Characteristics of included studies.</w:t>
      </w:r>
    </w:p>
    <w:p w:rsidR="007D020B" w:rsidRDefault="007D020B" w:rsidP="007D020B">
      <w:pPr>
        <w:spacing w:after="0"/>
        <w:jc w:val="both"/>
        <w:rPr>
          <w:rFonts w:ascii="Times New Roman" w:eastAsia="Times New Roman" w:hAnsi="Times New Roman" w:cs="Times New Roman"/>
          <w:b/>
        </w:rPr>
      </w:pPr>
    </w:p>
    <w:tbl>
      <w:tblPr>
        <w:tblW w:w="14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68"/>
        <w:gridCol w:w="1017"/>
        <w:gridCol w:w="1071"/>
        <w:gridCol w:w="1116"/>
        <w:gridCol w:w="1067"/>
        <w:gridCol w:w="1216"/>
        <w:gridCol w:w="3546"/>
        <w:gridCol w:w="3828"/>
      </w:tblGrid>
      <w:tr w:rsidR="007D020B" w:rsidTr="008E69F8">
        <w:tc>
          <w:tcPr>
            <w:tcW w:w="1168" w:type="dxa"/>
            <w:vAlign w:val="center"/>
          </w:tcPr>
          <w:p w:rsidR="007D020B" w:rsidRDefault="007D020B" w:rsidP="008E69F8">
            <w:pPr>
              <w:jc w:val="center"/>
            </w:pPr>
            <w:r>
              <w:t>Author</w:t>
            </w:r>
          </w:p>
          <w:p w:rsidR="007D020B" w:rsidRDefault="007D020B" w:rsidP="008E69F8">
            <w:pPr>
              <w:jc w:val="center"/>
            </w:pPr>
            <w:r>
              <w:t>Year</w:t>
            </w:r>
          </w:p>
          <w:p w:rsidR="007D020B" w:rsidRDefault="007D020B" w:rsidP="008E69F8">
            <w:pPr>
              <w:jc w:val="center"/>
            </w:pPr>
            <w:r>
              <w:t>Country</w:t>
            </w:r>
          </w:p>
        </w:tc>
        <w:tc>
          <w:tcPr>
            <w:tcW w:w="1017" w:type="dxa"/>
            <w:vAlign w:val="center"/>
          </w:tcPr>
          <w:p w:rsidR="007D020B" w:rsidRDefault="007D020B" w:rsidP="008E69F8">
            <w:pPr>
              <w:jc w:val="center"/>
            </w:pPr>
            <w:r>
              <w:t>Study design</w:t>
            </w:r>
          </w:p>
        </w:tc>
        <w:tc>
          <w:tcPr>
            <w:tcW w:w="1071" w:type="dxa"/>
            <w:vAlign w:val="center"/>
          </w:tcPr>
          <w:p w:rsidR="007D020B" w:rsidRDefault="007D020B" w:rsidP="008E69F8">
            <w:pPr>
              <w:jc w:val="center"/>
            </w:pPr>
            <w:r>
              <w:t>Sample group (n)</w:t>
            </w:r>
          </w:p>
          <w:p w:rsidR="007D020B" w:rsidRDefault="007D020B" w:rsidP="008E69F8">
            <w:pPr>
              <w:jc w:val="center"/>
            </w:pPr>
          </w:p>
          <w:p w:rsidR="007D020B" w:rsidRDefault="007D020B" w:rsidP="008E69F8">
            <w:pPr>
              <w:jc w:val="center"/>
            </w:pPr>
            <w:r>
              <w:t>% F and M</w:t>
            </w:r>
          </w:p>
        </w:tc>
        <w:tc>
          <w:tcPr>
            <w:tcW w:w="1116" w:type="dxa"/>
            <w:vAlign w:val="center"/>
          </w:tcPr>
          <w:p w:rsidR="007D020B" w:rsidRDefault="007D020B" w:rsidP="008E69F8">
            <w:pPr>
              <w:jc w:val="center"/>
            </w:pPr>
            <w:r>
              <w:t>% of AP</w:t>
            </w:r>
          </w:p>
        </w:tc>
        <w:tc>
          <w:tcPr>
            <w:tcW w:w="1067" w:type="dxa"/>
            <w:vAlign w:val="center"/>
          </w:tcPr>
          <w:p w:rsidR="007D020B" w:rsidRDefault="007D020B" w:rsidP="008E69F8">
            <w:pPr>
              <w:jc w:val="center"/>
            </w:pPr>
            <w:r>
              <w:t>% of adequate RCT</w:t>
            </w:r>
          </w:p>
        </w:tc>
        <w:tc>
          <w:tcPr>
            <w:tcW w:w="1216" w:type="dxa"/>
            <w:vAlign w:val="center"/>
          </w:tcPr>
          <w:p w:rsidR="007D020B" w:rsidRDefault="007D020B" w:rsidP="008E69F8">
            <w:pPr>
              <w:jc w:val="center"/>
            </w:pPr>
            <w:r>
              <w:t>% of adequate coronal restoration</w:t>
            </w:r>
          </w:p>
        </w:tc>
        <w:tc>
          <w:tcPr>
            <w:tcW w:w="3546" w:type="dxa"/>
            <w:vAlign w:val="center"/>
          </w:tcPr>
          <w:p w:rsidR="007D020B" w:rsidRDefault="007D020B" w:rsidP="008E69F8">
            <w:pPr>
              <w:jc w:val="center"/>
            </w:pPr>
            <w:r>
              <w:t>Results</w:t>
            </w:r>
          </w:p>
        </w:tc>
        <w:tc>
          <w:tcPr>
            <w:tcW w:w="3828" w:type="dxa"/>
            <w:vAlign w:val="center"/>
          </w:tcPr>
          <w:p w:rsidR="007D020B" w:rsidRDefault="007D020B" w:rsidP="008E69F8">
            <w:pPr>
              <w:jc w:val="center"/>
            </w:pPr>
            <w:r>
              <w:t>Main conclusion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t>Moreno et al.</w:t>
            </w:r>
          </w:p>
          <w:p w:rsidR="007D020B" w:rsidRDefault="007D020B" w:rsidP="008E69F8">
            <w:r>
              <w:t>2013</w:t>
            </w:r>
          </w:p>
          <w:p w:rsidR="007D020B" w:rsidRDefault="007D020B" w:rsidP="008E69F8">
            <w:r>
              <w:t>Colombia</w:t>
            </w:r>
          </w:p>
        </w:tc>
        <w:tc>
          <w:tcPr>
            <w:tcW w:w="1017" w:type="dxa"/>
          </w:tcPr>
          <w:p w:rsidR="007D020B" w:rsidRDefault="007D020B" w:rsidP="008E69F8">
            <w:r>
              <w:t>Cross sectional</w:t>
            </w:r>
          </w:p>
        </w:tc>
        <w:tc>
          <w:tcPr>
            <w:tcW w:w="1071" w:type="dxa"/>
          </w:tcPr>
          <w:p w:rsidR="007D020B" w:rsidRDefault="007D020B" w:rsidP="008E69F8">
            <w:r>
              <w:t>1086 teeth</w:t>
            </w:r>
          </w:p>
          <w:p w:rsidR="007D020B" w:rsidRDefault="007D020B" w:rsidP="008E69F8"/>
          <w:p w:rsidR="007D020B" w:rsidRDefault="007D020B" w:rsidP="008E69F8">
            <w:r>
              <w:t>66% F</w:t>
            </w:r>
          </w:p>
          <w:p w:rsidR="007D020B" w:rsidRDefault="007D020B" w:rsidP="008E69F8">
            <w:r>
              <w:t>34% M</w:t>
            </w:r>
          </w:p>
        </w:tc>
        <w:tc>
          <w:tcPr>
            <w:tcW w:w="1116" w:type="dxa"/>
          </w:tcPr>
          <w:p w:rsidR="007D020B" w:rsidRDefault="007D020B" w:rsidP="008E69F8">
            <w:r>
              <w:t>49%</w:t>
            </w:r>
          </w:p>
        </w:tc>
        <w:tc>
          <w:tcPr>
            <w:tcW w:w="1067" w:type="dxa"/>
          </w:tcPr>
          <w:p w:rsidR="007D020B" w:rsidRDefault="007D020B" w:rsidP="008E69F8">
            <w:r>
              <w:t>33%</w:t>
            </w:r>
          </w:p>
        </w:tc>
        <w:tc>
          <w:tcPr>
            <w:tcW w:w="1216" w:type="dxa"/>
          </w:tcPr>
          <w:p w:rsidR="007D020B" w:rsidRDefault="007D020B" w:rsidP="008E69F8">
            <w:r>
              <w:t>40%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 43%</w:t>
            </w:r>
          </w:p>
          <w:p w:rsidR="007D020B" w:rsidRDefault="007D020B" w:rsidP="008E69F8">
            <w:r>
              <w:t>PR/PE and diseased PA: 57%</w:t>
            </w:r>
          </w:p>
          <w:p w:rsidR="007D020B" w:rsidRDefault="007D020B" w:rsidP="008E69F8">
            <w:r>
              <w:t>GR/GE and normal PA: 66%</w:t>
            </w:r>
          </w:p>
          <w:p w:rsidR="007D020B" w:rsidRDefault="007D020B" w:rsidP="008E69F8">
            <w:r>
              <w:t>GR/GE and diseased PA: 34%</w:t>
            </w:r>
          </w:p>
          <w:p w:rsidR="007D020B" w:rsidRDefault="007D020B" w:rsidP="008E69F8">
            <w:r>
              <w:t>GR/PE and normal PA: 52%</w:t>
            </w:r>
          </w:p>
          <w:p w:rsidR="007D020B" w:rsidRDefault="007D020B" w:rsidP="008E69F8">
            <w:r>
              <w:t>GR/PE and diseased PA: 48%</w:t>
            </w:r>
          </w:p>
          <w:p w:rsidR="007D020B" w:rsidRDefault="007D020B" w:rsidP="008E69F8">
            <w:r>
              <w:t>PR/GE and normal PA: 56%</w:t>
            </w:r>
          </w:p>
          <w:p w:rsidR="007D020B" w:rsidRDefault="007D020B" w:rsidP="008E69F8">
            <w:r>
              <w:t>PR/GE and diseased PA: 44%</w:t>
            </w:r>
          </w:p>
        </w:tc>
        <w:tc>
          <w:tcPr>
            <w:tcW w:w="3828" w:type="dxa"/>
          </w:tcPr>
          <w:p w:rsidR="007D020B" w:rsidRDefault="007D020B" w:rsidP="008E69F8">
            <w:r>
              <w:t>The quality of the endodontic treatment was the most determinant factor for healthy periradicular status.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t xml:space="preserve">Hommez et al. </w:t>
            </w:r>
          </w:p>
          <w:p w:rsidR="007D020B" w:rsidRDefault="007D020B" w:rsidP="008E69F8">
            <w:r>
              <w:t>2002</w:t>
            </w:r>
          </w:p>
          <w:p w:rsidR="007D020B" w:rsidRDefault="007D020B" w:rsidP="008E69F8">
            <w:r>
              <w:t>Belgium</w:t>
            </w:r>
          </w:p>
        </w:tc>
        <w:tc>
          <w:tcPr>
            <w:tcW w:w="1017" w:type="dxa"/>
          </w:tcPr>
          <w:p w:rsidR="007D020B" w:rsidRDefault="007D020B" w:rsidP="008E69F8">
            <w:r>
              <w:t>Cross sectional</w:t>
            </w:r>
          </w:p>
        </w:tc>
        <w:tc>
          <w:tcPr>
            <w:tcW w:w="1071" w:type="dxa"/>
          </w:tcPr>
          <w:p w:rsidR="007D020B" w:rsidRDefault="007D020B" w:rsidP="008E69F8">
            <w:r>
              <w:t>745 teeth</w:t>
            </w:r>
          </w:p>
          <w:p w:rsidR="007D020B" w:rsidRDefault="007D020B" w:rsidP="008E69F8"/>
          <w:p w:rsidR="007D020B" w:rsidRDefault="007D020B" w:rsidP="008E69F8">
            <w:r>
              <w:t>NA</w:t>
            </w:r>
          </w:p>
        </w:tc>
        <w:tc>
          <w:tcPr>
            <w:tcW w:w="1116" w:type="dxa"/>
          </w:tcPr>
          <w:p w:rsidR="007D020B" w:rsidRDefault="007D020B" w:rsidP="008E69F8">
            <w:r>
              <w:t>32.5%</w:t>
            </w:r>
          </w:p>
        </w:tc>
        <w:tc>
          <w:tcPr>
            <w:tcW w:w="1067" w:type="dxa"/>
          </w:tcPr>
          <w:p w:rsidR="007D020B" w:rsidRDefault="007D020B" w:rsidP="008E69F8">
            <w:r>
              <w:t>34.4%</w:t>
            </w:r>
          </w:p>
        </w:tc>
        <w:tc>
          <w:tcPr>
            <w:tcW w:w="1216" w:type="dxa"/>
          </w:tcPr>
          <w:p w:rsidR="007D020B" w:rsidRDefault="007D020B" w:rsidP="008E69F8">
            <w:r>
              <w:t>67.4%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 56.8%</w:t>
            </w:r>
          </w:p>
          <w:p w:rsidR="007D020B" w:rsidRDefault="007D020B" w:rsidP="008E69F8">
            <w:r>
              <w:t>PR/PE and diseased PA:43.2 %</w:t>
            </w:r>
          </w:p>
          <w:p w:rsidR="007D020B" w:rsidRDefault="007D020B" w:rsidP="008E69F8">
            <w:r>
              <w:t>GR/GE and normal PA: 77.5%</w:t>
            </w:r>
          </w:p>
          <w:p w:rsidR="007D020B" w:rsidRDefault="007D020B" w:rsidP="008E69F8">
            <w:r>
              <w:t>GR/GE and diseased PA: 22.5%</w:t>
            </w:r>
          </w:p>
          <w:p w:rsidR="007D020B" w:rsidRDefault="007D020B" w:rsidP="008E69F8">
            <w:r>
              <w:t>GR/PE and normal PA: 65.6%</w:t>
            </w:r>
          </w:p>
          <w:p w:rsidR="007D020B" w:rsidRDefault="007D020B" w:rsidP="008E69F8">
            <w:r>
              <w:t>GR/PE and diseased PA: 34.4%</w:t>
            </w:r>
          </w:p>
          <w:p w:rsidR="007D020B" w:rsidRDefault="007D020B" w:rsidP="008E69F8">
            <w:r>
              <w:lastRenderedPageBreak/>
              <w:t>PR/GE and normal PA:75.7 %</w:t>
            </w:r>
          </w:p>
          <w:p w:rsidR="007D020B" w:rsidRDefault="007D020B" w:rsidP="008E69F8">
            <w:r>
              <w:t>PR/GE and diseased PA: 24.3%</w:t>
            </w:r>
          </w:p>
        </w:tc>
        <w:tc>
          <w:tcPr>
            <w:tcW w:w="3828" w:type="dxa"/>
          </w:tcPr>
          <w:p w:rsidR="007D020B" w:rsidRDefault="007D020B" w:rsidP="008E69F8">
            <w:r>
              <w:lastRenderedPageBreak/>
              <w:t xml:space="preserve">The importance of a good coronal restoration, as well as of a good root filling should be emphasized as the technical quality of both influencing the periapical status. 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t>Siqueira et al.</w:t>
            </w:r>
            <w:r>
              <w:br/>
              <w:t>2005</w:t>
            </w:r>
          </w:p>
          <w:p w:rsidR="007D020B" w:rsidRDefault="007D020B" w:rsidP="008E69F8">
            <w:r>
              <w:t>Brasil</w:t>
            </w:r>
          </w:p>
        </w:tc>
        <w:tc>
          <w:tcPr>
            <w:tcW w:w="1017" w:type="dxa"/>
          </w:tcPr>
          <w:p w:rsidR="007D020B" w:rsidRDefault="007D020B" w:rsidP="008E69F8">
            <w:r>
              <w:t>Cross sectional</w:t>
            </w:r>
          </w:p>
        </w:tc>
        <w:tc>
          <w:tcPr>
            <w:tcW w:w="1071" w:type="dxa"/>
          </w:tcPr>
          <w:p w:rsidR="007D020B" w:rsidRDefault="007D020B" w:rsidP="008E69F8">
            <w:r>
              <w:t>2051 teeth</w:t>
            </w:r>
          </w:p>
          <w:p w:rsidR="007D020B" w:rsidRDefault="007D020B" w:rsidP="008E69F8"/>
          <w:p w:rsidR="007D020B" w:rsidRDefault="007D020B" w:rsidP="008E69F8">
            <w:r>
              <w:t>66.3% F</w:t>
            </w:r>
          </w:p>
          <w:p w:rsidR="007D020B" w:rsidRDefault="007D020B" w:rsidP="008E69F8">
            <w:r>
              <w:t>33.7 M</w:t>
            </w:r>
          </w:p>
        </w:tc>
        <w:tc>
          <w:tcPr>
            <w:tcW w:w="1116" w:type="dxa"/>
          </w:tcPr>
          <w:p w:rsidR="007D020B" w:rsidRDefault="007D020B" w:rsidP="008E69F8">
            <w:r>
              <w:t>50.3%</w:t>
            </w:r>
          </w:p>
        </w:tc>
        <w:tc>
          <w:tcPr>
            <w:tcW w:w="1067" w:type="dxa"/>
          </w:tcPr>
          <w:p w:rsidR="007D020B" w:rsidRDefault="007D020B" w:rsidP="008E69F8">
            <w:r>
              <w:t>56.9%</w:t>
            </w:r>
          </w:p>
        </w:tc>
        <w:tc>
          <w:tcPr>
            <w:tcW w:w="1216" w:type="dxa"/>
          </w:tcPr>
          <w:p w:rsidR="007D020B" w:rsidRDefault="007D020B" w:rsidP="008E69F8">
            <w:r>
              <w:t>46.7%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 25%</w:t>
            </w:r>
          </w:p>
          <w:p w:rsidR="007D020B" w:rsidRDefault="007D020B" w:rsidP="008E69F8">
            <w:r>
              <w:t>PR/PE and diseased PA: 75%</w:t>
            </w:r>
          </w:p>
          <w:p w:rsidR="007D020B" w:rsidRDefault="007D020B" w:rsidP="008E69F8">
            <w:r>
              <w:t>GR/GE and normal PA: 71%</w:t>
            </w:r>
          </w:p>
          <w:p w:rsidR="007D020B" w:rsidRDefault="007D020B" w:rsidP="008E69F8">
            <w:r>
              <w:t>GR/GE and diseased PA: 29%</w:t>
            </w:r>
          </w:p>
          <w:p w:rsidR="007D020B" w:rsidRDefault="007D020B" w:rsidP="008E69F8">
            <w:r>
              <w:t>GR/PE and normal PA: 38%</w:t>
            </w:r>
          </w:p>
          <w:p w:rsidR="007D020B" w:rsidRDefault="007D020B" w:rsidP="008E69F8">
            <w:r>
              <w:t>GR/PE and diseased PA: 62%</w:t>
            </w:r>
          </w:p>
          <w:p w:rsidR="007D020B" w:rsidRDefault="007D020B" w:rsidP="008E69F8">
            <w:r>
              <w:t>PR/GE and normal PA: 65%</w:t>
            </w:r>
          </w:p>
          <w:p w:rsidR="007D020B" w:rsidRDefault="007D020B" w:rsidP="008E69F8">
            <w:r>
              <w:t>PR/GE and diseased PA: 35%</w:t>
            </w:r>
          </w:p>
        </w:tc>
        <w:tc>
          <w:tcPr>
            <w:tcW w:w="3828" w:type="dxa"/>
          </w:tcPr>
          <w:p w:rsidR="007D020B" w:rsidRDefault="007D020B" w:rsidP="008E69F8">
            <w:r>
              <w:t xml:space="preserve">Even though the coronal restoration had a significant impact on the periradicular health, the quality of the root canal filling was found to be the most critical factor in this regard. 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t>Tronstad et al.</w:t>
            </w:r>
          </w:p>
          <w:p w:rsidR="007D020B" w:rsidRDefault="007D020B" w:rsidP="008E69F8">
            <w:r>
              <w:t>2000</w:t>
            </w:r>
          </w:p>
          <w:p w:rsidR="007D020B" w:rsidRDefault="007D020B" w:rsidP="008E69F8">
            <w:r>
              <w:t>Norway</w:t>
            </w:r>
          </w:p>
        </w:tc>
        <w:tc>
          <w:tcPr>
            <w:tcW w:w="1017" w:type="dxa"/>
          </w:tcPr>
          <w:p w:rsidR="007D020B" w:rsidRDefault="007D020B" w:rsidP="008E69F8">
            <w:r>
              <w:t>Cross sectional</w:t>
            </w:r>
          </w:p>
        </w:tc>
        <w:tc>
          <w:tcPr>
            <w:tcW w:w="1071" w:type="dxa"/>
          </w:tcPr>
          <w:p w:rsidR="007D020B" w:rsidRDefault="007D020B" w:rsidP="008E69F8">
            <w:r>
              <w:t>1001 teeth</w:t>
            </w:r>
          </w:p>
          <w:p w:rsidR="007D020B" w:rsidRDefault="007D020B" w:rsidP="008E69F8"/>
          <w:p w:rsidR="007D020B" w:rsidRDefault="007D020B" w:rsidP="008E69F8">
            <w:r>
              <w:t>NA</w:t>
            </w:r>
          </w:p>
        </w:tc>
        <w:tc>
          <w:tcPr>
            <w:tcW w:w="1116" w:type="dxa"/>
          </w:tcPr>
          <w:p w:rsidR="007D020B" w:rsidRDefault="007D020B" w:rsidP="008E69F8">
            <w:r>
              <w:t>30%</w:t>
            </w:r>
          </w:p>
        </w:tc>
        <w:tc>
          <w:tcPr>
            <w:tcW w:w="1067" w:type="dxa"/>
          </w:tcPr>
          <w:p w:rsidR="007D020B" w:rsidRDefault="007D020B" w:rsidP="008E69F8">
            <w:r>
              <w:t>50.5%</w:t>
            </w:r>
          </w:p>
        </w:tc>
        <w:tc>
          <w:tcPr>
            <w:tcW w:w="1216" w:type="dxa"/>
          </w:tcPr>
          <w:p w:rsidR="007D020B" w:rsidRDefault="007D020B" w:rsidP="008E69F8">
            <w:r>
              <w:t>66.2%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 48%</w:t>
            </w:r>
          </w:p>
          <w:p w:rsidR="007D020B" w:rsidRDefault="007D020B" w:rsidP="008E69F8">
            <w:r>
              <w:t>PR/PE and diseased PA: 52%</w:t>
            </w:r>
          </w:p>
          <w:p w:rsidR="007D020B" w:rsidRDefault="007D020B" w:rsidP="008E69F8">
            <w:r>
              <w:t>GR/GE and normal PA: 76%</w:t>
            </w:r>
          </w:p>
          <w:p w:rsidR="007D020B" w:rsidRDefault="007D020B" w:rsidP="008E69F8">
            <w:r>
              <w:t>GR/GE and diseased PA: 24%</w:t>
            </w:r>
          </w:p>
          <w:p w:rsidR="007D020B" w:rsidRDefault="007D020B" w:rsidP="008E69F8">
            <w:r>
              <w:t>GR/PE and normal PA: 57%</w:t>
            </w:r>
          </w:p>
          <w:p w:rsidR="007D020B" w:rsidRDefault="007D020B" w:rsidP="008E69F8">
            <w:r>
              <w:t>GR/PE and diseased PA: 43%</w:t>
            </w:r>
          </w:p>
          <w:p w:rsidR="007D020B" w:rsidRDefault="007D020B" w:rsidP="008E69F8">
            <w:r>
              <w:t>PR/GE and normal PA: 71%</w:t>
            </w:r>
          </w:p>
          <w:p w:rsidR="007D020B" w:rsidRDefault="007D020B" w:rsidP="008E69F8">
            <w:r>
              <w:t>PR/GE and diseased PA: 29%</w:t>
            </w:r>
          </w:p>
        </w:tc>
        <w:tc>
          <w:tcPr>
            <w:tcW w:w="3828" w:type="dxa"/>
          </w:tcPr>
          <w:p w:rsidR="007D020B" w:rsidRDefault="007D020B" w:rsidP="008E69F8">
            <w:r>
              <w:t>The technical quality of the endodontic treatment as judged radiographically more important than the technical quality of the coronal restoration when the periapical status of endodontically treated teeth was evaluated.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t>Song et al.</w:t>
            </w:r>
          </w:p>
          <w:p w:rsidR="007D020B" w:rsidRDefault="007D020B" w:rsidP="008E69F8">
            <w:r>
              <w:t>2014</w:t>
            </w:r>
          </w:p>
          <w:p w:rsidR="007D020B" w:rsidRDefault="007D020B" w:rsidP="008E69F8">
            <w:r>
              <w:lastRenderedPageBreak/>
              <w:t>Korea</w:t>
            </w:r>
          </w:p>
        </w:tc>
        <w:tc>
          <w:tcPr>
            <w:tcW w:w="1017" w:type="dxa"/>
          </w:tcPr>
          <w:p w:rsidR="007D020B" w:rsidRDefault="007D020B" w:rsidP="008E69F8">
            <w:r>
              <w:lastRenderedPageBreak/>
              <w:t>Cross sectional</w:t>
            </w:r>
          </w:p>
        </w:tc>
        <w:tc>
          <w:tcPr>
            <w:tcW w:w="1071" w:type="dxa"/>
          </w:tcPr>
          <w:p w:rsidR="007D020B" w:rsidRDefault="007D020B" w:rsidP="008E69F8">
            <w:r>
              <w:t>1030 teeth</w:t>
            </w:r>
          </w:p>
          <w:p w:rsidR="007D020B" w:rsidRDefault="007D020B" w:rsidP="008E69F8"/>
          <w:p w:rsidR="007D020B" w:rsidRDefault="007D020B" w:rsidP="008E69F8">
            <w:r>
              <w:t>55.1% F</w:t>
            </w:r>
          </w:p>
          <w:p w:rsidR="007D020B" w:rsidRDefault="007D020B" w:rsidP="008E69F8">
            <w:r>
              <w:t>44.9% M</w:t>
            </w:r>
          </w:p>
        </w:tc>
        <w:tc>
          <w:tcPr>
            <w:tcW w:w="1116" w:type="dxa"/>
          </w:tcPr>
          <w:p w:rsidR="007D020B" w:rsidRDefault="007D020B" w:rsidP="008E69F8">
            <w:r>
              <w:lastRenderedPageBreak/>
              <w:t>40.9%</w:t>
            </w:r>
          </w:p>
        </w:tc>
        <w:tc>
          <w:tcPr>
            <w:tcW w:w="1067" w:type="dxa"/>
          </w:tcPr>
          <w:p w:rsidR="007D020B" w:rsidRDefault="007D020B" w:rsidP="008E69F8">
            <w:r>
              <w:t>35.6%</w:t>
            </w:r>
          </w:p>
        </w:tc>
        <w:tc>
          <w:tcPr>
            <w:tcW w:w="1216" w:type="dxa"/>
          </w:tcPr>
          <w:p w:rsidR="007D020B" w:rsidRDefault="007D020B" w:rsidP="008E69F8">
            <w:r>
              <w:t>68.5%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PA:41.2 %</w:t>
            </w:r>
          </w:p>
          <w:p w:rsidR="007D020B" w:rsidRDefault="007D020B" w:rsidP="008E69F8">
            <w:r>
              <w:t>PR/PE and diseased PA: 58.8%</w:t>
            </w:r>
          </w:p>
          <w:p w:rsidR="007D020B" w:rsidRDefault="007D020B" w:rsidP="008E69F8">
            <w:r>
              <w:lastRenderedPageBreak/>
              <w:t>GR/GE and normal PA:82.3 %</w:t>
            </w:r>
          </w:p>
          <w:p w:rsidR="007D020B" w:rsidRDefault="007D020B" w:rsidP="008E69F8">
            <w:r>
              <w:t>GR/GE and diseased PA: 17.7%</w:t>
            </w:r>
          </w:p>
          <w:p w:rsidR="007D020B" w:rsidRDefault="007D020B" w:rsidP="008E69F8">
            <w:r>
              <w:t>GR/PE and normal PA: 54.7%</w:t>
            </w:r>
          </w:p>
          <w:p w:rsidR="007D020B" w:rsidRDefault="007D020B" w:rsidP="008E69F8">
            <w:r>
              <w:t>GR/PE and diseased PA: 45.3%</w:t>
            </w:r>
          </w:p>
          <w:p w:rsidR="007D020B" w:rsidRDefault="007D020B" w:rsidP="008E69F8">
            <w:r>
              <w:t>PR/GE and normal PA: 56.3%</w:t>
            </w:r>
          </w:p>
          <w:p w:rsidR="007D020B" w:rsidRDefault="007D020B" w:rsidP="008E69F8">
            <w:r>
              <w:t>PR/GE and diseased PA: 43.7%</w:t>
            </w:r>
          </w:p>
        </w:tc>
        <w:tc>
          <w:tcPr>
            <w:tcW w:w="3828" w:type="dxa"/>
          </w:tcPr>
          <w:p w:rsidR="007D020B" w:rsidRDefault="007D020B" w:rsidP="008E69F8">
            <w:r>
              <w:lastRenderedPageBreak/>
              <w:t xml:space="preserve">The quality of endodontic treatment and coronal restorations were of equal importance and were strong </w:t>
            </w:r>
            <w:r>
              <w:lastRenderedPageBreak/>
              <w:t xml:space="preserve">independent predictors of the periapical status. 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lastRenderedPageBreak/>
              <w:t xml:space="preserve">Thampibul et al. </w:t>
            </w:r>
          </w:p>
          <w:p w:rsidR="007D020B" w:rsidRDefault="007D020B" w:rsidP="008E69F8">
            <w:r>
              <w:t>2019</w:t>
            </w:r>
          </w:p>
          <w:p w:rsidR="007D020B" w:rsidRDefault="007D020B" w:rsidP="008E69F8">
            <w:r>
              <w:t>Thailand</w:t>
            </w:r>
          </w:p>
        </w:tc>
        <w:tc>
          <w:tcPr>
            <w:tcW w:w="1017" w:type="dxa"/>
          </w:tcPr>
          <w:p w:rsidR="007D020B" w:rsidRDefault="007D020B" w:rsidP="008E69F8">
            <w:r>
              <w:t>Cross sectional</w:t>
            </w:r>
          </w:p>
        </w:tc>
        <w:tc>
          <w:tcPr>
            <w:tcW w:w="1071" w:type="dxa"/>
          </w:tcPr>
          <w:p w:rsidR="007D020B" w:rsidRDefault="007D020B" w:rsidP="008E69F8">
            <w:r>
              <w:t xml:space="preserve">1511 teeth </w:t>
            </w:r>
          </w:p>
          <w:p w:rsidR="007D020B" w:rsidRDefault="007D020B" w:rsidP="008E69F8"/>
          <w:p w:rsidR="007D020B" w:rsidRDefault="007D020B" w:rsidP="008E69F8">
            <w:r>
              <w:t>66% F</w:t>
            </w:r>
          </w:p>
          <w:p w:rsidR="007D020B" w:rsidRDefault="007D020B" w:rsidP="008E69F8">
            <w:r>
              <w:t>34% M</w:t>
            </w:r>
          </w:p>
        </w:tc>
        <w:tc>
          <w:tcPr>
            <w:tcW w:w="1116" w:type="dxa"/>
          </w:tcPr>
          <w:p w:rsidR="007D020B" w:rsidRDefault="007D020B" w:rsidP="008E69F8">
            <w:r>
              <w:t>35%</w:t>
            </w:r>
          </w:p>
        </w:tc>
        <w:tc>
          <w:tcPr>
            <w:tcW w:w="1067" w:type="dxa"/>
          </w:tcPr>
          <w:p w:rsidR="007D020B" w:rsidRDefault="007D020B" w:rsidP="008E69F8">
            <w:r>
              <w:t>51.9%</w:t>
            </w:r>
          </w:p>
        </w:tc>
        <w:tc>
          <w:tcPr>
            <w:tcW w:w="1216" w:type="dxa"/>
          </w:tcPr>
          <w:p w:rsidR="007D020B" w:rsidRDefault="007D020B" w:rsidP="008E69F8">
            <w:r>
              <w:t>73.7%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 26.4%</w:t>
            </w:r>
          </w:p>
          <w:p w:rsidR="007D020B" w:rsidRDefault="007D020B" w:rsidP="008E69F8">
            <w:r>
              <w:t>PR/PE and diseased PA: 73.6%</w:t>
            </w:r>
          </w:p>
          <w:p w:rsidR="007D020B" w:rsidRDefault="007D020B" w:rsidP="008E69F8">
            <w:r>
              <w:t>GR/GE and normal PA: 90.1%</w:t>
            </w:r>
          </w:p>
          <w:p w:rsidR="007D020B" w:rsidRDefault="007D020B" w:rsidP="008E69F8">
            <w:r>
              <w:t>GR/GE and diseased PA: 9.9%</w:t>
            </w:r>
          </w:p>
          <w:p w:rsidR="007D020B" w:rsidRDefault="007D020B" w:rsidP="008E69F8">
            <w:r>
              <w:t>GR/PE and normal PA: 53.2%</w:t>
            </w:r>
          </w:p>
          <w:p w:rsidR="007D020B" w:rsidRDefault="007D020B" w:rsidP="008E69F8">
            <w:r>
              <w:t>GR/PE and diseased PA: 46.8%</w:t>
            </w:r>
          </w:p>
          <w:p w:rsidR="007D020B" w:rsidRDefault="007D020B" w:rsidP="008E69F8">
            <w:r>
              <w:t>PR/GE and normal PA: 61.2%</w:t>
            </w:r>
          </w:p>
          <w:p w:rsidR="007D020B" w:rsidRDefault="007D020B" w:rsidP="008E69F8">
            <w:r>
              <w:t>PR/GE and diseased PA: 38.8%</w:t>
            </w:r>
          </w:p>
        </w:tc>
        <w:tc>
          <w:tcPr>
            <w:tcW w:w="3828" w:type="dxa"/>
          </w:tcPr>
          <w:p w:rsidR="007D020B" w:rsidRDefault="007D020B" w:rsidP="008E69F8">
            <w:r>
              <w:t>The periapical conditions of ETT were strongly associated with the technical quality of both the root fillings and restorations, indicating that the proposed training would definitely have a beneficial effect on treatment outcomes of the patients.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t>Tavares et al.</w:t>
            </w:r>
          </w:p>
          <w:p w:rsidR="007D020B" w:rsidRDefault="007D020B" w:rsidP="008E69F8">
            <w:r>
              <w:t>2009</w:t>
            </w:r>
          </w:p>
          <w:p w:rsidR="007D020B" w:rsidRDefault="007D020B" w:rsidP="008E69F8">
            <w:r>
              <w:t>France</w:t>
            </w:r>
          </w:p>
        </w:tc>
        <w:tc>
          <w:tcPr>
            <w:tcW w:w="1017" w:type="dxa"/>
          </w:tcPr>
          <w:p w:rsidR="007D020B" w:rsidRDefault="007D020B" w:rsidP="008E69F8">
            <w:r>
              <w:t>Cross sectional</w:t>
            </w:r>
          </w:p>
        </w:tc>
        <w:tc>
          <w:tcPr>
            <w:tcW w:w="1071" w:type="dxa"/>
          </w:tcPr>
          <w:p w:rsidR="007D020B" w:rsidRDefault="007D020B" w:rsidP="008E69F8">
            <w:r>
              <w:t>1035 teeth</w:t>
            </w:r>
          </w:p>
          <w:p w:rsidR="007D020B" w:rsidRDefault="007D020B" w:rsidP="008E69F8"/>
          <w:p w:rsidR="007D020B" w:rsidRDefault="007D020B" w:rsidP="008E69F8">
            <w:r>
              <w:t>58.2% F</w:t>
            </w:r>
          </w:p>
          <w:p w:rsidR="007D020B" w:rsidRDefault="007D020B" w:rsidP="008E69F8">
            <w:r>
              <w:t>41.8% M</w:t>
            </w:r>
          </w:p>
        </w:tc>
        <w:tc>
          <w:tcPr>
            <w:tcW w:w="1116" w:type="dxa"/>
          </w:tcPr>
          <w:p w:rsidR="007D020B" w:rsidRDefault="007D020B" w:rsidP="008E69F8">
            <w:r>
              <w:t>33%</w:t>
            </w:r>
          </w:p>
        </w:tc>
        <w:tc>
          <w:tcPr>
            <w:tcW w:w="1067" w:type="dxa"/>
          </w:tcPr>
          <w:p w:rsidR="007D020B" w:rsidRDefault="007D020B" w:rsidP="008E69F8">
            <w:r>
              <w:t>19%</w:t>
            </w:r>
          </w:p>
        </w:tc>
        <w:tc>
          <w:tcPr>
            <w:tcW w:w="1216" w:type="dxa"/>
          </w:tcPr>
          <w:p w:rsidR="007D020B" w:rsidRDefault="007D020B" w:rsidP="008E69F8">
            <w:r>
              <w:t>64.5%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 56%</w:t>
            </w:r>
          </w:p>
          <w:p w:rsidR="007D020B" w:rsidRDefault="007D020B" w:rsidP="008E69F8">
            <w:r>
              <w:t>PR/PE and diseased PA: 44%</w:t>
            </w:r>
          </w:p>
          <w:p w:rsidR="007D020B" w:rsidRDefault="007D020B" w:rsidP="008E69F8">
            <w:r>
              <w:t>GR/GE and normal PA: 93.5%</w:t>
            </w:r>
          </w:p>
          <w:p w:rsidR="007D020B" w:rsidRDefault="007D020B" w:rsidP="008E69F8">
            <w:r>
              <w:t>GR/GE and diseased PA: 6.5%</w:t>
            </w:r>
          </w:p>
          <w:p w:rsidR="007D020B" w:rsidRDefault="007D020B" w:rsidP="008E69F8">
            <w:r>
              <w:t>GR/PE and normal PA: 64%</w:t>
            </w:r>
          </w:p>
          <w:p w:rsidR="007D020B" w:rsidRDefault="007D020B" w:rsidP="008E69F8">
            <w:r>
              <w:t>GR/PE and diseased PA: 36%</w:t>
            </w:r>
          </w:p>
          <w:p w:rsidR="007D020B" w:rsidRDefault="007D020B" w:rsidP="008E69F8">
            <w:r>
              <w:lastRenderedPageBreak/>
              <w:t>PR/GE and normal PA: 82%</w:t>
            </w:r>
          </w:p>
          <w:p w:rsidR="007D020B" w:rsidRDefault="007D020B" w:rsidP="008E69F8">
            <w:r>
              <w:t>PR/GE and diseased PA: 18%</w:t>
            </w:r>
          </w:p>
        </w:tc>
        <w:tc>
          <w:tcPr>
            <w:tcW w:w="3828" w:type="dxa"/>
          </w:tcPr>
          <w:p w:rsidR="007D020B" w:rsidRDefault="007D020B" w:rsidP="008E69F8">
            <w:r>
              <w:lastRenderedPageBreak/>
              <w:t>The quality of the endodontic treatment was the most important factor for success, although the quality of the coronal restoration also influenced the treatment outcome.</w:t>
            </w:r>
          </w:p>
        </w:tc>
      </w:tr>
      <w:tr w:rsidR="007D020B" w:rsidTr="008E69F8">
        <w:tc>
          <w:tcPr>
            <w:tcW w:w="1168" w:type="dxa"/>
          </w:tcPr>
          <w:p w:rsidR="007D020B" w:rsidRDefault="007D020B" w:rsidP="008E69F8">
            <w:r>
              <w:t xml:space="preserve">Dugas et al. </w:t>
            </w:r>
          </w:p>
          <w:p w:rsidR="007D020B" w:rsidRDefault="007D020B" w:rsidP="008E69F8">
            <w:r>
              <w:t>2003</w:t>
            </w:r>
          </w:p>
          <w:p w:rsidR="007D020B" w:rsidRDefault="007D020B" w:rsidP="008E69F8">
            <w:r>
              <w:t>Canada</w:t>
            </w:r>
          </w:p>
        </w:tc>
        <w:tc>
          <w:tcPr>
            <w:tcW w:w="1017" w:type="dxa"/>
          </w:tcPr>
          <w:p w:rsidR="007D020B" w:rsidRDefault="007D020B" w:rsidP="008E69F8">
            <w:r>
              <w:t>Cross sectional</w:t>
            </w:r>
          </w:p>
          <w:p w:rsidR="007D020B" w:rsidRDefault="007D020B" w:rsidP="008E69F8"/>
        </w:tc>
        <w:tc>
          <w:tcPr>
            <w:tcW w:w="1071" w:type="dxa"/>
          </w:tcPr>
          <w:p w:rsidR="007D020B" w:rsidRDefault="007D020B" w:rsidP="008E69F8">
            <w:r>
              <w:t>383 teeth</w:t>
            </w:r>
          </w:p>
          <w:p w:rsidR="007D020B" w:rsidRDefault="007D020B" w:rsidP="008E69F8"/>
          <w:p w:rsidR="007D020B" w:rsidRDefault="007D020B" w:rsidP="008E69F8">
            <w:r>
              <w:t>53.8% F</w:t>
            </w:r>
          </w:p>
          <w:p w:rsidR="007D020B" w:rsidRDefault="007D020B" w:rsidP="008E69F8">
            <w:r>
              <w:t>46.2% M</w:t>
            </w:r>
          </w:p>
        </w:tc>
        <w:tc>
          <w:tcPr>
            <w:tcW w:w="1116" w:type="dxa"/>
          </w:tcPr>
          <w:p w:rsidR="007D020B" w:rsidRDefault="007D020B" w:rsidP="008E69F8">
            <w:r>
              <w:t>45.4%</w:t>
            </w:r>
          </w:p>
        </w:tc>
        <w:tc>
          <w:tcPr>
            <w:tcW w:w="1067" w:type="dxa"/>
          </w:tcPr>
          <w:p w:rsidR="007D020B" w:rsidRDefault="007D020B" w:rsidP="008E69F8">
            <w:r>
              <w:t>53.3%</w:t>
            </w:r>
          </w:p>
        </w:tc>
        <w:tc>
          <w:tcPr>
            <w:tcW w:w="1216" w:type="dxa"/>
          </w:tcPr>
          <w:p w:rsidR="007D020B" w:rsidRDefault="007D020B" w:rsidP="008E69F8">
            <w:r>
              <w:t>42.3%</w:t>
            </w:r>
          </w:p>
        </w:tc>
        <w:tc>
          <w:tcPr>
            <w:tcW w:w="3546" w:type="dxa"/>
          </w:tcPr>
          <w:p w:rsidR="007D020B" w:rsidRDefault="007D020B" w:rsidP="008E69F8">
            <w:r>
              <w:t>PR/PE and normal PA: 43%</w:t>
            </w:r>
          </w:p>
          <w:p w:rsidR="007D020B" w:rsidRDefault="007D020B" w:rsidP="008E69F8">
            <w:r>
              <w:t>PR/PE and diseased PA: 57%</w:t>
            </w:r>
          </w:p>
          <w:p w:rsidR="007D020B" w:rsidRDefault="007D020B" w:rsidP="008E69F8">
            <w:r>
              <w:t>GR/GE and normal PA: 81.4%</w:t>
            </w:r>
          </w:p>
          <w:p w:rsidR="007D020B" w:rsidRDefault="007D020B" w:rsidP="008E69F8">
            <w:r>
              <w:t>GR/GE and diseased PA: 18.6%</w:t>
            </w:r>
          </w:p>
          <w:p w:rsidR="007D020B" w:rsidRDefault="007D020B" w:rsidP="008E69F8">
            <w:r>
              <w:t>GR/PE and normal PA: 46.7%</w:t>
            </w:r>
          </w:p>
          <w:p w:rsidR="007D020B" w:rsidRDefault="007D020B" w:rsidP="008E69F8">
            <w:r>
              <w:t>GR/PE and diseased PA: 53.3%</w:t>
            </w:r>
          </w:p>
          <w:p w:rsidR="007D020B" w:rsidRDefault="007D020B" w:rsidP="008E69F8">
            <w:r>
              <w:t>PR/GE and normal PA: 60.8%</w:t>
            </w:r>
          </w:p>
          <w:p w:rsidR="007D020B" w:rsidRDefault="007D020B" w:rsidP="008E69F8">
            <w:r>
              <w:t>PR/GE and diseased PA: 39.2%</w:t>
            </w:r>
          </w:p>
        </w:tc>
        <w:tc>
          <w:tcPr>
            <w:tcW w:w="3828" w:type="dxa"/>
          </w:tcPr>
          <w:p w:rsidR="007D020B" w:rsidRDefault="007D020B" w:rsidP="008E69F8">
            <w:r>
              <w:t xml:space="preserve">The quality of both the root filling and the restoration were found to impact on the periapical health of root-filled teeth, with the impact of the restoration being most critical when the quality of the root filling was adequate. </w:t>
            </w:r>
          </w:p>
        </w:tc>
      </w:tr>
    </w:tbl>
    <w:p w:rsidR="007D020B" w:rsidRDefault="007D020B" w:rsidP="007D020B">
      <w:pPr>
        <w:spacing w:after="0"/>
        <w:jc w:val="both"/>
        <w:rPr>
          <w:rFonts w:ascii="Times New Roman" w:eastAsia="Times New Roman" w:hAnsi="Times New Roman" w:cs="Times New Roman"/>
          <w:b/>
        </w:rPr>
      </w:pPr>
    </w:p>
    <w:p w:rsidR="007D020B" w:rsidRDefault="007D020B" w:rsidP="007D020B">
      <w:pPr>
        <w:rPr>
          <w:rFonts w:ascii="Times New Roman" w:eastAsia="Times New Roman" w:hAnsi="Times New Roman" w:cs="Times New Roman"/>
          <w:b/>
        </w:rPr>
        <w:sectPr w:rsidR="007D020B">
          <w:pgSz w:w="16838" w:h="11906" w:orient="landscape"/>
          <w:pgMar w:top="1418" w:right="1418" w:bottom="1418" w:left="1418" w:header="709" w:footer="709" w:gutter="0"/>
          <w:cols w:space="720"/>
        </w:sectPr>
      </w:pPr>
      <w:r>
        <w:br w:type="page"/>
      </w:r>
    </w:p>
    <w:p w:rsidR="007D020B" w:rsidRDefault="007D020B" w:rsidP="007D020B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noProof/>
          <w:lang w:eastAsia="en-US"/>
        </w:rPr>
        <w:lastRenderedPageBreak/>
        <w:drawing>
          <wp:inline distT="0" distB="0" distL="0" distR="0" wp14:anchorId="7AAFF73E" wp14:editId="4BACF4CB">
            <wp:extent cx="5686425" cy="2676525"/>
            <wp:effectExtent l="0" t="0" r="9525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isk of bias graph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4537DF8B" wp14:editId="0B87C27F">
            <wp:extent cx="3409950" cy="5448300"/>
            <wp:effectExtent l="0" t="0" r="0" b="0"/>
            <wp:docPr id="5" name="Image 5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able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544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-279400</wp:posOffset>
                </wp:positionH>
                <wp:positionV relativeFrom="paragraph">
                  <wp:posOffset>-81280</wp:posOffset>
                </wp:positionV>
                <wp:extent cx="400050" cy="1414145"/>
                <wp:effectExtent l="127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41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020B" w:rsidRDefault="007D020B" w:rsidP="007D020B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-22pt;margin-top:-6.4pt;width:31.5pt;height:111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" filled="f" stroked="f">
                <v:textbox inset="2.53958mm,1.2694mm,2.53958mm,1.2694mm">
                  <w:txbxContent>
                    <w:p w:rsidR="007D020B" w:rsidRDefault="007D020B" w:rsidP="007D020B">
                      <w:pPr>
                        <w:spacing w:line="258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(A)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850900</wp:posOffset>
                </wp:positionH>
                <wp:positionV relativeFrom="paragraph">
                  <wp:posOffset>2649220</wp:posOffset>
                </wp:positionV>
                <wp:extent cx="400050" cy="1414145"/>
                <wp:effectExtent l="0" t="0" r="1905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41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020B" w:rsidRDefault="007D020B" w:rsidP="007D020B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left:0;text-align:left;margin-left:67pt;margin-top:208.6pt;width:31.5pt;height:111.3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" filled="f" stroked="f">
                <v:textbox inset="2.53958mm,1.2694mm,2.53958mm,1.2694mm">
                  <w:txbxContent>
                    <w:p w:rsidR="007D020B" w:rsidRDefault="007D020B" w:rsidP="007D020B">
                      <w:pPr>
                        <w:spacing w:line="258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(B)</w:t>
                      </w:r>
                    </w:p>
                  </w:txbxContent>
                </v:textbox>
              </v:rect>
            </w:pict>
          </mc:Fallback>
        </mc:AlternateContent>
      </w:r>
    </w:p>
    <w:p w:rsidR="007D020B" w:rsidRDefault="007D020B" w:rsidP="007D020B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Appendix Figure 3: </w:t>
      </w:r>
      <w:r>
        <w:rPr>
          <w:rFonts w:ascii="Times New Roman" w:eastAsia="Times New Roman" w:hAnsi="Times New Roman" w:cs="Times New Roman"/>
        </w:rPr>
        <w:t>Graph and summary of the risk of bias judgement for each item. </w:t>
      </w:r>
      <w:r>
        <w:rPr>
          <w:rFonts w:ascii="Times New Roman" w:eastAsia="Times New Roman" w:hAnsi="Times New Roman" w:cs="Times New Roman"/>
          <w:b/>
        </w:rPr>
        <w:t>(A)</w:t>
      </w:r>
      <w:r>
        <w:rPr>
          <w:rFonts w:ascii="Times New Roman" w:eastAsia="Times New Roman" w:hAnsi="Times New Roman" w:cs="Times New Roman"/>
        </w:rPr>
        <w:t> Graph of judgement of risk of bias for each item in percentages. </w:t>
      </w:r>
      <w:r>
        <w:rPr>
          <w:rFonts w:ascii="Times New Roman" w:eastAsia="Times New Roman" w:hAnsi="Times New Roman" w:cs="Times New Roman"/>
          <w:b/>
        </w:rPr>
        <w:t>(B)</w:t>
      </w:r>
      <w:r>
        <w:rPr>
          <w:rFonts w:ascii="Times New Roman" w:eastAsia="Times New Roman" w:hAnsi="Times New Roman" w:cs="Times New Roman"/>
        </w:rPr>
        <w:t> Summary of the risk of bias judgement for each included study in the systematic review.</w:t>
      </w:r>
    </w:p>
    <w:p w:rsidR="00861FAA" w:rsidRPr="00A75512" w:rsidRDefault="007D020B" w:rsidP="00A75512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Abbreviations</w:t>
      </w:r>
      <w:r>
        <w:rPr>
          <w:rFonts w:ascii="Times New Roman" w:eastAsia="Times New Roman" w:hAnsi="Times New Roman" w:cs="Times New Roman"/>
        </w:rPr>
        <w:t>: + : low risk of bias; ? : unclear; - : high risk of bias.</w:t>
      </w:r>
      <w:bookmarkStart w:id="1" w:name="_GoBack"/>
      <w:bookmarkEnd w:id="1"/>
    </w:p>
    <w:sectPr w:rsidR="00861FAA" w:rsidRPr="00A75512" w:rsidSect="003B452C">
      <w:footerReference w:type="default" r:id="rId9"/>
      <w:pgSz w:w="11906" w:h="16838"/>
      <w:pgMar w:top="1417" w:right="1417" w:bottom="1417" w:left="1417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4EE8" w:rsidRDefault="00A7551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imes New Roman" w:eastAsia="Times New Roman" w:hAnsi="Times New Roman" w:cs="Times New Roman"/>
        <w:smallCaps/>
        <w:color w:val="000000"/>
      </w:rPr>
    </w:pPr>
    <w:r>
      <w:rPr>
        <w:rFonts w:ascii="Times New Roman" w:eastAsia="Times New Roman" w:hAnsi="Times New Roman" w:cs="Times New Roman"/>
        <w:smallCaps/>
        <w:color w:val="000000"/>
      </w:rPr>
      <w:fldChar w:fldCharType="begin"/>
    </w:r>
    <w:r>
      <w:rPr>
        <w:rFonts w:ascii="Times New Roman" w:eastAsia="Times New Roman" w:hAnsi="Times New Roman" w:cs="Times New Roman"/>
        <w:smallCaps/>
        <w:color w:val="000000"/>
      </w:rPr>
      <w:instrText>PAGE</w:instrText>
    </w:r>
    <w:r>
      <w:rPr>
        <w:rFonts w:ascii="Times New Roman" w:eastAsia="Times New Roman" w:hAnsi="Times New Roman" w:cs="Times New Roman"/>
        <w:smallCaps/>
        <w:color w:val="000000"/>
      </w:rPr>
      <w:fldChar w:fldCharType="separate"/>
    </w:r>
    <w:r>
      <w:rPr>
        <w:rFonts w:ascii="Times New Roman" w:eastAsia="Times New Roman" w:hAnsi="Times New Roman" w:cs="Times New Roman"/>
        <w:smallCaps/>
        <w:noProof/>
        <w:color w:val="000000"/>
      </w:rPr>
      <w:t>1</w:t>
    </w:r>
    <w:r>
      <w:rPr>
        <w:rFonts w:ascii="Times New Roman" w:eastAsia="Times New Roman" w:hAnsi="Times New Roman" w:cs="Times New Roman"/>
        <w:smallCaps/>
        <w:color w:val="000000"/>
      </w:rPr>
      <w:fldChar w:fldCharType="end"/>
    </w:r>
  </w:p>
  <w:p w:rsidR="00044EE8" w:rsidRDefault="00A7551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929" w:rsidRDefault="00A7551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20B"/>
    <w:rsid w:val="007D020B"/>
    <w:rsid w:val="00861FAA"/>
    <w:rsid w:val="00A7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C6916"/>
  <w15:chartTrackingRefBased/>
  <w15:docId w15:val="{68C782FA-5F04-4CCA-BF2C-FC27A679E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20B"/>
    <w:rPr>
      <w:rFonts w:ascii="Calibri" w:eastAsia="Calibri" w:hAnsi="Calibri" w:cs="Calibri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716</Words>
  <Characters>4087</Characters>
  <Application>Microsoft Office Word</Application>
  <DocSecurity>0</DocSecurity>
  <Lines>34</Lines>
  <Paragraphs>9</Paragraphs>
  <ScaleCrop>false</ScaleCrop>
  <Company>Springer Nature</Company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2022-09-05T09:38:00Z</dcterms:created>
  <dcterms:modified xsi:type="dcterms:W3CDTF">2022-09-05T09:38:00Z</dcterms:modified>
</cp:coreProperties>
</file>