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63C64" w14:textId="09541D53" w:rsidR="00320B90" w:rsidRPr="000731BC" w:rsidRDefault="00320B90" w:rsidP="00320B90">
      <w:pPr>
        <w:spacing w:line="480" w:lineRule="auto"/>
        <w:rPr>
          <w:rFonts w:ascii="Times New Roman" w:eastAsia="바탕체" w:hAnsi="Times New Roman" w:cs="Times New Roman"/>
          <w:sz w:val="22"/>
        </w:rPr>
      </w:pPr>
      <w:r>
        <w:rPr>
          <w:rFonts w:ascii="Times New Roman" w:eastAsia="바탕체" w:hAnsi="Times New Roman" w:cs="Times New Roman"/>
          <w:b/>
          <w:bCs/>
          <w:sz w:val="22"/>
        </w:rPr>
        <w:t xml:space="preserve">Supplemental </w:t>
      </w:r>
      <w:r w:rsidRPr="000731BC">
        <w:rPr>
          <w:rFonts w:ascii="Times New Roman" w:eastAsia="바탕체" w:hAnsi="Times New Roman" w:cs="Times New Roman"/>
          <w:b/>
          <w:bCs/>
          <w:sz w:val="22"/>
        </w:rPr>
        <w:t>Table 2.</w:t>
      </w:r>
      <w:r w:rsidRPr="000731BC">
        <w:rPr>
          <w:rFonts w:ascii="Times New Roman" w:eastAsia="바탕체" w:hAnsi="Times New Roman" w:cs="Times New Roman"/>
          <w:sz w:val="22"/>
        </w:rPr>
        <w:t xml:space="preserve"> Secondary antibodies for immunofluorescence staining and Western blotting</w:t>
      </w:r>
    </w:p>
    <w:tbl>
      <w:tblPr>
        <w:tblStyle w:val="a3"/>
        <w:tblW w:w="7969" w:type="dxa"/>
        <w:jc w:val="center"/>
        <w:tblLook w:val="04A0" w:firstRow="1" w:lastRow="0" w:firstColumn="1" w:lastColumn="0" w:noHBand="0" w:noVBand="1"/>
      </w:tblPr>
      <w:tblGrid>
        <w:gridCol w:w="1298"/>
        <w:gridCol w:w="1499"/>
        <w:gridCol w:w="1151"/>
        <w:gridCol w:w="2704"/>
        <w:gridCol w:w="1317"/>
      </w:tblGrid>
      <w:tr w:rsidR="00320B90" w:rsidRPr="000731BC" w14:paraId="06D259BB" w14:textId="77777777" w:rsidTr="001D2E6B">
        <w:trPr>
          <w:jc w:val="center"/>
        </w:trPr>
        <w:tc>
          <w:tcPr>
            <w:tcW w:w="1298" w:type="dxa"/>
            <w:vAlign w:val="center"/>
          </w:tcPr>
          <w:p w14:paraId="5F17A4DE" w14:textId="77777777" w:rsidR="00320B90" w:rsidRPr="000731BC" w:rsidRDefault="00320B90" w:rsidP="001D2E6B">
            <w:pPr>
              <w:wordWrap/>
              <w:spacing w:line="384" w:lineRule="auto"/>
              <w:jc w:val="center"/>
              <w:rPr>
                <w:rFonts w:ascii="Times New Roman" w:eastAsia="바탕체" w:hAnsi="Times New Roman" w:cs="Times New Roman"/>
                <w:bCs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bCs/>
                <w:sz w:val="22"/>
              </w:rPr>
              <w:t>Secondary antibodies</w:t>
            </w:r>
          </w:p>
        </w:tc>
        <w:tc>
          <w:tcPr>
            <w:tcW w:w="1499" w:type="dxa"/>
            <w:vAlign w:val="center"/>
          </w:tcPr>
          <w:p w14:paraId="291CAFA4" w14:textId="77777777" w:rsidR="00320B90" w:rsidRPr="000731BC" w:rsidRDefault="00320B90" w:rsidP="001D2E6B">
            <w:pPr>
              <w:wordWrap/>
              <w:spacing w:line="384" w:lineRule="auto"/>
              <w:jc w:val="center"/>
              <w:rPr>
                <w:rFonts w:ascii="Times New Roman" w:eastAsia="바탕체" w:hAnsi="Times New Roman" w:cs="Times New Roman"/>
                <w:bCs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bCs/>
                <w:sz w:val="22"/>
              </w:rPr>
              <w:t>Label</w:t>
            </w:r>
          </w:p>
        </w:tc>
        <w:tc>
          <w:tcPr>
            <w:tcW w:w="1151" w:type="dxa"/>
            <w:vAlign w:val="center"/>
          </w:tcPr>
          <w:p w14:paraId="4C8AFBFF" w14:textId="77777777" w:rsidR="00320B90" w:rsidRPr="000731BC" w:rsidRDefault="00320B90" w:rsidP="001D2E6B">
            <w:pPr>
              <w:wordWrap/>
              <w:spacing w:line="384" w:lineRule="auto"/>
              <w:jc w:val="center"/>
              <w:rPr>
                <w:rFonts w:ascii="Times New Roman" w:eastAsia="바탕체" w:hAnsi="Times New Roman" w:cs="Times New Roman"/>
                <w:bCs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bCs/>
                <w:sz w:val="22"/>
              </w:rPr>
              <w:t>Source organism</w:t>
            </w:r>
          </w:p>
        </w:tc>
        <w:tc>
          <w:tcPr>
            <w:tcW w:w="2704" w:type="dxa"/>
            <w:vAlign w:val="center"/>
          </w:tcPr>
          <w:p w14:paraId="0AF2422D" w14:textId="77777777" w:rsidR="00320B90" w:rsidRPr="000731BC" w:rsidRDefault="00320B90" w:rsidP="001D2E6B">
            <w:pPr>
              <w:wordWrap/>
              <w:spacing w:line="384" w:lineRule="auto"/>
              <w:jc w:val="center"/>
              <w:rPr>
                <w:rFonts w:ascii="Times New Roman" w:eastAsia="바탕체" w:hAnsi="Times New Roman" w:cs="Times New Roman"/>
                <w:bCs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bCs/>
                <w:sz w:val="22"/>
              </w:rPr>
              <w:t>Company</w:t>
            </w:r>
          </w:p>
        </w:tc>
        <w:tc>
          <w:tcPr>
            <w:tcW w:w="1317" w:type="dxa"/>
            <w:vAlign w:val="center"/>
          </w:tcPr>
          <w:p w14:paraId="0AE17857" w14:textId="77777777" w:rsidR="00320B90" w:rsidRPr="000731BC" w:rsidRDefault="00320B90" w:rsidP="001D2E6B">
            <w:pPr>
              <w:wordWrap/>
              <w:spacing w:line="384" w:lineRule="auto"/>
              <w:jc w:val="center"/>
              <w:rPr>
                <w:rFonts w:ascii="Times New Roman" w:eastAsia="바탕체" w:hAnsi="Times New Roman" w:cs="Times New Roman"/>
                <w:bCs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bCs/>
                <w:sz w:val="22"/>
              </w:rPr>
              <w:t>Application</w:t>
            </w:r>
          </w:p>
        </w:tc>
      </w:tr>
      <w:tr w:rsidR="00320B90" w:rsidRPr="000731BC" w14:paraId="7A6DF0DF" w14:textId="77777777" w:rsidTr="001D2E6B">
        <w:trPr>
          <w:jc w:val="center"/>
        </w:trPr>
        <w:tc>
          <w:tcPr>
            <w:tcW w:w="1298" w:type="dxa"/>
            <w:vAlign w:val="center"/>
          </w:tcPr>
          <w:p w14:paraId="4EC91048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anti-rabbit IgG</w:t>
            </w:r>
          </w:p>
        </w:tc>
        <w:tc>
          <w:tcPr>
            <w:tcW w:w="1499" w:type="dxa"/>
            <w:vAlign w:val="center"/>
          </w:tcPr>
          <w:p w14:paraId="12828096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Alexa fluor 555</w:t>
            </w:r>
          </w:p>
        </w:tc>
        <w:tc>
          <w:tcPr>
            <w:tcW w:w="1151" w:type="dxa"/>
            <w:vAlign w:val="center"/>
          </w:tcPr>
          <w:p w14:paraId="338BB995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Goat</w:t>
            </w:r>
          </w:p>
        </w:tc>
        <w:tc>
          <w:tcPr>
            <w:tcW w:w="2704" w:type="dxa"/>
            <w:vAlign w:val="center"/>
          </w:tcPr>
          <w:p w14:paraId="125B60B9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Molecular probes, Eugene, OR</w:t>
            </w:r>
          </w:p>
        </w:tc>
        <w:tc>
          <w:tcPr>
            <w:tcW w:w="1317" w:type="dxa"/>
            <w:vAlign w:val="center"/>
          </w:tcPr>
          <w:p w14:paraId="569A59A5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IF (1:250)</w:t>
            </w:r>
          </w:p>
        </w:tc>
      </w:tr>
      <w:tr w:rsidR="00320B90" w:rsidRPr="000731BC" w14:paraId="379C0332" w14:textId="77777777" w:rsidTr="001D2E6B">
        <w:trPr>
          <w:jc w:val="center"/>
        </w:trPr>
        <w:tc>
          <w:tcPr>
            <w:tcW w:w="1298" w:type="dxa"/>
            <w:vAlign w:val="center"/>
          </w:tcPr>
          <w:p w14:paraId="66BE845C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anti-mouse IgG</w:t>
            </w:r>
          </w:p>
        </w:tc>
        <w:tc>
          <w:tcPr>
            <w:tcW w:w="1499" w:type="dxa"/>
            <w:vAlign w:val="center"/>
          </w:tcPr>
          <w:p w14:paraId="35E8A63F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Alexa fluor 555</w:t>
            </w:r>
          </w:p>
        </w:tc>
        <w:tc>
          <w:tcPr>
            <w:tcW w:w="1151" w:type="dxa"/>
            <w:vAlign w:val="center"/>
          </w:tcPr>
          <w:p w14:paraId="393E9D26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Goat</w:t>
            </w:r>
          </w:p>
        </w:tc>
        <w:tc>
          <w:tcPr>
            <w:tcW w:w="2704" w:type="dxa"/>
            <w:vAlign w:val="center"/>
          </w:tcPr>
          <w:p w14:paraId="321F819D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Molecular probes, Carlsbad, CA</w:t>
            </w:r>
          </w:p>
        </w:tc>
        <w:tc>
          <w:tcPr>
            <w:tcW w:w="1317" w:type="dxa"/>
            <w:vAlign w:val="center"/>
          </w:tcPr>
          <w:p w14:paraId="7DBC3075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IF (1:250)</w:t>
            </w:r>
          </w:p>
        </w:tc>
      </w:tr>
      <w:tr w:rsidR="00320B90" w:rsidRPr="000731BC" w14:paraId="64881A99" w14:textId="77777777" w:rsidTr="001D2E6B">
        <w:trPr>
          <w:jc w:val="center"/>
        </w:trPr>
        <w:tc>
          <w:tcPr>
            <w:tcW w:w="1298" w:type="dxa"/>
            <w:vAlign w:val="center"/>
          </w:tcPr>
          <w:p w14:paraId="77337764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anti-mouse IgG</w:t>
            </w:r>
          </w:p>
        </w:tc>
        <w:tc>
          <w:tcPr>
            <w:tcW w:w="1499" w:type="dxa"/>
            <w:vAlign w:val="center"/>
          </w:tcPr>
          <w:p w14:paraId="0C783C8E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FITC</w:t>
            </w:r>
          </w:p>
        </w:tc>
        <w:tc>
          <w:tcPr>
            <w:tcW w:w="1151" w:type="dxa"/>
            <w:vAlign w:val="center"/>
          </w:tcPr>
          <w:p w14:paraId="7BB7C58F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Goat</w:t>
            </w:r>
          </w:p>
        </w:tc>
        <w:tc>
          <w:tcPr>
            <w:tcW w:w="2704" w:type="dxa"/>
            <w:vAlign w:val="center"/>
          </w:tcPr>
          <w:p w14:paraId="54230512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CHEMICON international, Temecula, CA</w:t>
            </w:r>
          </w:p>
        </w:tc>
        <w:tc>
          <w:tcPr>
            <w:tcW w:w="1317" w:type="dxa"/>
            <w:vAlign w:val="center"/>
          </w:tcPr>
          <w:p w14:paraId="5E8662C5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IF (1:250)</w:t>
            </w:r>
          </w:p>
        </w:tc>
      </w:tr>
      <w:tr w:rsidR="00320B90" w:rsidRPr="000731BC" w14:paraId="67AF67D4" w14:textId="77777777" w:rsidTr="001D2E6B">
        <w:trPr>
          <w:jc w:val="center"/>
        </w:trPr>
        <w:tc>
          <w:tcPr>
            <w:tcW w:w="1298" w:type="dxa"/>
            <w:vAlign w:val="center"/>
          </w:tcPr>
          <w:p w14:paraId="54714329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anti-rabbit IgG</w:t>
            </w:r>
          </w:p>
        </w:tc>
        <w:tc>
          <w:tcPr>
            <w:tcW w:w="1499" w:type="dxa"/>
            <w:vAlign w:val="center"/>
          </w:tcPr>
          <w:p w14:paraId="182A6519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FITC</w:t>
            </w:r>
          </w:p>
        </w:tc>
        <w:tc>
          <w:tcPr>
            <w:tcW w:w="1151" w:type="dxa"/>
            <w:vAlign w:val="center"/>
          </w:tcPr>
          <w:p w14:paraId="2D752475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Goat</w:t>
            </w:r>
          </w:p>
        </w:tc>
        <w:tc>
          <w:tcPr>
            <w:tcW w:w="2704" w:type="dxa"/>
            <w:vAlign w:val="center"/>
          </w:tcPr>
          <w:p w14:paraId="02047513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CHEMICON international, Temecula, CA</w:t>
            </w:r>
          </w:p>
        </w:tc>
        <w:tc>
          <w:tcPr>
            <w:tcW w:w="1317" w:type="dxa"/>
            <w:vAlign w:val="center"/>
          </w:tcPr>
          <w:p w14:paraId="000C01D8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IF (1:250)</w:t>
            </w:r>
          </w:p>
        </w:tc>
      </w:tr>
      <w:tr w:rsidR="00320B90" w:rsidRPr="000731BC" w14:paraId="5C158D29" w14:textId="77777777" w:rsidTr="001D2E6B">
        <w:trPr>
          <w:jc w:val="center"/>
        </w:trPr>
        <w:tc>
          <w:tcPr>
            <w:tcW w:w="1298" w:type="dxa"/>
            <w:vAlign w:val="center"/>
          </w:tcPr>
          <w:p w14:paraId="4F2F0EDE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anti-rabbit IgG</w:t>
            </w:r>
          </w:p>
        </w:tc>
        <w:tc>
          <w:tcPr>
            <w:tcW w:w="1499" w:type="dxa"/>
            <w:vAlign w:val="center"/>
          </w:tcPr>
          <w:p w14:paraId="5B5A4844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HRP</w:t>
            </w:r>
          </w:p>
        </w:tc>
        <w:tc>
          <w:tcPr>
            <w:tcW w:w="1151" w:type="dxa"/>
            <w:vAlign w:val="center"/>
          </w:tcPr>
          <w:p w14:paraId="31934EF1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Goat</w:t>
            </w:r>
          </w:p>
        </w:tc>
        <w:tc>
          <w:tcPr>
            <w:tcW w:w="2704" w:type="dxa"/>
            <w:vAlign w:val="center"/>
          </w:tcPr>
          <w:p w14:paraId="7B483F26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 xml:space="preserve">Jackson </w:t>
            </w:r>
            <w:proofErr w:type="spellStart"/>
            <w:r w:rsidRPr="000731BC">
              <w:rPr>
                <w:rFonts w:ascii="Times New Roman" w:eastAsia="바탕체" w:hAnsi="Times New Roman" w:cs="Times New Roman"/>
                <w:sz w:val="22"/>
              </w:rPr>
              <w:t>ImmunoResearch</w:t>
            </w:r>
            <w:proofErr w:type="spellEnd"/>
            <w:r w:rsidRPr="000731BC">
              <w:rPr>
                <w:rFonts w:ascii="Times New Roman" w:eastAsia="바탕체" w:hAnsi="Times New Roman" w:cs="Times New Roman"/>
                <w:sz w:val="22"/>
              </w:rPr>
              <w:t>, Grove, PA</w:t>
            </w:r>
          </w:p>
        </w:tc>
        <w:tc>
          <w:tcPr>
            <w:tcW w:w="1317" w:type="dxa"/>
            <w:vAlign w:val="center"/>
          </w:tcPr>
          <w:p w14:paraId="1DAB9F93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WB (1:1000)</w:t>
            </w:r>
          </w:p>
        </w:tc>
      </w:tr>
      <w:tr w:rsidR="00320B90" w:rsidRPr="000731BC" w14:paraId="66A142BA" w14:textId="77777777" w:rsidTr="001D2E6B">
        <w:trPr>
          <w:jc w:val="center"/>
        </w:trPr>
        <w:tc>
          <w:tcPr>
            <w:tcW w:w="1298" w:type="dxa"/>
            <w:vAlign w:val="center"/>
          </w:tcPr>
          <w:p w14:paraId="41D55807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anti-mouse IgG</w:t>
            </w:r>
          </w:p>
        </w:tc>
        <w:tc>
          <w:tcPr>
            <w:tcW w:w="1499" w:type="dxa"/>
            <w:vAlign w:val="center"/>
          </w:tcPr>
          <w:p w14:paraId="309EE13B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HRP</w:t>
            </w:r>
          </w:p>
        </w:tc>
        <w:tc>
          <w:tcPr>
            <w:tcW w:w="1151" w:type="dxa"/>
            <w:vAlign w:val="center"/>
          </w:tcPr>
          <w:p w14:paraId="5A33625C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Goat</w:t>
            </w:r>
          </w:p>
        </w:tc>
        <w:tc>
          <w:tcPr>
            <w:tcW w:w="2704" w:type="dxa"/>
            <w:vAlign w:val="center"/>
          </w:tcPr>
          <w:p w14:paraId="005139AB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 xml:space="preserve">Jackson </w:t>
            </w:r>
            <w:proofErr w:type="spellStart"/>
            <w:r w:rsidRPr="000731BC">
              <w:rPr>
                <w:rFonts w:ascii="Times New Roman" w:eastAsia="바탕체" w:hAnsi="Times New Roman" w:cs="Times New Roman"/>
                <w:sz w:val="22"/>
              </w:rPr>
              <w:t>ImmunoResearch</w:t>
            </w:r>
            <w:proofErr w:type="spellEnd"/>
            <w:r w:rsidRPr="000731BC">
              <w:rPr>
                <w:rFonts w:ascii="Times New Roman" w:eastAsia="바탕체" w:hAnsi="Times New Roman" w:cs="Times New Roman"/>
                <w:sz w:val="22"/>
              </w:rPr>
              <w:t>, Grove, PA</w:t>
            </w:r>
          </w:p>
        </w:tc>
        <w:tc>
          <w:tcPr>
            <w:tcW w:w="1317" w:type="dxa"/>
            <w:vAlign w:val="center"/>
          </w:tcPr>
          <w:p w14:paraId="471E0B38" w14:textId="77777777" w:rsidR="00320B90" w:rsidRPr="000731BC" w:rsidRDefault="00320B90" w:rsidP="001D2E6B">
            <w:pPr>
              <w:wordWrap/>
              <w:spacing w:line="384" w:lineRule="auto"/>
              <w:rPr>
                <w:rFonts w:ascii="Times New Roman" w:eastAsia="바탕체" w:hAnsi="Times New Roman" w:cs="Times New Roman"/>
                <w:sz w:val="22"/>
              </w:rPr>
            </w:pPr>
            <w:r w:rsidRPr="000731BC">
              <w:rPr>
                <w:rFonts w:ascii="Times New Roman" w:eastAsia="바탕체" w:hAnsi="Times New Roman" w:cs="Times New Roman"/>
                <w:sz w:val="22"/>
              </w:rPr>
              <w:t>WB (1:1000)</w:t>
            </w:r>
          </w:p>
        </w:tc>
      </w:tr>
    </w:tbl>
    <w:p w14:paraId="5389CA90" w14:textId="77777777" w:rsidR="00320B90" w:rsidRPr="000731BC" w:rsidRDefault="00320B90" w:rsidP="00320B90">
      <w:pPr>
        <w:spacing w:line="480" w:lineRule="auto"/>
        <w:rPr>
          <w:rFonts w:ascii="Times New Roman" w:eastAsia="바탕체" w:hAnsi="Times New Roman" w:cs="Times New Roman"/>
          <w:sz w:val="22"/>
        </w:rPr>
      </w:pPr>
      <w:r w:rsidRPr="000731BC">
        <w:rPr>
          <w:rFonts w:ascii="Times New Roman" w:eastAsia="바탕체" w:hAnsi="Times New Roman" w:cs="Times New Roman"/>
          <w:sz w:val="22"/>
        </w:rPr>
        <w:t xml:space="preserve">FITC; fluorescein isothiocyanate, HRP; Horseradish peroxidase, IF; immunofluorescence staining, WB; Western blot analysis. </w:t>
      </w:r>
    </w:p>
    <w:p w14:paraId="58BE8739" w14:textId="77777777" w:rsidR="00DD2470" w:rsidRPr="00320B90" w:rsidRDefault="00DD2470"/>
    <w:sectPr w:rsidR="00DD2470" w:rsidRPr="00320B9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B90"/>
    <w:rsid w:val="00320B90"/>
    <w:rsid w:val="005542ED"/>
    <w:rsid w:val="00B330CB"/>
    <w:rsid w:val="00DD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70FDC"/>
  <w15:chartTrackingRefBased/>
  <w15:docId w15:val="{99D60C7A-3ECA-480E-AF8D-C76C3652B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B9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0B90"/>
    <w:pPr>
      <w:spacing w:after="0" w:line="240" w:lineRule="auto"/>
      <w:jc w:val="left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윤영</dc:creator>
  <cp:keywords/>
  <dc:description/>
  <cp:lastModifiedBy>윤영</cp:lastModifiedBy>
  <cp:revision>1</cp:revision>
  <dcterms:created xsi:type="dcterms:W3CDTF">2022-06-20T08:21:00Z</dcterms:created>
  <dcterms:modified xsi:type="dcterms:W3CDTF">2022-06-20T08:23:00Z</dcterms:modified>
</cp:coreProperties>
</file>