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D1A3" w14:textId="77777777" w:rsidR="004D620B" w:rsidRPr="004335F3" w:rsidRDefault="004D620B" w:rsidP="004D620B">
      <w:pPr>
        <w:spacing w:after="0" w:line="480" w:lineRule="auto"/>
        <w:jc w:val="both"/>
        <w:rPr>
          <w:rFonts w:asciiTheme="minorHAnsi" w:hAnsiTheme="minorHAnsi" w:cstheme="minorHAnsi"/>
          <w:sz w:val="20"/>
          <w:szCs w:val="28"/>
          <w:lang w:val="en-US"/>
        </w:rPr>
      </w:pPr>
      <w:r w:rsidRPr="004335F3">
        <w:rPr>
          <w:noProof/>
          <w:lang w:val="en-US"/>
        </w:rPr>
        <w:drawing>
          <wp:inline distT="0" distB="0" distL="0" distR="0" wp14:anchorId="2ABA1073" wp14:editId="3F15DD99">
            <wp:extent cx="4155743" cy="27704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4517" cy="2783011"/>
                    </a:xfrm>
                    <a:prstGeom prst="rect">
                      <a:avLst/>
                    </a:prstGeom>
                    <a:noFill/>
                    <a:ln>
                      <a:noFill/>
                    </a:ln>
                  </pic:spPr>
                </pic:pic>
              </a:graphicData>
            </a:graphic>
          </wp:inline>
        </w:drawing>
      </w:r>
    </w:p>
    <w:p w14:paraId="3CF74CEE" w14:textId="77777777" w:rsidR="004D620B" w:rsidRPr="004335F3" w:rsidRDefault="004D620B" w:rsidP="004D620B">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S1.</w:t>
      </w:r>
      <w:r w:rsidRPr="004335F3">
        <w:rPr>
          <w:rFonts w:asciiTheme="minorHAnsi" w:hAnsiTheme="minorHAnsi" w:cstheme="minorHAnsi"/>
          <w:sz w:val="20"/>
          <w:szCs w:val="28"/>
          <w:lang w:val="en-US"/>
        </w:rPr>
        <w:t xml:space="preserve"> </w:t>
      </w:r>
      <w:r w:rsidRPr="004335F3">
        <w:rPr>
          <w:rFonts w:asciiTheme="minorHAnsi" w:hAnsiTheme="minorHAnsi" w:cstheme="minorHAnsi"/>
          <w:b/>
          <w:bCs/>
          <w:sz w:val="20"/>
          <w:szCs w:val="28"/>
        </w:rPr>
        <w:t>Number of discovered SVs depending on mean sequencing depth</w:t>
      </w:r>
    </w:p>
    <w:p w14:paraId="764F23D2" w14:textId="16343E42" w:rsidR="00E0056C" w:rsidRDefault="004D620B" w:rsidP="004D620B">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sz w:val="18"/>
          <w:szCs w:val="18"/>
          <w:lang w:val="en-US"/>
        </w:rPr>
        <w:t xml:space="preserve">Our SV discovery results showed that the number of SVs discovered per sample increased linearly in relation to the mean sequencing depth. Each panel stands for four types of SVs: BND (breakends), DEL (deletions), DUP (duplications), and INV (inversions). Each dot represents a sample. For BND, DEL, and DUP, the increase of discovered variants according to the sequencing depth was evident. We did not observe spurious batch effects. There </w:t>
      </w:r>
      <w:r w:rsidR="001B3145" w:rsidRPr="004335F3">
        <w:rPr>
          <w:rFonts w:asciiTheme="minorHAnsi" w:hAnsiTheme="minorHAnsi" w:cstheme="minorHAnsi"/>
          <w:sz w:val="18"/>
          <w:szCs w:val="18"/>
          <w:lang w:val="en-US"/>
        </w:rPr>
        <w:t>were</w:t>
      </w:r>
      <w:r w:rsidRPr="004335F3">
        <w:rPr>
          <w:rFonts w:asciiTheme="minorHAnsi" w:hAnsiTheme="minorHAnsi" w:cstheme="minorHAnsi"/>
          <w:sz w:val="18"/>
          <w:szCs w:val="18"/>
          <w:lang w:val="en-US"/>
        </w:rPr>
        <w:t xml:space="preserve"> no spurious sub-clusters (</w:t>
      </w:r>
      <w:proofErr w:type="gramStart"/>
      <w:r w:rsidRPr="004335F3">
        <w:rPr>
          <w:rFonts w:asciiTheme="minorHAnsi" w:hAnsiTheme="minorHAnsi" w:cstheme="minorHAnsi"/>
          <w:sz w:val="18"/>
          <w:szCs w:val="18"/>
          <w:lang w:val="en-US"/>
        </w:rPr>
        <w:t>e.g.</w:t>
      </w:r>
      <w:proofErr w:type="gramEnd"/>
      <w:r w:rsidRPr="004335F3">
        <w:rPr>
          <w:rFonts w:asciiTheme="minorHAnsi" w:hAnsiTheme="minorHAnsi" w:cstheme="minorHAnsi"/>
          <w:sz w:val="18"/>
          <w:szCs w:val="18"/>
          <w:lang w:val="en-US"/>
        </w:rPr>
        <w:t xml:space="preserve"> batch effects). </w:t>
      </w:r>
    </w:p>
    <w:p w14:paraId="721FFDEB" w14:textId="77777777" w:rsidR="00E0056C" w:rsidRDefault="00E0056C">
      <w:pPr>
        <w:spacing w:after="160"/>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7E2E3343" w14:textId="77777777" w:rsidR="004D620B" w:rsidRPr="004335F3" w:rsidRDefault="004D620B" w:rsidP="004D620B">
      <w:pPr>
        <w:spacing w:after="0" w:line="480" w:lineRule="auto"/>
        <w:jc w:val="both"/>
        <w:rPr>
          <w:rFonts w:asciiTheme="minorHAnsi" w:hAnsiTheme="minorHAnsi" w:cstheme="minorHAnsi"/>
          <w:sz w:val="20"/>
          <w:szCs w:val="28"/>
          <w:lang w:val="en-US"/>
        </w:rPr>
      </w:pPr>
      <w:r w:rsidRPr="004335F3">
        <w:rPr>
          <w:noProof/>
          <w:lang w:val="en-US"/>
        </w:rPr>
        <w:lastRenderedPageBreak/>
        <w:drawing>
          <wp:inline distT="0" distB="0" distL="0" distR="0" wp14:anchorId="44E31DE8" wp14:editId="57FF39A0">
            <wp:extent cx="4193473" cy="266575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1517" cy="2677229"/>
                    </a:xfrm>
                    <a:prstGeom prst="rect">
                      <a:avLst/>
                    </a:prstGeom>
                    <a:noFill/>
                    <a:ln>
                      <a:noFill/>
                    </a:ln>
                  </pic:spPr>
                </pic:pic>
              </a:graphicData>
            </a:graphic>
          </wp:inline>
        </w:drawing>
      </w:r>
    </w:p>
    <w:p w14:paraId="4D719E81" w14:textId="77777777" w:rsidR="004D620B" w:rsidRPr="004335F3" w:rsidRDefault="004D620B" w:rsidP="004D620B">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S2.</w:t>
      </w:r>
      <w:r w:rsidRPr="004335F3">
        <w:rPr>
          <w:rFonts w:asciiTheme="minorHAnsi" w:hAnsiTheme="minorHAnsi" w:cstheme="minorHAnsi"/>
          <w:sz w:val="20"/>
          <w:szCs w:val="28"/>
          <w:lang w:val="en-US"/>
        </w:rPr>
        <w:t xml:space="preserve"> </w:t>
      </w:r>
      <w:r w:rsidRPr="004335F3">
        <w:rPr>
          <w:rFonts w:asciiTheme="minorHAnsi" w:hAnsiTheme="minorHAnsi" w:cstheme="minorHAnsi"/>
          <w:b/>
          <w:bCs/>
          <w:sz w:val="20"/>
          <w:szCs w:val="28"/>
        </w:rPr>
        <w:t>Distinctive RD distribution discerning mCNVs from biallelic duplications</w:t>
      </w:r>
    </w:p>
    <w:p w14:paraId="1ADA9CCC" w14:textId="2FB0907D" w:rsidR="00E0056C" w:rsidRDefault="004D620B" w:rsidP="004D620B">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sz w:val="18"/>
          <w:szCs w:val="18"/>
          <w:lang w:val="en-US"/>
        </w:rPr>
        <w:t xml:space="preserve">We re-classified 22 duplications as mCNVs based on their RD distribution. </w:t>
      </w:r>
      <w:r w:rsidRPr="004335F3">
        <w:rPr>
          <w:rFonts w:asciiTheme="minorHAnsi" w:hAnsiTheme="minorHAnsi" w:cstheme="minorHAnsi"/>
          <w:b/>
          <w:bCs/>
          <w:sz w:val="18"/>
          <w:szCs w:val="18"/>
          <w:lang w:val="en-US"/>
        </w:rPr>
        <w:t>(A, B)</w:t>
      </w:r>
      <w:r w:rsidRPr="004335F3">
        <w:rPr>
          <w:rFonts w:asciiTheme="minorHAnsi" w:hAnsiTheme="minorHAnsi" w:cstheme="minorHAnsi"/>
          <w:sz w:val="18"/>
          <w:szCs w:val="18"/>
          <w:lang w:val="en-US"/>
        </w:rPr>
        <w:t xml:space="preserve"> Panel A and B show examples of biallelic duplication sites where RD values form the trimodal distribution. </w:t>
      </w:r>
      <w:r w:rsidRPr="004335F3">
        <w:rPr>
          <w:rFonts w:asciiTheme="minorHAnsi" w:hAnsiTheme="minorHAnsi" w:cstheme="minorHAnsi"/>
          <w:b/>
          <w:bCs/>
          <w:sz w:val="18"/>
          <w:szCs w:val="18"/>
          <w:lang w:val="en-US"/>
        </w:rPr>
        <w:t>(C, D)</w:t>
      </w:r>
      <w:r w:rsidRPr="004335F3">
        <w:rPr>
          <w:rFonts w:asciiTheme="minorHAnsi" w:hAnsiTheme="minorHAnsi" w:cstheme="minorHAnsi"/>
          <w:sz w:val="18"/>
          <w:szCs w:val="18"/>
          <w:lang w:val="en-US"/>
        </w:rPr>
        <w:t xml:space="preserve"> In the case of multi-allelic duplications, there are more than three allelic combinations in diploid states and hence show distinctive multi-modal RD distribution. Also, the range of RD values is broader than biallelic duplications (x-axes marked with translucent red).</w:t>
      </w:r>
    </w:p>
    <w:p w14:paraId="23A3DB10" w14:textId="77777777" w:rsidR="00E0056C" w:rsidRDefault="00E0056C">
      <w:pPr>
        <w:spacing w:after="160"/>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7380CFCB" w14:textId="77777777" w:rsidR="004D620B" w:rsidRPr="004335F3" w:rsidRDefault="004D620B" w:rsidP="004D620B">
      <w:pPr>
        <w:spacing w:after="0" w:line="480" w:lineRule="auto"/>
        <w:jc w:val="both"/>
        <w:rPr>
          <w:rFonts w:asciiTheme="minorHAnsi" w:hAnsiTheme="minorHAnsi" w:cstheme="minorHAnsi"/>
          <w:sz w:val="18"/>
          <w:szCs w:val="18"/>
          <w:lang w:val="en-US"/>
        </w:rPr>
      </w:pPr>
    </w:p>
    <w:p w14:paraId="4FBE0118" w14:textId="77777777" w:rsidR="004D620B" w:rsidRPr="004335F3" w:rsidRDefault="004D620B" w:rsidP="004D620B">
      <w:pPr>
        <w:spacing w:after="0" w:line="480" w:lineRule="auto"/>
        <w:jc w:val="both"/>
        <w:rPr>
          <w:rFonts w:asciiTheme="minorHAnsi" w:hAnsiTheme="minorHAnsi" w:cstheme="minorHAnsi"/>
          <w:sz w:val="18"/>
          <w:szCs w:val="18"/>
          <w:lang w:val="en-US"/>
        </w:rPr>
      </w:pPr>
      <w:r w:rsidRPr="004335F3">
        <w:rPr>
          <w:noProof/>
          <w:lang w:val="en-US"/>
        </w:rPr>
        <w:drawing>
          <wp:inline distT="0" distB="0" distL="0" distR="0" wp14:anchorId="7552A1FD" wp14:editId="7E1D5234">
            <wp:extent cx="3689883" cy="145732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99078" cy="1460957"/>
                    </a:xfrm>
                    <a:prstGeom prst="rect">
                      <a:avLst/>
                    </a:prstGeom>
                  </pic:spPr>
                </pic:pic>
              </a:graphicData>
            </a:graphic>
          </wp:inline>
        </w:drawing>
      </w:r>
    </w:p>
    <w:p w14:paraId="473CDE65" w14:textId="77777777" w:rsidR="004D620B" w:rsidRPr="004335F3" w:rsidRDefault="004D620B" w:rsidP="004D620B">
      <w:pPr>
        <w:spacing w:after="0" w:line="480" w:lineRule="auto"/>
        <w:jc w:val="both"/>
        <w:rPr>
          <w:rFonts w:asciiTheme="minorHAnsi" w:hAnsiTheme="minorHAnsi" w:cstheme="minorHAnsi"/>
          <w:b/>
          <w:bCs/>
          <w:sz w:val="20"/>
          <w:szCs w:val="28"/>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S3. Size distribution of overall CNVs</w:t>
      </w:r>
    </w:p>
    <w:p w14:paraId="052C9905" w14:textId="69A1B005" w:rsidR="00E0056C" w:rsidRDefault="004D620B" w:rsidP="004D620B">
      <w:pPr>
        <w:spacing w:after="0" w:line="480" w:lineRule="auto"/>
        <w:jc w:val="both"/>
        <w:rPr>
          <w:rFonts w:asciiTheme="minorHAnsi" w:hAnsiTheme="minorHAnsi" w:cstheme="minorHAnsi"/>
          <w:sz w:val="18"/>
          <w:szCs w:val="18"/>
        </w:rPr>
      </w:pPr>
      <w:r w:rsidRPr="004335F3">
        <w:rPr>
          <w:rFonts w:asciiTheme="minorHAnsi" w:hAnsiTheme="minorHAnsi" w:cstheme="minorHAnsi" w:hint="eastAsia"/>
          <w:sz w:val="18"/>
          <w:szCs w:val="18"/>
        </w:rPr>
        <w:t>S</w:t>
      </w:r>
      <w:r w:rsidRPr="004335F3">
        <w:rPr>
          <w:rFonts w:asciiTheme="minorHAnsi" w:hAnsiTheme="minorHAnsi" w:cstheme="minorHAnsi"/>
          <w:sz w:val="18"/>
          <w:szCs w:val="18"/>
        </w:rPr>
        <w:t xml:space="preserve">ize distribution of overall CNVs </w:t>
      </w:r>
      <w:proofErr w:type="gramStart"/>
      <w:r w:rsidRPr="004335F3">
        <w:rPr>
          <w:rFonts w:asciiTheme="minorHAnsi" w:hAnsiTheme="minorHAnsi" w:cstheme="minorHAnsi"/>
          <w:sz w:val="18"/>
          <w:szCs w:val="18"/>
        </w:rPr>
        <w:t>are</w:t>
      </w:r>
      <w:proofErr w:type="gramEnd"/>
      <w:r w:rsidRPr="004335F3">
        <w:rPr>
          <w:rFonts w:asciiTheme="minorHAnsi" w:hAnsiTheme="minorHAnsi" w:cstheme="minorHAnsi"/>
          <w:sz w:val="18"/>
          <w:szCs w:val="18"/>
        </w:rPr>
        <w:t xml:space="preserve"> shown (deletions, duplications, and mCNVs). The deletions are marked with light blue (lenient calls) and dark blue (stringent calls). The duplications are marked with light pinks (lenient) and magenta (stringent). mCNVs are marked with green and they are discovered in &gt;1-kb size. </w:t>
      </w:r>
    </w:p>
    <w:p w14:paraId="7AEAABE5" w14:textId="3647DAB4" w:rsidR="00E0056C" w:rsidRDefault="00E0056C">
      <w:pPr>
        <w:spacing w:after="160"/>
        <w:rPr>
          <w:rFonts w:asciiTheme="minorHAnsi" w:hAnsiTheme="minorHAnsi" w:cstheme="minorHAnsi"/>
          <w:sz w:val="18"/>
          <w:szCs w:val="18"/>
        </w:rPr>
      </w:pPr>
      <w:r>
        <w:rPr>
          <w:rFonts w:asciiTheme="minorHAnsi" w:hAnsiTheme="minorHAnsi" w:cstheme="minorHAnsi"/>
          <w:sz w:val="18"/>
          <w:szCs w:val="18"/>
        </w:rPr>
        <w:br w:type="page"/>
      </w:r>
    </w:p>
    <w:p w14:paraId="7D9DEB27" w14:textId="4C372EDD" w:rsidR="00215DF7" w:rsidRDefault="00215DF7">
      <w:pPr>
        <w:spacing w:after="160"/>
        <w:rPr>
          <w:rFonts w:asciiTheme="minorHAnsi" w:hAnsiTheme="minorHAnsi" w:cstheme="minorHAnsi"/>
          <w:sz w:val="18"/>
          <w:szCs w:val="18"/>
        </w:rPr>
      </w:pPr>
      <w:r>
        <w:rPr>
          <w:rFonts w:asciiTheme="minorHAnsi" w:hAnsiTheme="minorHAnsi" w:cstheme="minorHAnsi"/>
          <w:noProof/>
          <w:sz w:val="18"/>
          <w:szCs w:val="18"/>
          <w:lang w:val="en-US"/>
        </w:rPr>
        <w:lastRenderedPageBreak/>
        <w:drawing>
          <wp:inline distT="0" distB="0" distL="0" distR="0" wp14:anchorId="3AF8A8F4" wp14:editId="70253E2D">
            <wp:extent cx="5760720" cy="3204845"/>
            <wp:effectExtent l="0" t="0" r="0" b="0"/>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04845"/>
                    </a:xfrm>
                    <a:prstGeom prst="rect">
                      <a:avLst/>
                    </a:prstGeom>
                  </pic:spPr>
                </pic:pic>
              </a:graphicData>
            </a:graphic>
          </wp:inline>
        </w:drawing>
      </w:r>
    </w:p>
    <w:p w14:paraId="6BDA9FD6" w14:textId="3AE5B987" w:rsidR="00DF0776" w:rsidRDefault="00DF0776" w:rsidP="00DF0776">
      <w:pPr>
        <w:spacing w:after="0" w:line="480" w:lineRule="auto"/>
        <w:jc w:val="both"/>
        <w:rPr>
          <w:rFonts w:asciiTheme="minorHAnsi" w:hAnsiTheme="minorHAnsi" w:cstheme="minorHAnsi"/>
          <w:b/>
          <w:bCs/>
          <w:sz w:val="20"/>
          <w:szCs w:val="28"/>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Pr>
          <w:rFonts w:asciiTheme="minorHAnsi" w:hAnsiTheme="minorHAnsi" w:cstheme="minorHAnsi"/>
          <w:b/>
          <w:bCs/>
          <w:sz w:val="20"/>
          <w:szCs w:val="28"/>
        </w:rPr>
        <w:t>4</w:t>
      </w:r>
      <w:r w:rsidRPr="004335F3">
        <w:rPr>
          <w:rFonts w:asciiTheme="minorHAnsi" w:hAnsiTheme="minorHAnsi" w:cstheme="minorHAnsi"/>
          <w:b/>
          <w:bCs/>
          <w:sz w:val="20"/>
          <w:szCs w:val="28"/>
        </w:rPr>
        <w:t>.</w:t>
      </w:r>
      <w:r>
        <w:rPr>
          <w:rFonts w:asciiTheme="minorHAnsi" w:hAnsiTheme="minorHAnsi" w:cstheme="minorHAnsi"/>
          <w:b/>
          <w:bCs/>
          <w:sz w:val="20"/>
          <w:szCs w:val="28"/>
        </w:rPr>
        <w:t xml:space="preserve"> Canonical and non-canonical copy number variants.</w:t>
      </w:r>
    </w:p>
    <w:p w14:paraId="5FCCF86D" w14:textId="4096723A" w:rsidR="00943E6E" w:rsidRDefault="00DF0776" w:rsidP="00A56F93">
      <w:pPr>
        <w:spacing w:after="0" w:line="480" w:lineRule="auto"/>
        <w:jc w:val="both"/>
        <w:rPr>
          <w:rFonts w:asciiTheme="minorHAnsi" w:hAnsiTheme="minorHAnsi" w:cstheme="minorHAnsi"/>
          <w:sz w:val="20"/>
          <w:szCs w:val="28"/>
        </w:rPr>
      </w:pPr>
      <w:r w:rsidRPr="00943E6E">
        <w:rPr>
          <w:rFonts w:asciiTheme="minorHAnsi" w:hAnsiTheme="minorHAnsi" w:cstheme="minorHAnsi"/>
          <w:sz w:val="18"/>
          <w:szCs w:val="24"/>
        </w:rPr>
        <w:t xml:space="preserve">The figure above provides a schematic overview of the canonical and non-canonical CNVs. </w:t>
      </w:r>
      <w:r w:rsidR="003E6F00" w:rsidRPr="00943E6E">
        <w:rPr>
          <w:rFonts w:asciiTheme="minorHAnsi" w:hAnsiTheme="minorHAnsi" w:cstheme="minorHAnsi"/>
          <w:sz w:val="18"/>
          <w:szCs w:val="24"/>
        </w:rPr>
        <w:t xml:space="preserve">The left side shows alleles segregating at a given locus and the reference allele is marked with (R) and the derived allele is marked with (D). The right panel shows the allelic combination possible for a given locus, and the diploid copy numbers. </w:t>
      </w:r>
      <w:r w:rsidR="007C753B" w:rsidRPr="00943E6E">
        <w:rPr>
          <w:rFonts w:asciiTheme="minorHAnsi" w:hAnsiTheme="minorHAnsi" w:cstheme="minorHAnsi"/>
          <w:sz w:val="18"/>
          <w:szCs w:val="24"/>
        </w:rPr>
        <w:t>Canonical CNVs include biallelic deletions and duplications</w:t>
      </w:r>
      <w:r w:rsidR="003E6F00" w:rsidRPr="00943E6E">
        <w:rPr>
          <w:rFonts w:asciiTheme="minorHAnsi" w:hAnsiTheme="minorHAnsi" w:cstheme="minorHAnsi"/>
          <w:sz w:val="18"/>
          <w:szCs w:val="24"/>
        </w:rPr>
        <w:t xml:space="preserve"> which harbours two structural alleles for a given locus (for deletions wildtype and deleted; for duplications wildtype and duplicated).</w:t>
      </w:r>
      <w:r w:rsidR="00AA5FA2" w:rsidRPr="00943E6E">
        <w:rPr>
          <w:rFonts w:asciiTheme="minorHAnsi" w:hAnsiTheme="minorHAnsi" w:cstheme="minorHAnsi"/>
          <w:sz w:val="18"/>
          <w:szCs w:val="24"/>
        </w:rPr>
        <w:t xml:space="preserve"> Multiplications refers to SVs of which the</w:t>
      </w:r>
      <w:r w:rsidR="000C710A" w:rsidRPr="00943E6E">
        <w:rPr>
          <w:rFonts w:asciiTheme="minorHAnsi" w:hAnsiTheme="minorHAnsi" w:cstheme="minorHAnsi"/>
          <w:sz w:val="18"/>
          <w:szCs w:val="24"/>
        </w:rPr>
        <w:t xml:space="preserve"> derived allele does not show sequential copy number increase. Hence, unlike the biallelic duplication which will have diploid CN 2, 3, and 4 (B), multiplication loci can have higher diploid CNs (C). </w:t>
      </w:r>
      <w:r w:rsidR="007C753B" w:rsidRPr="00943E6E">
        <w:rPr>
          <w:rFonts w:asciiTheme="minorHAnsi" w:hAnsiTheme="minorHAnsi" w:cstheme="minorHAnsi"/>
          <w:sz w:val="18"/>
          <w:szCs w:val="24"/>
        </w:rPr>
        <w:t>We learned that the genotyping tool used in the current study assume</w:t>
      </w:r>
      <w:r w:rsidR="000C710A" w:rsidRPr="00943E6E">
        <w:rPr>
          <w:rFonts w:asciiTheme="minorHAnsi" w:hAnsiTheme="minorHAnsi" w:cstheme="minorHAnsi"/>
          <w:sz w:val="18"/>
          <w:szCs w:val="24"/>
        </w:rPr>
        <w:t>s</w:t>
      </w:r>
      <w:r w:rsidR="007C753B" w:rsidRPr="00943E6E">
        <w:rPr>
          <w:rFonts w:asciiTheme="minorHAnsi" w:hAnsiTheme="minorHAnsi" w:cstheme="minorHAnsi"/>
          <w:sz w:val="18"/>
          <w:szCs w:val="24"/>
        </w:rPr>
        <w:t xml:space="preserve"> </w:t>
      </w:r>
      <w:r w:rsidR="003E6F00" w:rsidRPr="00943E6E">
        <w:rPr>
          <w:rFonts w:asciiTheme="minorHAnsi" w:hAnsiTheme="minorHAnsi" w:cstheme="minorHAnsi"/>
          <w:sz w:val="18"/>
          <w:szCs w:val="24"/>
        </w:rPr>
        <w:t>two alleles for any SVs</w:t>
      </w:r>
      <w:r w:rsidR="000C710A" w:rsidRPr="00943E6E">
        <w:rPr>
          <w:rFonts w:asciiTheme="minorHAnsi" w:hAnsiTheme="minorHAnsi" w:cstheme="minorHAnsi"/>
          <w:sz w:val="18"/>
          <w:szCs w:val="24"/>
        </w:rPr>
        <w:t xml:space="preserve"> by default</w:t>
      </w:r>
      <w:r w:rsidR="003E6F00" w:rsidRPr="00943E6E">
        <w:rPr>
          <w:rFonts w:asciiTheme="minorHAnsi" w:hAnsiTheme="minorHAnsi" w:cstheme="minorHAnsi"/>
          <w:sz w:val="18"/>
          <w:szCs w:val="24"/>
        </w:rPr>
        <w:t xml:space="preserve">. </w:t>
      </w:r>
      <w:r w:rsidR="000C710A" w:rsidRPr="00943E6E">
        <w:rPr>
          <w:rFonts w:asciiTheme="minorHAnsi" w:hAnsiTheme="minorHAnsi" w:cstheme="minorHAnsi"/>
          <w:sz w:val="18"/>
          <w:szCs w:val="24"/>
        </w:rPr>
        <w:t>Hence, often multiplication loci, classified as duplications, show high degree of Mendelian errors.</w:t>
      </w:r>
      <w:r w:rsidR="00943E6E" w:rsidRPr="00943E6E">
        <w:rPr>
          <w:rFonts w:asciiTheme="minorHAnsi" w:hAnsiTheme="minorHAnsi" w:cstheme="minorHAnsi"/>
          <w:sz w:val="18"/>
          <w:szCs w:val="24"/>
        </w:rPr>
        <w:t xml:space="preserve"> Furthermore, some CNVs harbour more than two structural alleles, thus enabling many more allelic combinations and diploid CNs (D).</w:t>
      </w:r>
      <w:r w:rsidR="00943E6E" w:rsidRPr="00943E6E">
        <w:rPr>
          <w:rFonts w:asciiTheme="minorHAnsi" w:hAnsiTheme="minorHAnsi" w:cstheme="minorHAnsi"/>
          <w:sz w:val="20"/>
          <w:szCs w:val="28"/>
        </w:rPr>
        <w:t xml:space="preserve"> </w:t>
      </w:r>
      <w:r w:rsidR="00A56F93">
        <w:rPr>
          <w:rFonts w:asciiTheme="minorHAnsi" w:hAnsiTheme="minorHAnsi" w:cstheme="minorHAnsi"/>
          <w:sz w:val="20"/>
          <w:szCs w:val="28"/>
        </w:rPr>
        <w:br w:type="page"/>
      </w:r>
      <w:r w:rsidR="00A56F93">
        <w:rPr>
          <w:rFonts w:asciiTheme="minorHAnsi" w:hAnsiTheme="minorHAnsi" w:cstheme="minorHAnsi"/>
          <w:noProof/>
          <w:sz w:val="20"/>
          <w:szCs w:val="28"/>
          <w:lang w:val="en-US"/>
        </w:rPr>
        <w:lastRenderedPageBreak/>
        <w:drawing>
          <wp:inline distT="0" distB="0" distL="0" distR="0" wp14:anchorId="19BAA8B2" wp14:editId="5D6236CD">
            <wp:extent cx="5760720" cy="2821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_var_per_sample_after_filtering.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821940"/>
                    </a:xfrm>
                    <a:prstGeom prst="rect">
                      <a:avLst/>
                    </a:prstGeom>
                  </pic:spPr>
                </pic:pic>
              </a:graphicData>
            </a:graphic>
          </wp:inline>
        </w:drawing>
      </w:r>
    </w:p>
    <w:p w14:paraId="04923D97" w14:textId="21967E87" w:rsidR="00A56F93" w:rsidRDefault="00A56F93" w:rsidP="00A56F93">
      <w:pPr>
        <w:spacing w:after="0" w:line="480" w:lineRule="auto"/>
        <w:jc w:val="both"/>
        <w:rPr>
          <w:rFonts w:asciiTheme="minorHAnsi" w:hAnsiTheme="minorHAnsi" w:cstheme="minorHAnsi"/>
          <w:b/>
          <w:bCs/>
          <w:sz w:val="20"/>
          <w:szCs w:val="28"/>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Pr>
          <w:rFonts w:asciiTheme="minorHAnsi" w:hAnsiTheme="minorHAnsi" w:cstheme="minorHAnsi"/>
          <w:b/>
          <w:bCs/>
          <w:sz w:val="20"/>
          <w:szCs w:val="28"/>
        </w:rPr>
        <w:t>5</w:t>
      </w:r>
      <w:r w:rsidRPr="004335F3">
        <w:rPr>
          <w:rFonts w:asciiTheme="minorHAnsi" w:hAnsiTheme="minorHAnsi" w:cstheme="minorHAnsi"/>
          <w:b/>
          <w:bCs/>
          <w:sz w:val="20"/>
          <w:szCs w:val="28"/>
        </w:rPr>
        <w:t>.</w:t>
      </w:r>
      <w:r>
        <w:rPr>
          <w:rFonts w:asciiTheme="minorHAnsi" w:hAnsiTheme="minorHAnsi" w:cstheme="minorHAnsi"/>
          <w:b/>
          <w:bCs/>
          <w:sz w:val="20"/>
          <w:szCs w:val="28"/>
        </w:rPr>
        <w:t xml:space="preserve"> </w:t>
      </w:r>
      <w:r w:rsidRPr="00A56F93">
        <w:rPr>
          <w:rFonts w:asciiTheme="minorHAnsi" w:hAnsiTheme="minorHAnsi" w:cstheme="minorHAnsi"/>
          <w:b/>
          <w:bCs/>
          <w:sz w:val="20"/>
          <w:szCs w:val="28"/>
        </w:rPr>
        <w:t>Number of variants before and after filtering steps</w:t>
      </w:r>
    </w:p>
    <w:p w14:paraId="171FB244" w14:textId="11BC9172" w:rsidR="00A56F93" w:rsidRDefault="00A56F93" w:rsidP="00A56F93">
      <w:pPr>
        <w:spacing w:after="0" w:line="480" w:lineRule="auto"/>
        <w:jc w:val="both"/>
        <w:rPr>
          <w:rFonts w:asciiTheme="minorHAnsi" w:hAnsiTheme="minorHAnsi" w:cstheme="minorHAnsi"/>
          <w:sz w:val="18"/>
          <w:szCs w:val="24"/>
        </w:rPr>
      </w:pPr>
      <w:r>
        <w:rPr>
          <w:rFonts w:asciiTheme="minorHAnsi" w:hAnsiTheme="minorHAnsi" w:cstheme="minorHAnsi"/>
          <w:sz w:val="18"/>
          <w:szCs w:val="24"/>
        </w:rPr>
        <w:t xml:space="preserve">The number of variants (deletions and duplications) discovered per sample, displayed in a function of sequencing depth. In the initial discovery phase, the number of discovered variants increase along with the sequencing depth. After the filtering steps (see materials and methods) the clean call set was established. For the clean call set, the number of variants per sample is not strongly affected by the sequencing depth of the sample. This indicates that a large fraction of increase in the detected variants in the raw call set was false SV calls. Afterwards, the clean call set was divided into stringent and lenient call sets. These two call sets also did not display dependence on the sequencing coverage, underlining that the filtering steps effectively removed false calls that were prone to high sequencing coverage samples. </w:t>
      </w:r>
    </w:p>
    <w:p w14:paraId="269BF201" w14:textId="74E13670" w:rsidR="00A56F93" w:rsidRDefault="00A56F93" w:rsidP="00DF0776">
      <w:pPr>
        <w:spacing w:after="0" w:line="480" w:lineRule="auto"/>
        <w:jc w:val="both"/>
        <w:rPr>
          <w:rFonts w:asciiTheme="minorHAnsi" w:hAnsiTheme="minorHAnsi" w:cstheme="minorHAnsi"/>
          <w:sz w:val="18"/>
          <w:szCs w:val="24"/>
        </w:rPr>
      </w:pPr>
      <w:r>
        <w:rPr>
          <w:rFonts w:asciiTheme="minorHAnsi" w:hAnsiTheme="minorHAnsi" w:cstheme="minorHAnsi"/>
          <w:sz w:val="18"/>
          <w:szCs w:val="24"/>
        </w:rPr>
        <w:t xml:space="preserve"> </w:t>
      </w:r>
    </w:p>
    <w:p w14:paraId="7EF24D8F" w14:textId="77777777" w:rsidR="00A56F93" w:rsidRDefault="00A56F93">
      <w:pPr>
        <w:spacing w:after="160"/>
        <w:rPr>
          <w:rFonts w:asciiTheme="minorHAnsi" w:hAnsiTheme="minorHAnsi" w:cstheme="minorHAnsi"/>
          <w:sz w:val="18"/>
          <w:szCs w:val="24"/>
        </w:rPr>
      </w:pPr>
      <w:r>
        <w:rPr>
          <w:rFonts w:asciiTheme="minorHAnsi" w:hAnsiTheme="minorHAnsi" w:cstheme="minorHAnsi"/>
          <w:sz w:val="18"/>
          <w:szCs w:val="24"/>
        </w:rPr>
        <w:br w:type="page"/>
      </w:r>
    </w:p>
    <w:p w14:paraId="29030B9C" w14:textId="69A3AC75" w:rsidR="00DF0776" w:rsidRDefault="00A56F93" w:rsidP="00DF0776">
      <w:pPr>
        <w:spacing w:after="0" w:line="480" w:lineRule="auto"/>
        <w:jc w:val="both"/>
        <w:rPr>
          <w:rFonts w:asciiTheme="minorHAnsi" w:hAnsiTheme="minorHAnsi" w:cstheme="minorHAnsi"/>
          <w:sz w:val="20"/>
          <w:szCs w:val="28"/>
        </w:rPr>
      </w:pPr>
      <w:r>
        <w:rPr>
          <w:rFonts w:asciiTheme="minorHAnsi" w:hAnsiTheme="minorHAnsi" w:cstheme="minorHAnsi"/>
          <w:noProof/>
          <w:sz w:val="20"/>
          <w:szCs w:val="28"/>
          <w:lang w:val="en-US"/>
        </w:rPr>
        <w:lastRenderedPageBreak/>
        <w:drawing>
          <wp:inline distT="0" distB="0" distL="0" distR="0" wp14:anchorId="7A0C89E9" wp14:editId="0DC48CAD">
            <wp:extent cx="4452792" cy="44577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ndelian_error_fraction_by_AF.JPG"/>
                    <pic:cNvPicPr/>
                  </pic:nvPicPr>
                  <pic:blipFill>
                    <a:blip r:embed="rId11">
                      <a:extLst>
                        <a:ext uri="{28A0092B-C50C-407E-A947-70E740481C1C}">
                          <a14:useLocalDpi xmlns:a14="http://schemas.microsoft.com/office/drawing/2010/main" val="0"/>
                        </a:ext>
                      </a:extLst>
                    </a:blip>
                    <a:stretch>
                      <a:fillRect/>
                    </a:stretch>
                  </pic:blipFill>
                  <pic:spPr>
                    <a:xfrm>
                      <a:off x="0" y="0"/>
                      <a:ext cx="4457868" cy="4462782"/>
                    </a:xfrm>
                    <a:prstGeom prst="rect">
                      <a:avLst/>
                    </a:prstGeom>
                  </pic:spPr>
                </pic:pic>
              </a:graphicData>
            </a:graphic>
          </wp:inline>
        </w:drawing>
      </w:r>
    </w:p>
    <w:p w14:paraId="2C78411A" w14:textId="7AA04AD7" w:rsidR="00A56F93" w:rsidRDefault="00A56F93" w:rsidP="00A56F93">
      <w:pPr>
        <w:spacing w:after="0" w:line="480" w:lineRule="auto"/>
        <w:jc w:val="both"/>
        <w:rPr>
          <w:rFonts w:asciiTheme="minorHAnsi" w:hAnsiTheme="minorHAnsi" w:cstheme="minorHAnsi"/>
          <w:b/>
          <w:bCs/>
          <w:sz w:val="20"/>
          <w:szCs w:val="28"/>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Pr>
          <w:rFonts w:asciiTheme="minorHAnsi" w:hAnsiTheme="minorHAnsi" w:cstheme="minorHAnsi"/>
          <w:b/>
          <w:bCs/>
          <w:sz w:val="20"/>
          <w:szCs w:val="28"/>
        </w:rPr>
        <w:t>6</w:t>
      </w:r>
      <w:r w:rsidRPr="004335F3">
        <w:rPr>
          <w:rFonts w:asciiTheme="minorHAnsi" w:hAnsiTheme="minorHAnsi" w:cstheme="minorHAnsi"/>
          <w:b/>
          <w:bCs/>
          <w:sz w:val="20"/>
          <w:szCs w:val="28"/>
        </w:rPr>
        <w:t>.</w:t>
      </w:r>
      <w:r>
        <w:rPr>
          <w:rFonts w:asciiTheme="minorHAnsi" w:hAnsiTheme="minorHAnsi" w:cstheme="minorHAnsi"/>
          <w:b/>
          <w:bCs/>
          <w:sz w:val="20"/>
          <w:szCs w:val="28"/>
        </w:rPr>
        <w:t xml:space="preserve"> Mendelian error fraction obtained from</w:t>
      </w:r>
      <w:r w:rsidR="001B3145">
        <w:rPr>
          <w:rFonts w:asciiTheme="minorHAnsi" w:hAnsiTheme="minorHAnsi" w:cstheme="minorHAnsi"/>
          <w:b/>
          <w:bCs/>
          <w:sz w:val="20"/>
          <w:szCs w:val="28"/>
        </w:rPr>
        <w:t xml:space="preserve"> the</w:t>
      </w:r>
      <w:r>
        <w:rPr>
          <w:rFonts w:asciiTheme="minorHAnsi" w:hAnsiTheme="minorHAnsi" w:cstheme="minorHAnsi"/>
          <w:b/>
          <w:bCs/>
          <w:sz w:val="20"/>
          <w:szCs w:val="28"/>
        </w:rPr>
        <w:t xml:space="preserve"> effective number of trios</w:t>
      </w:r>
    </w:p>
    <w:p w14:paraId="471BF39F" w14:textId="7A7298C9" w:rsidR="00434D63" w:rsidRDefault="00A56F93" w:rsidP="00A56F93">
      <w:pPr>
        <w:spacing w:after="0" w:line="480" w:lineRule="auto"/>
        <w:jc w:val="both"/>
        <w:rPr>
          <w:rFonts w:asciiTheme="minorHAnsi" w:hAnsiTheme="minorHAnsi" w:cstheme="minorHAnsi"/>
          <w:sz w:val="18"/>
          <w:szCs w:val="24"/>
        </w:rPr>
      </w:pPr>
      <w:r>
        <w:rPr>
          <w:rFonts w:asciiTheme="minorHAnsi" w:hAnsiTheme="minorHAnsi" w:cstheme="minorHAnsi"/>
          <w:sz w:val="18"/>
          <w:szCs w:val="24"/>
        </w:rPr>
        <w:t>The Mendelian error fraction was initially obtained by dividing the number of trios expressing Mendelian errors by the total number of trios (n=127). As this approach can deflate the error fraction in rare variants, whereas inflate the error fraction in common variants. To correct for this potential bias, we divided the number of trios showing Mendelian errors, by the number of trios of which at least one animal is variant for the site of interest. Hence, if none of the trio animals is variant (</w:t>
      </w:r>
      <w:proofErr w:type="gramStart"/>
      <w:r>
        <w:rPr>
          <w:rFonts w:asciiTheme="minorHAnsi" w:hAnsiTheme="minorHAnsi" w:cstheme="minorHAnsi"/>
          <w:sz w:val="18"/>
          <w:szCs w:val="24"/>
        </w:rPr>
        <w:t>i.e.</w:t>
      </w:r>
      <w:proofErr w:type="gramEnd"/>
      <w:r>
        <w:rPr>
          <w:rFonts w:asciiTheme="minorHAnsi" w:hAnsiTheme="minorHAnsi" w:cstheme="minorHAnsi"/>
          <w:sz w:val="18"/>
          <w:szCs w:val="24"/>
        </w:rPr>
        <w:t xml:space="preserve"> sire, dam, and proband are 0/0 for a site of interest), we did not count. </w:t>
      </w:r>
      <w:r w:rsidR="00141F8D">
        <w:rPr>
          <w:rFonts w:asciiTheme="minorHAnsi" w:hAnsiTheme="minorHAnsi" w:cstheme="minorHAnsi"/>
          <w:sz w:val="18"/>
          <w:szCs w:val="24"/>
        </w:rPr>
        <w:t xml:space="preserve">Using this approach which only </w:t>
      </w:r>
      <w:proofErr w:type="gramStart"/>
      <w:r w:rsidR="00141F8D">
        <w:rPr>
          <w:rFonts w:asciiTheme="minorHAnsi" w:hAnsiTheme="minorHAnsi" w:cstheme="minorHAnsi"/>
          <w:sz w:val="18"/>
          <w:szCs w:val="24"/>
        </w:rPr>
        <w:t>takes into account</w:t>
      </w:r>
      <w:proofErr w:type="gramEnd"/>
      <w:r w:rsidR="00141F8D">
        <w:rPr>
          <w:rFonts w:asciiTheme="minorHAnsi" w:hAnsiTheme="minorHAnsi" w:cstheme="minorHAnsi"/>
          <w:sz w:val="18"/>
          <w:szCs w:val="24"/>
        </w:rPr>
        <w:t xml:space="preserve"> the effective number of trios, we did not see that the Mendelian error fraction increases along with the allele frequency for deletions. When it comes to duplications, they were more variable and showed </w:t>
      </w:r>
      <w:proofErr w:type="spellStart"/>
      <w:r w:rsidR="00141F8D">
        <w:rPr>
          <w:rFonts w:asciiTheme="minorHAnsi" w:hAnsiTheme="minorHAnsi" w:cstheme="minorHAnsi"/>
          <w:sz w:val="18"/>
          <w:szCs w:val="24"/>
        </w:rPr>
        <w:t>generaly</w:t>
      </w:r>
      <w:proofErr w:type="spellEnd"/>
      <w:r w:rsidR="00141F8D">
        <w:rPr>
          <w:rFonts w:asciiTheme="minorHAnsi" w:hAnsiTheme="minorHAnsi" w:cstheme="minorHAnsi"/>
          <w:sz w:val="18"/>
          <w:szCs w:val="24"/>
        </w:rPr>
        <w:t xml:space="preserve"> higher Mendelian error fraction, which was expected due to (i) multiplications, (ii) mCNVs, and (iii)</w:t>
      </w:r>
      <w:r w:rsidR="005213C3">
        <w:rPr>
          <w:rFonts w:asciiTheme="minorHAnsi" w:hAnsiTheme="minorHAnsi" w:cstheme="minorHAnsi"/>
          <w:sz w:val="18"/>
          <w:szCs w:val="24"/>
        </w:rPr>
        <w:t xml:space="preserve"> generally low</w:t>
      </w:r>
      <w:r w:rsidR="00141F8D">
        <w:rPr>
          <w:rFonts w:asciiTheme="minorHAnsi" w:hAnsiTheme="minorHAnsi" w:cstheme="minorHAnsi"/>
          <w:sz w:val="18"/>
          <w:szCs w:val="24"/>
        </w:rPr>
        <w:t xml:space="preserve"> genotyping accuracy compared to deletions. </w:t>
      </w:r>
    </w:p>
    <w:p w14:paraId="195C5AF9" w14:textId="77777777" w:rsidR="00434D63" w:rsidRDefault="00434D63">
      <w:pPr>
        <w:spacing w:after="160"/>
        <w:rPr>
          <w:rFonts w:asciiTheme="minorHAnsi" w:hAnsiTheme="minorHAnsi" w:cstheme="minorHAnsi"/>
          <w:sz w:val="18"/>
          <w:szCs w:val="24"/>
        </w:rPr>
      </w:pPr>
      <w:r>
        <w:rPr>
          <w:rFonts w:asciiTheme="minorHAnsi" w:hAnsiTheme="minorHAnsi" w:cstheme="minorHAnsi"/>
          <w:sz w:val="18"/>
          <w:szCs w:val="24"/>
        </w:rPr>
        <w:br w:type="page"/>
      </w:r>
    </w:p>
    <w:p w14:paraId="15D729FD" w14:textId="255AA8E8" w:rsidR="00A56F93" w:rsidRDefault="00A56F93" w:rsidP="00A56F93">
      <w:pPr>
        <w:spacing w:after="0" w:line="480" w:lineRule="auto"/>
        <w:jc w:val="both"/>
        <w:rPr>
          <w:rFonts w:asciiTheme="minorHAnsi" w:hAnsiTheme="minorHAnsi" w:cstheme="minorHAnsi"/>
          <w:sz w:val="20"/>
          <w:szCs w:val="28"/>
        </w:rPr>
      </w:pPr>
    </w:p>
    <w:p w14:paraId="28816CB8" w14:textId="2A364C33" w:rsidR="008D08EF" w:rsidRDefault="008D08EF" w:rsidP="00A56F93">
      <w:pPr>
        <w:spacing w:after="0" w:line="480" w:lineRule="auto"/>
        <w:jc w:val="both"/>
        <w:rPr>
          <w:rFonts w:asciiTheme="minorHAnsi" w:hAnsiTheme="minorHAnsi" w:cstheme="minorHAnsi"/>
          <w:sz w:val="20"/>
          <w:szCs w:val="28"/>
        </w:rPr>
      </w:pPr>
      <w:r>
        <w:rPr>
          <w:rFonts w:asciiTheme="minorHAnsi" w:hAnsiTheme="minorHAnsi" w:cstheme="minorHAnsi"/>
          <w:noProof/>
          <w:sz w:val="20"/>
          <w:szCs w:val="28"/>
          <w:lang w:val="en-US"/>
        </w:rPr>
        <w:drawing>
          <wp:inline distT="0" distB="0" distL="0" distR="0" wp14:anchorId="1818AB1D" wp14:editId="10586563">
            <wp:extent cx="4206875" cy="4438015"/>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6875" cy="4438015"/>
                    </a:xfrm>
                    <a:prstGeom prst="rect">
                      <a:avLst/>
                    </a:prstGeom>
                    <a:noFill/>
                  </pic:spPr>
                </pic:pic>
              </a:graphicData>
            </a:graphic>
          </wp:inline>
        </w:drawing>
      </w:r>
    </w:p>
    <w:p w14:paraId="31641EA1" w14:textId="5BE498EA" w:rsidR="001646C3" w:rsidRPr="004335F3" w:rsidRDefault="001646C3" w:rsidP="001646C3">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Pr>
          <w:rFonts w:asciiTheme="minorHAnsi" w:hAnsiTheme="minorHAnsi" w:cstheme="minorHAnsi"/>
          <w:b/>
          <w:bCs/>
          <w:sz w:val="20"/>
          <w:szCs w:val="28"/>
        </w:rPr>
        <w:t>7</w:t>
      </w:r>
      <w:r w:rsidRPr="004335F3">
        <w:rPr>
          <w:rFonts w:asciiTheme="minorHAnsi" w:hAnsiTheme="minorHAnsi" w:cstheme="minorHAnsi"/>
          <w:b/>
          <w:bCs/>
          <w:sz w:val="20"/>
          <w:szCs w:val="28"/>
        </w:rPr>
        <w:t xml:space="preserve">. </w:t>
      </w:r>
      <w:r w:rsidRPr="001646C3">
        <w:rPr>
          <w:rFonts w:asciiTheme="minorHAnsi" w:hAnsiTheme="minorHAnsi" w:cstheme="minorHAnsi"/>
          <w:b/>
          <w:bCs/>
          <w:sz w:val="20"/>
          <w:szCs w:val="28"/>
        </w:rPr>
        <w:t>Minor allele frequency between the discovery and validation cohort</w:t>
      </w:r>
    </w:p>
    <w:p w14:paraId="54E86DF8" w14:textId="36535991" w:rsidR="00FB7F17" w:rsidRDefault="001646C3" w:rsidP="001646C3">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sz w:val="18"/>
          <w:szCs w:val="18"/>
          <w:lang w:val="en-US"/>
        </w:rPr>
        <w:t xml:space="preserve">We </w:t>
      </w:r>
      <w:r w:rsidR="00FB7F17">
        <w:rPr>
          <w:rFonts w:asciiTheme="minorHAnsi" w:hAnsiTheme="minorHAnsi" w:cstheme="minorHAnsi"/>
          <w:sz w:val="18"/>
          <w:szCs w:val="18"/>
          <w:lang w:val="en-US"/>
        </w:rPr>
        <w:t xml:space="preserve">compared the minor allele frequencies of the CNVs validated via direct genotyping approach. Except few minor outliers, most CNVs showed similar minor allele frequencies in the discovery and the validation cohorts. </w:t>
      </w:r>
    </w:p>
    <w:p w14:paraId="369FDD4D" w14:textId="77777777" w:rsidR="00FB7F17" w:rsidRDefault="00FB7F17">
      <w:pPr>
        <w:spacing w:after="160"/>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1C5CFC9A" w14:textId="77777777" w:rsidR="001646C3" w:rsidRPr="00A56F93" w:rsidRDefault="001646C3" w:rsidP="001646C3">
      <w:pPr>
        <w:spacing w:after="0" w:line="480" w:lineRule="auto"/>
        <w:jc w:val="both"/>
        <w:rPr>
          <w:rFonts w:asciiTheme="minorHAnsi" w:hAnsiTheme="minorHAnsi" w:cstheme="minorHAnsi"/>
          <w:sz w:val="20"/>
          <w:szCs w:val="28"/>
        </w:rPr>
      </w:pPr>
    </w:p>
    <w:p w14:paraId="329A2AEA" w14:textId="77777777" w:rsidR="004D620B" w:rsidRPr="004335F3" w:rsidRDefault="004D620B" w:rsidP="004D620B">
      <w:pPr>
        <w:spacing w:after="0" w:line="480" w:lineRule="auto"/>
        <w:jc w:val="both"/>
        <w:rPr>
          <w:rFonts w:asciiTheme="minorHAnsi" w:hAnsiTheme="minorHAnsi" w:cstheme="minorHAnsi"/>
          <w:sz w:val="18"/>
          <w:szCs w:val="18"/>
          <w:lang w:val="en-US"/>
        </w:rPr>
      </w:pPr>
      <w:r w:rsidRPr="004335F3">
        <w:rPr>
          <w:noProof/>
          <w:lang w:val="en-US"/>
        </w:rPr>
        <w:drawing>
          <wp:inline distT="0" distB="0" distL="0" distR="0" wp14:anchorId="060D5E78" wp14:editId="49EDDA50">
            <wp:extent cx="5760720" cy="18021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802130"/>
                    </a:xfrm>
                    <a:prstGeom prst="rect">
                      <a:avLst/>
                    </a:prstGeom>
                    <a:noFill/>
                    <a:ln>
                      <a:noFill/>
                    </a:ln>
                  </pic:spPr>
                </pic:pic>
              </a:graphicData>
            </a:graphic>
          </wp:inline>
        </w:drawing>
      </w:r>
    </w:p>
    <w:p w14:paraId="5F6D29A0" w14:textId="6A3EA5A7" w:rsidR="004D620B" w:rsidRPr="004335F3" w:rsidRDefault="004D620B" w:rsidP="004D620B">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sidR="00E110D2">
        <w:rPr>
          <w:rFonts w:asciiTheme="minorHAnsi" w:hAnsiTheme="minorHAnsi" w:cstheme="minorHAnsi"/>
          <w:b/>
          <w:bCs/>
          <w:sz w:val="20"/>
          <w:szCs w:val="28"/>
        </w:rPr>
        <w:t>8</w:t>
      </w:r>
      <w:r w:rsidRPr="004335F3">
        <w:rPr>
          <w:rFonts w:asciiTheme="minorHAnsi" w:hAnsiTheme="minorHAnsi" w:cstheme="minorHAnsi"/>
          <w:b/>
          <w:bCs/>
          <w:sz w:val="20"/>
          <w:szCs w:val="28"/>
        </w:rPr>
        <w:t>. Maximum LD (r2) between CNV-SNP pairs in WGS data set</w:t>
      </w:r>
    </w:p>
    <w:p w14:paraId="79E2B810" w14:textId="71EE5B58" w:rsidR="00E0056C" w:rsidRDefault="004D620B" w:rsidP="004D620B">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sz w:val="18"/>
          <w:szCs w:val="18"/>
          <w:lang w:val="en-US"/>
        </w:rPr>
        <w:t xml:space="preserve">We took the maximum LD (r2) a CNV has between SNPs located within 100-Kb distance. For both deletions and duplications, stringent calls have a higher maximum R2 than those in the lenient call set. mCNV showed overall lower LD than biallelic CNVs. </w:t>
      </w:r>
    </w:p>
    <w:p w14:paraId="603331D5" w14:textId="77777777" w:rsidR="00E0056C" w:rsidRDefault="00E0056C">
      <w:pPr>
        <w:spacing w:after="160"/>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13622B46" w14:textId="77777777" w:rsidR="004D620B" w:rsidRPr="004335F3" w:rsidRDefault="004D620B" w:rsidP="004D620B">
      <w:pPr>
        <w:spacing w:line="480" w:lineRule="auto"/>
        <w:jc w:val="both"/>
        <w:rPr>
          <w:rFonts w:asciiTheme="minorHAnsi" w:hAnsiTheme="minorHAnsi" w:cstheme="minorHAnsi"/>
          <w:sz w:val="20"/>
          <w:szCs w:val="28"/>
        </w:rPr>
      </w:pPr>
      <w:r w:rsidRPr="004335F3">
        <w:rPr>
          <w:noProof/>
          <w:lang w:val="en-US"/>
        </w:rPr>
        <w:lastRenderedPageBreak/>
        <w:drawing>
          <wp:inline distT="0" distB="0" distL="0" distR="0" wp14:anchorId="44DD1C28" wp14:editId="718E165A">
            <wp:extent cx="5760720" cy="3469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469640"/>
                    </a:xfrm>
                    <a:prstGeom prst="rect">
                      <a:avLst/>
                    </a:prstGeom>
                    <a:noFill/>
                    <a:ln>
                      <a:noFill/>
                    </a:ln>
                  </pic:spPr>
                </pic:pic>
              </a:graphicData>
            </a:graphic>
          </wp:inline>
        </w:drawing>
      </w:r>
    </w:p>
    <w:p w14:paraId="3822CDBC" w14:textId="025D1BA3" w:rsidR="004D620B" w:rsidRPr="004335F3" w:rsidRDefault="004D620B" w:rsidP="004D620B">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sidR="002804A7">
        <w:rPr>
          <w:rFonts w:asciiTheme="minorHAnsi" w:hAnsiTheme="minorHAnsi" w:cstheme="minorHAnsi"/>
          <w:b/>
          <w:bCs/>
          <w:sz w:val="20"/>
          <w:szCs w:val="28"/>
        </w:rPr>
        <w:t>9</w:t>
      </w:r>
      <w:r w:rsidRPr="004335F3">
        <w:rPr>
          <w:rFonts w:asciiTheme="minorHAnsi" w:hAnsiTheme="minorHAnsi" w:cstheme="minorHAnsi"/>
          <w:b/>
          <w:bCs/>
          <w:sz w:val="20"/>
          <w:szCs w:val="28"/>
        </w:rPr>
        <w:t>. Underlying WGS data for a 16-kb mCNV inspected in IGV</w:t>
      </w:r>
    </w:p>
    <w:p w14:paraId="7DDB753F" w14:textId="321FF868" w:rsidR="004D620B" w:rsidRPr="004335F3" w:rsidRDefault="004D620B" w:rsidP="004D620B">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b/>
          <w:bCs/>
          <w:sz w:val="18"/>
          <w:szCs w:val="18"/>
          <w:lang w:val="en-US"/>
        </w:rPr>
        <w:t>(A)</w:t>
      </w:r>
      <w:r w:rsidRPr="004335F3">
        <w:rPr>
          <w:rFonts w:asciiTheme="minorHAnsi" w:hAnsiTheme="minorHAnsi" w:cstheme="minorHAnsi"/>
          <w:sz w:val="18"/>
          <w:szCs w:val="18"/>
          <w:lang w:val="en-US"/>
        </w:rPr>
        <w:t xml:space="preserve"> The underlying WGS data of the 16-kb mCNV was inspected. The green bar indicates the mCNV, and the lower bar shows two keratin genes disrupted by the mCNV. </w:t>
      </w:r>
      <w:r w:rsidRPr="004335F3">
        <w:rPr>
          <w:rFonts w:asciiTheme="minorHAnsi" w:hAnsiTheme="minorHAnsi" w:cstheme="minorHAnsi"/>
          <w:b/>
          <w:bCs/>
          <w:sz w:val="18"/>
          <w:szCs w:val="18"/>
          <w:lang w:val="en-US"/>
        </w:rPr>
        <w:t xml:space="preserve">(B) </w:t>
      </w:r>
      <w:r w:rsidRPr="004335F3">
        <w:rPr>
          <w:rFonts w:asciiTheme="minorHAnsi" w:hAnsiTheme="minorHAnsi" w:cstheme="minorHAnsi"/>
          <w:sz w:val="18"/>
          <w:szCs w:val="18"/>
          <w:lang w:val="en-US"/>
        </w:rPr>
        <w:t xml:space="preserve">The proximal breakpoint of the mCNV. The grey colored bars indicate reads with high mapping quality. The white bars in the green box indicate reads with low mapping quality. </w:t>
      </w:r>
      <w:r w:rsidRPr="004335F3">
        <w:rPr>
          <w:rFonts w:asciiTheme="minorHAnsi" w:hAnsiTheme="minorHAnsi" w:cstheme="minorHAnsi"/>
          <w:b/>
          <w:bCs/>
          <w:sz w:val="18"/>
          <w:szCs w:val="18"/>
          <w:lang w:val="en-US"/>
        </w:rPr>
        <w:t>(C)</w:t>
      </w:r>
      <w:r w:rsidRPr="004335F3">
        <w:rPr>
          <w:rFonts w:asciiTheme="minorHAnsi" w:hAnsiTheme="minorHAnsi" w:cstheme="minorHAnsi"/>
          <w:sz w:val="18"/>
          <w:szCs w:val="18"/>
          <w:lang w:val="en-US"/>
        </w:rPr>
        <w:t xml:space="preserve"> The distal breakpoint of the mCNV. The legends are identical to panel C.</w:t>
      </w:r>
    </w:p>
    <w:p w14:paraId="672DFD67" w14:textId="77777777" w:rsidR="004D620B" w:rsidRPr="004335F3" w:rsidRDefault="004D620B" w:rsidP="004D620B">
      <w:pPr>
        <w:spacing w:after="0" w:line="480" w:lineRule="auto"/>
        <w:jc w:val="both"/>
        <w:rPr>
          <w:rFonts w:asciiTheme="minorHAnsi" w:hAnsiTheme="minorHAnsi" w:cstheme="minorHAnsi"/>
          <w:sz w:val="18"/>
          <w:szCs w:val="18"/>
          <w:lang w:val="en-US"/>
        </w:rPr>
      </w:pPr>
      <w:r w:rsidRPr="004335F3">
        <w:rPr>
          <w:noProof/>
          <w:lang w:val="en-US"/>
        </w:rPr>
        <w:lastRenderedPageBreak/>
        <w:drawing>
          <wp:inline distT="0" distB="0" distL="0" distR="0" wp14:anchorId="72FC6325" wp14:editId="5774645F">
            <wp:extent cx="5760720" cy="701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7013575"/>
                    </a:xfrm>
                    <a:prstGeom prst="rect">
                      <a:avLst/>
                    </a:prstGeom>
                    <a:noFill/>
                    <a:ln>
                      <a:noFill/>
                    </a:ln>
                  </pic:spPr>
                </pic:pic>
              </a:graphicData>
            </a:graphic>
          </wp:inline>
        </w:drawing>
      </w:r>
    </w:p>
    <w:p w14:paraId="6A5F3AA6" w14:textId="4DA40EE4" w:rsidR="004D620B" w:rsidRPr="004335F3" w:rsidRDefault="004D620B" w:rsidP="004D620B">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sidR="002804A7">
        <w:rPr>
          <w:rFonts w:asciiTheme="minorHAnsi" w:hAnsiTheme="minorHAnsi" w:cstheme="minorHAnsi"/>
          <w:b/>
          <w:bCs/>
          <w:sz w:val="20"/>
          <w:szCs w:val="28"/>
        </w:rPr>
        <w:t>10</w:t>
      </w:r>
      <w:r w:rsidRPr="004335F3">
        <w:rPr>
          <w:rFonts w:asciiTheme="minorHAnsi" w:hAnsiTheme="minorHAnsi" w:cstheme="minorHAnsi"/>
          <w:b/>
          <w:bCs/>
          <w:sz w:val="20"/>
          <w:szCs w:val="28"/>
        </w:rPr>
        <w:t>. Underlying WGS data for two copy gain duplication events</w:t>
      </w:r>
    </w:p>
    <w:p w14:paraId="6259D12A" w14:textId="77777777" w:rsidR="004D620B" w:rsidRPr="004335F3" w:rsidRDefault="004D620B" w:rsidP="004D620B">
      <w:pPr>
        <w:spacing w:after="0" w:line="480" w:lineRule="auto"/>
        <w:jc w:val="both"/>
        <w:rPr>
          <w:rFonts w:asciiTheme="minorHAnsi" w:hAnsiTheme="minorHAnsi" w:cstheme="minorHAnsi"/>
          <w:sz w:val="18"/>
          <w:szCs w:val="18"/>
          <w:lang w:val="en-US"/>
        </w:rPr>
      </w:pPr>
      <w:r w:rsidRPr="004335F3">
        <w:rPr>
          <w:rFonts w:asciiTheme="minorHAnsi" w:hAnsiTheme="minorHAnsi" w:cstheme="minorHAnsi"/>
          <w:b/>
          <w:bCs/>
          <w:sz w:val="18"/>
          <w:szCs w:val="18"/>
          <w:lang w:val="en-US"/>
        </w:rPr>
        <w:t>(A)</w:t>
      </w:r>
      <w:r w:rsidRPr="004335F3">
        <w:rPr>
          <w:rFonts w:asciiTheme="minorHAnsi" w:hAnsiTheme="minorHAnsi" w:cstheme="minorHAnsi"/>
          <w:sz w:val="18"/>
          <w:szCs w:val="18"/>
          <w:lang w:val="en-US"/>
        </w:rPr>
        <w:t xml:space="preserve"> A schematic overview of the </w:t>
      </w:r>
      <w:r w:rsidRPr="004335F3">
        <w:rPr>
          <w:rFonts w:asciiTheme="minorHAnsi" w:hAnsiTheme="minorHAnsi" w:cstheme="minorHAnsi"/>
          <w:i/>
          <w:iCs/>
          <w:sz w:val="18"/>
          <w:szCs w:val="18"/>
          <w:lang w:val="en-US"/>
        </w:rPr>
        <w:t>ORM1</w:t>
      </w:r>
      <w:r w:rsidRPr="004335F3">
        <w:rPr>
          <w:rFonts w:asciiTheme="minorHAnsi" w:hAnsiTheme="minorHAnsi" w:cstheme="minorHAnsi"/>
          <w:sz w:val="18"/>
          <w:szCs w:val="18"/>
          <w:lang w:val="en-US"/>
        </w:rPr>
        <w:t xml:space="preserve"> duplication (marked with green) and the overlapping genes (gene structure shown in dark blue).</w:t>
      </w:r>
      <w:r w:rsidRPr="004335F3">
        <w:rPr>
          <w:rFonts w:asciiTheme="minorHAnsi" w:hAnsiTheme="minorHAnsi" w:cstheme="minorHAnsi"/>
          <w:b/>
          <w:bCs/>
          <w:sz w:val="18"/>
          <w:szCs w:val="18"/>
          <w:lang w:val="en-US"/>
        </w:rPr>
        <w:t xml:space="preserve"> (B) </w:t>
      </w:r>
      <w:r w:rsidRPr="004335F3">
        <w:rPr>
          <w:rFonts w:asciiTheme="minorHAnsi" w:hAnsiTheme="minorHAnsi" w:cstheme="minorHAnsi"/>
          <w:sz w:val="18"/>
          <w:szCs w:val="18"/>
          <w:lang w:val="en-US"/>
        </w:rPr>
        <w:t xml:space="preserve">The proximal breakpoint of the </w:t>
      </w:r>
      <w:r w:rsidRPr="004335F3">
        <w:rPr>
          <w:rFonts w:asciiTheme="minorHAnsi" w:hAnsiTheme="minorHAnsi" w:cstheme="minorHAnsi"/>
          <w:i/>
          <w:iCs/>
          <w:sz w:val="18"/>
          <w:szCs w:val="18"/>
          <w:lang w:val="en-US"/>
        </w:rPr>
        <w:t>ORM1</w:t>
      </w:r>
      <w:r w:rsidRPr="004335F3">
        <w:rPr>
          <w:rFonts w:asciiTheme="minorHAnsi" w:hAnsiTheme="minorHAnsi" w:cstheme="minorHAnsi"/>
          <w:sz w:val="18"/>
          <w:szCs w:val="18"/>
          <w:lang w:val="en-US"/>
        </w:rPr>
        <w:t xml:space="preserve"> duplication zoomed-in in IGV. Grey color reads stand for well-aligned ones, whereas green ones stand for discordant ones indicating tandem duplications. </w:t>
      </w:r>
      <w:r w:rsidRPr="004335F3">
        <w:rPr>
          <w:rFonts w:asciiTheme="minorHAnsi" w:hAnsiTheme="minorHAnsi" w:cstheme="minorHAnsi"/>
          <w:b/>
          <w:bCs/>
          <w:sz w:val="18"/>
          <w:szCs w:val="18"/>
          <w:lang w:val="en-US"/>
        </w:rPr>
        <w:t xml:space="preserve">(C) </w:t>
      </w:r>
      <w:r w:rsidRPr="004335F3">
        <w:rPr>
          <w:rFonts w:asciiTheme="minorHAnsi" w:hAnsiTheme="minorHAnsi" w:cstheme="minorHAnsi"/>
          <w:sz w:val="18"/>
          <w:szCs w:val="18"/>
          <w:lang w:val="en-US"/>
        </w:rPr>
        <w:t xml:space="preserve">The bovine liver ChIP-seq data (H3K27ac and H3k4me3) and the gene annotation were inspected. The ChIP-seq signals shown at the start of the </w:t>
      </w:r>
      <w:r w:rsidRPr="004335F3">
        <w:rPr>
          <w:rFonts w:asciiTheme="minorHAnsi" w:hAnsiTheme="minorHAnsi" w:cstheme="minorHAnsi"/>
          <w:i/>
          <w:iCs/>
          <w:sz w:val="18"/>
          <w:szCs w:val="18"/>
          <w:lang w:val="en-US"/>
        </w:rPr>
        <w:t>ORM1</w:t>
      </w:r>
      <w:r w:rsidRPr="004335F3">
        <w:rPr>
          <w:rFonts w:asciiTheme="minorHAnsi" w:hAnsiTheme="minorHAnsi" w:cstheme="minorHAnsi"/>
          <w:sz w:val="18"/>
          <w:szCs w:val="18"/>
          <w:lang w:val="en-US"/>
        </w:rPr>
        <w:t xml:space="preserve"> supports the presence of a liver promoter. </w:t>
      </w:r>
      <w:r w:rsidRPr="004335F3">
        <w:rPr>
          <w:rFonts w:asciiTheme="minorHAnsi" w:hAnsiTheme="minorHAnsi" w:cstheme="minorHAnsi"/>
          <w:b/>
          <w:bCs/>
          <w:sz w:val="18"/>
          <w:szCs w:val="18"/>
          <w:lang w:val="en-US"/>
        </w:rPr>
        <w:t>(D)</w:t>
      </w:r>
      <w:r w:rsidRPr="004335F3">
        <w:rPr>
          <w:rFonts w:asciiTheme="minorHAnsi" w:hAnsiTheme="minorHAnsi" w:cstheme="minorHAnsi"/>
          <w:sz w:val="18"/>
          <w:szCs w:val="18"/>
          <w:lang w:val="en-US"/>
        </w:rPr>
        <w:t xml:space="preserve"> The distal breakpoint of the </w:t>
      </w:r>
      <w:r w:rsidRPr="004335F3">
        <w:rPr>
          <w:rFonts w:asciiTheme="minorHAnsi" w:hAnsiTheme="minorHAnsi" w:cstheme="minorHAnsi"/>
          <w:i/>
          <w:iCs/>
          <w:sz w:val="18"/>
          <w:szCs w:val="18"/>
          <w:lang w:val="en-US"/>
        </w:rPr>
        <w:t>ORM1</w:t>
      </w:r>
      <w:r w:rsidRPr="004335F3">
        <w:rPr>
          <w:rFonts w:asciiTheme="minorHAnsi" w:hAnsiTheme="minorHAnsi" w:cstheme="minorHAnsi"/>
          <w:sz w:val="18"/>
          <w:szCs w:val="18"/>
          <w:lang w:val="en-US"/>
        </w:rPr>
        <w:t xml:space="preserve"> duplication is zoomed-in IGV. The legends </w:t>
      </w:r>
      <w:r w:rsidRPr="004335F3">
        <w:rPr>
          <w:rFonts w:asciiTheme="minorHAnsi" w:hAnsiTheme="minorHAnsi" w:cstheme="minorHAnsi"/>
          <w:sz w:val="18"/>
          <w:szCs w:val="18"/>
          <w:lang w:val="en-US"/>
        </w:rPr>
        <w:lastRenderedPageBreak/>
        <w:t xml:space="preserve">are identical to panel B. </w:t>
      </w:r>
      <w:r w:rsidRPr="004335F3">
        <w:rPr>
          <w:rFonts w:asciiTheme="minorHAnsi" w:hAnsiTheme="minorHAnsi" w:cstheme="minorHAnsi"/>
          <w:b/>
          <w:bCs/>
          <w:sz w:val="18"/>
          <w:szCs w:val="18"/>
          <w:lang w:val="en-US"/>
        </w:rPr>
        <w:t>(E)</w:t>
      </w:r>
      <w:r w:rsidRPr="004335F3">
        <w:rPr>
          <w:rFonts w:asciiTheme="minorHAnsi" w:hAnsiTheme="minorHAnsi" w:cstheme="minorHAnsi"/>
          <w:sz w:val="18"/>
          <w:szCs w:val="18"/>
          <w:lang w:val="en-US"/>
        </w:rPr>
        <w:t xml:space="preserve"> A schematic overview on the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duplication (marked with green) and the overlapping gene (gene structure shown in dark blue). </w:t>
      </w:r>
      <w:r w:rsidRPr="004335F3">
        <w:rPr>
          <w:rFonts w:asciiTheme="minorHAnsi" w:hAnsiTheme="minorHAnsi" w:cstheme="minorHAnsi"/>
          <w:b/>
          <w:bCs/>
          <w:sz w:val="18"/>
          <w:szCs w:val="18"/>
          <w:lang w:val="en-US"/>
        </w:rPr>
        <w:t>(F)</w:t>
      </w:r>
      <w:r w:rsidRPr="004335F3">
        <w:rPr>
          <w:rFonts w:asciiTheme="minorHAnsi" w:hAnsiTheme="minorHAnsi" w:cstheme="minorHAnsi"/>
          <w:sz w:val="18"/>
          <w:szCs w:val="18"/>
          <w:lang w:val="en-US"/>
        </w:rPr>
        <w:t xml:space="preserve"> The proximal breakpoint of the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duplication is zoomed-in IGV. The legends are identical to panel B. </w:t>
      </w:r>
      <w:r w:rsidRPr="004335F3">
        <w:rPr>
          <w:rFonts w:asciiTheme="minorHAnsi" w:hAnsiTheme="minorHAnsi" w:cstheme="minorHAnsi"/>
          <w:b/>
          <w:bCs/>
          <w:sz w:val="18"/>
          <w:szCs w:val="18"/>
          <w:lang w:val="en-US"/>
        </w:rPr>
        <w:t>(G)</w:t>
      </w:r>
      <w:r w:rsidRPr="004335F3">
        <w:rPr>
          <w:rFonts w:asciiTheme="minorHAnsi" w:hAnsiTheme="minorHAnsi" w:cstheme="minorHAnsi"/>
          <w:sz w:val="18"/>
          <w:szCs w:val="18"/>
          <w:lang w:val="en-US"/>
        </w:rPr>
        <w:t xml:space="preserve"> The bovine liver ChIP-seq data (H3K27ac and H3k4me3</w:t>
      </w:r>
      <w:proofErr w:type="gramStart"/>
      <w:r w:rsidRPr="004335F3">
        <w:rPr>
          <w:rFonts w:asciiTheme="minorHAnsi" w:hAnsiTheme="minorHAnsi" w:cstheme="minorHAnsi"/>
          <w:sz w:val="18"/>
          <w:szCs w:val="18"/>
          <w:lang w:val="en-US"/>
        </w:rPr>
        <w:t>)</w:t>
      </w:r>
      <w:proofErr w:type="gramEnd"/>
      <w:r w:rsidRPr="004335F3">
        <w:rPr>
          <w:rFonts w:asciiTheme="minorHAnsi" w:hAnsiTheme="minorHAnsi" w:cstheme="minorHAnsi"/>
          <w:sz w:val="18"/>
          <w:szCs w:val="18"/>
          <w:lang w:val="en-US"/>
        </w:rPr>
        <w:t xml:space="preserve"> and the gene annotation were inspected. The ChIP-seq signals indicating a liver promoter appeared upstream of the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We confirmed an unannotated exon of the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gene coinciding with the ChIP-seq signal (unpublished data). </w:t>
      </w:r>
      <w:r w:rsidRPr="004335F3">
        <w:rPr>
          <w:rFonts w:asciiTheme="minorHAnsi" w:hAnsiTheme="minorHAnsi" w:cstheme="minorHAnsi"/>
          <w:b/>
          <w:bCs/>
          <w:sz w:val="18"/>
          <w:szCs w:val="18"/>
          <w:lang w:val="en-US"/>
        </w:rPr>
        <w:t>(H)</w:t>
      </w:r>
      <w:r w:rsidRPr="004335F3">
        <w:rPr>
          <w:rFonts w:asciiTheme="minorHAnsi" w:hAnsiTheme="minorHAnsi" w:cstheme="minorHAnsi"/>
          <w:sz w:val="18"/>
          <w:szCs w:val="18"/>
          <w:lang w:val="en-US"/>
        </w:rPr>
        <w:t xml:space="preserve"> The distal breakpoint of the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duplication is zoomed-in IGV. The legends are identical to the panel B. </w:t>
      </w:r>
      <w:r w:rsidRPr="004335F3">
        <w:rPr>
          <w:rFonts w:asciiTheme="minorHAnsi" w:hAnsiTheme="minorHAnsi" w:cstheme="minorHAnsi"/>
          <w:b/>
          <w:bCs/>
          <w:sz w:val="18"/>
          <w:szCs w:val="18"/>
          <w:lang w:val="en-US"/>
        </w:rPr>
        <w:t>(</w:t>
      </w:r>
      <w:proofErr w:type="gramStart"/>
      <w:r w:rsidRPr="004335F3">
        <w:rPr>
          <w:rFonts w:asciiTheme="minorHAnsi" w:hAnsiTheme="minorHAnsi" w:cstheme="minorHAnsi"/>
          <w:b/>
          <w:bCs/>
          <w:sz w:val="18"/>
          <w:szCs w:val="18"/>
          <w:lang w:val="en-US"/>
        </w:rPr>
        <w:t>I,J</w:t>
      </w:r>
      <w:proofErr w:type="gramEnd"/>
      <w:r w:rsidRPr="004335F3">
        <w:rPr>
          <w:rFonts w:asciiTheme="minorHAnsi" w:hAnsiTheme="minorHAnsi" w:cstheme="minorHAnsi"/>
          <w:b/>
          <w:bCs/>
          <w:sz w:val="18"/>
          <w:szCs w:val="18"/>
          <w:lang w:val="en-US"/>
        </w:rPr>
        <w:t>)</w:t>
      </w:r>
      <w:r w:rsidRPr="004335F3">
        <w:rPr>
          <w:rFonts w:asciiTheme="minorHAnsi" w:hAnsiTheme="minorHAnsi" w:cstheme="minorHAnsi"/>
          <w:sz w:val="18"/>
          <w:szCs w:val="18"/>
          <w:lang w:val="en-US"/>
        </w:rPr>
        <w:t xml:space="preserve"> QC plots for the </w:t>
      </w:r>
      <w:r w:rsidRPr="004335F3">
        <w:rPr>
          <w:rFonts w:asciiTheme="minorHAnsi" w:hAnsiTheme="minorHAnsi" w:cstheme="minorHAnsi"/>
          <w:i/>
          <w:iCs/>
          <w:sz w:val="18"/>
          <w:szCs w:val="18"/>
          <w:lang w:val="en-US"/>
        </w:rPr>
        <w:t>ORM1</w:t>
      </w:r>
      <w:r w:rsidRPr="004335F3">
        <w:rPr>
          <w:rFonts w:asciiTheme="minorHAnsi" w:hAnsiTheme="minorHAnsi" w:cstheme="minorHAnsi"/>
          <w:sz w:val="18"/>
          <w:szCs w:val="18"/>
          <w:lang w:val="en-US"/>
        </w:rPr>
        <w:t xml:space="preserve"> duplication and </w:t>
      </w:r>
      <w:r w:rsidRPr="004335F3">
        <w:rPr>
          <w:rFonts w:asciiTheme="minorHAnsi" w:hAnsiTheme="minorHAnsi" w:cstheme="minorHAnsi"/>
          <w:i/>
          <w:iCs/>
          <w:sz w:val="18"/>
          <w:szCs w:val="18"/>
          <w:lang w:val="en-US"/>
        </w:rPr>
        <w:t>POPDC3</w:t>
      </w:r>
      <w:r w:rsidRPr="004335F3">
        <w:rPr>
          <w:rFonts w:asciiTheme="minorHAnsi" w:hAnsiTheme="minorHAnsi" w:cstheme="minorHAnsi"/>
          <w:sz w:val="18"/>
          <w:szCs w:val="18"/>
          <w:lang w:val="en-US"/>
        </w:rPr>
        <w:t xml:space="preserve"> duplication, respectively. In both cases, the RD distribution of GT 0/1 and GT 1/1 are overlapping, indicating inaccurate genotyping results. </w:t>
      </w:r>
    </w:p>
    <w:p w14:paraId="50979701" w14:textId="58D48F58" w:rsidR="00A64640" w:rsidRDefault="00A64640">
      <w:pPr>
        <w:spacing w:after="160"/>
        <w:rPr>
          <w:lang w:val="en-US"/>
        </w:rPr>
      </w:pPr>
      <w:r>
        <w:rPr>
          <w:lang w:val="en-US"/>
        </w:rPr>
        <w:br w:type="page"/>
      </w:r>
    </w:p>
    <w:p w14:paraId="6D8C19F4" w14:textId="3051C8DD" w:rsidR="00015D6A" w:rsidRDefault="00A64640">
      <w:pPr>
        <w:rPr>
          <w:lang w:val="en-US"/>
        </w:rPr>
      </w:pPr>
      <w:r>
        <w:rPr>
          <w:noProof/>
          <w:lang w:val="en-US"/>
        </w:rPr>
        <w:lastRenderedPageBreak/>
        <w:drawing>
          <wp:inline distT="0" distB="0" distL="0" distR="0" wp14:anchorId="37626623" wp14:editId="15253D8D">
            <wp:extent cx="5760720" cy="287655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876550"/>
                    </a:xfrm>
                    <a:prstGeom prst="rect">
                      <a:avLst/>
                    </a:prstGeom>
                  </pic:spPr>
                </pic:pic>
              </a:graphicData>
            </a:graphic>
          </wp:inline>
        </w:drawing>
      </w:r>
    </w:p>
    <w:p w14:paraId="78A595E9" w14:textId="5511A89C" w:rsidR="00A64640" w:rsidRPr="004335F3" w:rsidRDefault="00A64640" w:rsidP="00A64640">
      <w:pPr>
        <w:spacing w:after="0" w:line="480" w:lineRule="auto"/>
        <w:jc w:val="both"/>
        <w:rPr>
          <w:rFonts w:asciiTheme="minorHAnsi" w:hAnsiTheme="minorHAnsi" w:cstheme="minorHAnsi"/>
          <w:sz w:val="20"/>
          <w:szCs w:val="28"/>
          <w:lang w:val="en-US"/>
        </w:rPr>
      </w:pPr>
      <w:r w:rsidRPr="004335F3">
        <w:rPr>
          <w:rFonts w:asciiTheme="minorHAnsi" w:hAnsiTheme="minorHAnsi" w:cstheme="minorHAnsi" w:hint="eastAsia"/>
          <w:b/>
          <w:bCs/>
          <w:sz w:val="20"/>
          <w:szCs w:val="28"/>
        </w:rPr>
        <w:t>F</w:t>
      </w:r>
      <w:r w:rsidRPr="004335F3">
        <w:rPr>
          <w:rFonts w:asciiTheme="minorHAnsi" w:hAnsiTheme="minorHAnsi" w:cstheme="minorHAnsi"/>
          <w:b/>
          <w:bCs/>
          <w:sz w:val="20"/>
          <w:szCs w:val="28"/>
        </w:rPr>
        <w:t>igure S</w:t>
      </w:r>
      <w:r>
        <w:rPr>
          <w:rFonts w:asciiTheme="minorHAnsi" w:hAnsiTheme="minorHAnsi" w:cstheme="minorHAnsi"/>
          <w:b/>
          <w:bCs/>
          <w:sz w:val="20"/>
          <w:szCs w:val="28"/>
        </w:rPr>
        <w:t>11</w:t>
      </w:r>
      <w:r w:rsidRPr="004335F3">
        <w:rPr>
          <w:rFonts w:asciiTheme="minorHAnsi" w:hAnsiTheme="minorHAnsi" w:cstheme="minorHAnsi"/>
          <w:b/>
          <w:bCs/>
          <w:sz w:val="20"/>
          <w:szCs w:val="28"/>
        </w:rPr>
        <w:t xml:space="preserve">. </w:t>
      </w:r>
      <w:r w:rsidR="00691952">
        <w:rPr>
          <w:rFonts w:asciiTheme="minorHAnsi" w:hAnsiTheme="minorHAnsi" w:cstheme="minorHAnsi"/>
          <w:b/>
          <w:bCs/>
          <w:sz w:val="20"/>
          <w:szCs w:val="28"/>
        </w:rPr>
        <w:t>Manual correction of ORM1 duplication genotypes</w:t>
      </w:r>
    </w:p>
    <w:p w14:paraId="4C93957C" w14:textId="3B36563F" w:rsidR="00A64640" w:rsidRPr="00A17DE9" w:rsidRDefault="00691952" w:rsidP="00A17DE9">
      <w:pPr>
        <w:spacing w:line="480" w:lineRule="auto"/>
        <w:jc w:val="both"/>
        <w:rPr>
          <w:rFonts w:asciiTheme="minorHAnsi" w:hAnsiTheme="minorHAnsi" w:cstheme="minorHAnsi"/>
          <w:sz w:val="18"/>
          <w:szCs w:val="18"/>
          <w:lang w:val="en-US"/>
        </w:rPr>
      </w:pPr>
      <w:r w:rsidRPr="00691952">
        <w:rPr>
          <w:rFonts w:asciiTheme="minorHAnsi" w:hAnsiTheme="minorHAnsi" w:cstheme="minorHAnsi"/>
          <w:sz w:val="18"/>
          <w:szCs w:val="18"/>
          <w:lang w:val="en-US"/>
        </w:rPr>
        <w:t xml:space="preserve">The plot above shows the standard QC plot generated for the ORM1 duplication. </w:t>
      </w:r>
      <w:r w:rsidR="00240C2A">
        <w:rPr>
          <w:rFonts w:asciiTheme="minorHAnsi" w:hAnsiTheme="minorHAnsi" w:cstheme="minorHAnsi"/>
          <w:sz w:val="18"/>
          <w:szCs w:val="18"/>
          <w:lang w:val="en-US"/>
        </w:rPr>
        <w:t xml:space="preserve">The three genotypes assigned by the read-based genotyping approach </w:t>
      </w:r>
      <w:r w:rsidR="005C328B">
        <w:rPr>
          <w:rFonts w:asciiTheme="minorHAnsi" w:hAnsiTheme="minorHAnsi" w:cstheme="minorHAnsi"/>
          <w:sz w:val="18"/>
          <w:szCs w:val="18"/>
          <w:lang w:val="en-US"/>
        </w:rPr>
        <w:t>is marked by red for 0/0, green for 0/1 and blue for 1/1. The 1/1 animals form two distinctive clusters (left plot) indicating in accurate genotyping. Thus, we manually re-assigned RD-based GT by assigning 1/1 to the ones in the blue translucent box (left plot) and 0/1 to the ones in the green translucent box (left plot). The imputation of ORM1 duplication passed the QC threshold with this RD-based manual genotyping</w:t>
      </w:r>
      <w:r w:rsidR="00A87839">
        <w:rPr>
          <w:rFonts w:asciiTheme="minorHAnsi" w:hAnsiTheme="minorHAnsi" w:cstheme="minorHAnsi"/>
          <w:sz w:val="18"/>
          <w:szCs w:val="18"/>
          <w:lang w:val="en-US"/>
        </w:rPr>
        <w:t>. The read-based genotyped ORM1 duplication did not meet the imputation quality criteria, hence discarded.</w:t>
      </w:r>
    </w:p>
    <w:sectPr w:rsidR="00A64640" w:rsidRPr="00A17DE9" w:rsidSect="00305924">
      <w:footerReference w:type="default" r:id="rId1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EEBE" w14:textId="77777777" w:rsidR="00AC505F" w:rsidRDefault="00AC505F">
      <w:pPr>
        <w:spacing w:after="0" w:line="240" w:lineRule="auto"/>
      </w:pPr>
      <w:r>
        <w:separator/>
      </w:r>
    </w:p>
  </w:endnote>
  <w:endnote w:type="continuationSeparator" w:id="0">
    <w:p w14:paraId="73974E62" w14:textId="77777777" w:rsidR="00AC505F" w:rsidRDefault="00AC5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845133"/>
      <w:docPartObj>
        <w:docPartGallery w:val="Page Numbers (Bottom of Page)"/>
        <w:docPartUnique/>
      </w:docPartObj>
    </w:sdtPr>
    <w:sdtEndPr>
      <w:rPr>
        <w:noProof/>
      </w:rPr>
    </w:sdtEndPr>
    <w:sdtContent>
      <w:p w14:paraId="273B79F0" w14:textId="18170B9F" w:rsidR="00342C38" w:rsidRDefault="00E0056C">
        <w:pPr>
          <w:pStyle w:val="Footer"/>
          <w:jc w:val="center"/>
        </w:pPr>
        <w:r>
          <w:fldChar w:fldCharType="begin"/>
        </w:r>
        <w:r>
          <w:instrText xml:space="preserve"> PAGE   \* MERGEFORMAT </w:instrText>
        </w:r>
        <w:r>
          <w:fldChar w:fldCharType="separate"/>
        </w:r>
        <w:r w:rsidR="001B3145">
          <w:rPr>
            <w:noProof/>
          </w:rPr>
          <w:t>12</w:t>
        </w:r>
        <w:r>
          <w:rPr>
            <w:noProof/>
          </w:rPr>
          <w:fldChar w:fldCharType="end"/>
        </w:r>
      </w:p>
    </w:sdtContent>
  </w:sdt>
  <w:p w14:paraId="2FC1B578" w14:textId="77777777" w:rsidR="00342C38" w:rsidRDefault="003C5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EC905" w14:textId="77777777" w:rsidR="00AC505F" w:rsidRDefault="00AC505F">
      <w:pPr>
        <w:spacing w:after="0" w:line="240" w:lineRule="auto"/>
      </w:pPr>
      <w:r>
        <w:separator/>
      </w:r>
    </w:p>
  </w:footnote>
  <w:footnote w:type="continuationSeparator" w:id="0">
    <w:p w14:paraId="1C4DE73C" w14:textId="77777777" w:rsidR="00AC505F" w:rsidRDefault="00AC50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S0NLI0NTYzMjYzNzVS0lEKTi0uzszPAykwrAUAX5vwViwAAAA="/>
  </w:docVars>
  <w:rsids>
    <w:rsidRoot w:val="004D620B"/>
    <w:rsid w:val="00015D6A"/>
    <w:rsid w:val="000C710A"/>
    <w:rsid w:val="00141F8D"/>
    <w:rsid w:val="001646C3"/>
    <w:rsid w:val="001B3145"/>
    <w:rsid w:val="00215DF7"/>
    <w:rsid w:val="00240C2A"/>
    <w:rsid w:val="002804A7"/>
    <w:rsid w:val="002B207F"/>
    <w:rsid w:val="003C5484"/>
    <w:rsid w:val="003E6F00"/>
    <w:rsid w:val="004335F3"/>
    <w:rsid w:val="00434D63"/>
    <w:rsid w:val="004A0558"/>
    <w:rsid w:val="004D620B"/>
    <w:rsid w:val="005213C3"/>
    <w:rsid w:val="00567C61"/>
    <w:rsid w:val="005C328B"/>
    <w:rsid w:val="00691952"/>
    <w:rsid w:val="007C260A"/>
    <w:rsid w:val="007C753B"/>
    <w:rsid w:val="007D68BB"/>
    <w:rsid w:val="0085107B"/>
    <w:rsid w:val="008D08EF"/>
    <w:rsid w:val="00943E6E"/>
    <w:rsid w:val="00A17DE9"/>
    <w:rsid w:val="00A56F93"/>
    <w:rsid w:val="00A64640"/>
    <w:rsid w:val="00A87839"/>
    <w:rsid w:val="00AA5FA2"/>
    <w:rsid w:val="00AC505F"/>
    <w:rsid w:val="00C50DBC"/>
    <w:rsid w:val="00CC5308"/>
    <w:rsid w:val="00DF0776"/>
    <w:rsid w:val="00E0056C"/>
    <w:rsid w:val="00E110D2"/>
    <w:rsid w:val="00FB7F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6DF3"/>
  <w15:chartTrackingRefBased/>
  <w15:docId w15:val="{DE604750-AD8F-4632-AC99-59956821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sz w:val="17"/>
        <w:szCs w:val="22"/>
        <w:lang w:val="en-US" w:eastAsia="zh-CN"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76"/>
    <w:pPr>
      <w:spacing w:after="200"/>
    </w:pPr>
    <w:rPr>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620B"/>
    <w:pPr>
      <w:tabs>
        <w:tab w:val="center" w:pos="4703"/>
        <w:tab w:val="right" w:pos="9406"/>
      </w:tabs>
      <w:spacing w:after="0" w:line="240" w:lineRule="auto"/>
    </w:pPr>
  </w:style>
  <w:style w:type="character" w:customStyle="1" w:styleId="FooterChar">
    <w:name w:val="Footer Char"/>
    <w:basedOn w:val="DefaultParagraphFont"/>
    <w:link w:val="Footer"/>
    <w:uiPriority w:val="99"/>
    <w:rsid w:val="004D620B"/>
    <w:rPr>
      <w:lang w:val="en-GB" w:eastAsia="ko-KR"/>
    </w:rPr>
  </w:style>
  <w:style w:type="character" w:styleId="LineNumber">
    <w:name w:val="line number"/>
    <w:basedOn w:val="DefaultParagraphFont"/>
    <w:uiPriority w:val="99"/>
    <w:semiHidden/>
    <w:unhideWhenUsed/>
    <w:rsid w:val="004D6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Young Lim</dc:creator>
  <cp:keywords/>
  <dc:description/>
  <cp:lastModifiedBy>Lee Younglim</cp:lastModifiedBy>
  <cp:revision>2</cp:revision>
  <dcterms:created xsi:type="dcterms:W3CDTF">2022-08-28T17:19:00Z</dcterms:created>
  <dcterms:modified xsi:type="dcterms:W3CDTF">2022-08-28T17:19:00Z</dcterms:modified>
</cp:coreProperties>
</file>