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6689" w:rsidRPr="00940676" w:rsidRDefault="009A6689" w:rsidP="009A6689">
      <w:pPr>
        <w:rPr>
          <w:rFonts w:ascii="Times New Roman" w:hAnsi="Times New Roman" w:cs="Times New Roman"/>
        </w:rPr>
      </w:pPr>
    </w:p>
    <w:p w:rsidR="009A6689" w:rsidRDefault="009A6689" w:rsidP="009A66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4C9A702" wp14:editId="4718AF66">
            <wp:extent cx="5274310" cy="2966720"/>
            <wp:effectExtent l="0" t="0" r="2540" b="5080"/>
            <wp:docPr id="3" name="图片 3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表, 散点图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6689" w:rsidRDefault="009A6689" w:rsidP="009A6689">
      <w:pPr>
        <w:rPr>
          <w:rFonts w:ascii="Times New Roman" w:hAnsi="Times New Roman" w:cs="Times New Roman"/>
        </w:rPr>
      </w:pPr>
      <w:r w:rsidRPr="00940676">
        <w:rPr>
          <w:rFonts w:ascii="Times New Roman" w:hAnsi="Times New Roman" w:cs="Times New Roman"/>
        </w:rPr>
        <w:t>Supplementary</w:t>
      </w:r>
      <w:r>
        <w:rPr>
          <w:rFonts w:ascii="Times New Roman" w:hAnsi="Times New Roman" w:cs="Times New Roman"/>
        </w:rPr>
        <w:t xml:space="preserve"> Fig.1 GO</w:t>
      </w:r>
      <w:r w:rsidRPr="00940676">
        <w:rPr>
          <w:rFonts w:ascii="Times New Roman" w:hAnsi="Times New Roman" w:cs="Times New Roman"/>
        </w:rPr>
        <w:t xml:space="preserve"> enrichment analysis results for differential genes.</w:t>
      </w:r>
    </w:p>
    <w:p w:rsidR="00F71AFD" w:rsidRDefault="009A6689">
      <w:r w:rsidRPr="009A6689">
        <w:rPr>
          <w:noProof/>
        </w:rPr>
        <w:drawing>
          <wp:inline distT="0" distB="0" distL="0" distR="0">
            <wp:extent cx="5274310" cy="3516207"/>
            <wp:effectExtent l="0" t="0" r="2540" b="8255"/>
            <wp:docPr id="1" name="图片 1" descr="C:\Users\YUjt\Desktop\2022年8月28日投稿\supplementary\Supplementary 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jt\Desktop\2022年8月28日投稿\supplementary\Supplementary Figure S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689" w:rsidRDefault="009A6689">
      <w:pPr>
        <w:rPr>
          <w:rFonts w:ascii="Times New Roman" w:hAnsi="Times New Roman" w:cs="Times New Roman"/>
        </w:rPr>
      </w:pPr>
      <w:r w:rsidRPr="00940676">
        <w:rPr>
          <w:rFonts w:ascii="Times New Roman" w:hAnsi="Times New Roman" w:cs="Times New Roman"/>
        </w:rPr>
        <w:t>Supplementary</w:t>
      </w:r>
      <w:r>
        <w:rPr>
          <w:rFonts w:ascii="Times New Roman" w:hAnsi="Times New Roman" w:cs="Times New Roman"/>
        </w:rPr>
        <w:t xml:space="preserve"> Fig.2 Forest plot showed the result of multivariate c</w:t>
      </w:r>
      <w:r w:rsidRPr="009A6689">
        <w:rPr>
          <w:rFonts w:ascii="Times New Roman" w:hAnsi="Times New Roman" w:cs="Times New Roman"/>
        </w:rPr>
        <w:t>ox analysis</w:t>
      </w:r>
    </w:p>
    <w:p w:rsidR="009A6689" w:rsidRPr="00940676" w:rsidRDefault="009A6689" w:rsidP="009A66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522A1C8" wp14:editId="0CA5515F">
            <wp:extent cx="5274310" cy="2966720"/>
            <wp:effectExtent l="0" t="0" r="2540" b="5080"/>
            <wp:docPr id="5" name="图片 5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形用户界面&#10;&#10;中度可信度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6689" w:rsidRDefault="009A6689" w:rsidP="009A6689">
      <w:pPr>
        <w:rPr>
          <w:rFonts w:ascii="Times New Roman" w:hAnsi="Times New Roman" w:cs="Times New Roman"/>
        </w:rPr>
      </w:pPr>
      <w:r w:rsidRPr="00940676">
        <w:rPr>
          <w:rFonts w:ascii="Times New Roman" w:hAnsi="Times New Roman" w:cs="Times New Roman"/>
        </w:rPr>
        <w:t>Supplementary</w:t>
      </w:r>
      <w:r>
        <w:rPr>
          <w:rFonts w:ascii="Times New Roman" w:hAnsi="Times New Roman" w:cs="Times New Roman"/>
        </w:rPr>
        <w:t xml:space="preserve"> Fig.3</w:t>
      </w:r>
      <w:r w:rsidRPr="00940676">
        <w:rPr>
          <w:rFonts w:ascii="Times New Roman" w:hAnsi="Times New Roman" w:cs="Times New Roman"/>
        </w:rPr>
        <w:t xml:space="preserve"> Kaplan Meier analysis revealed that up-expression of AR, DEFB1, LRRK2, SEMA3G and down-expression of ULBP2, PTX3 were associated with better survival outcomes and low recurrence. </w:t>
      </w:r>
    </w:p>
    <w:p w:rsidR="009A6689" w:rsidRDefault="009A6689" w:rsidP="009A66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7A3D627" wp14:editId="335B569B">
            <wp:extent cx="5274310" cy="2317115"/>
            <wp:effectExtent l="0" t="0" r="2540" b="6985"/>
            <wp:docPr id="12" name="图片 12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表, 折线图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6689" w:rsidRDefault="009A6689" w:rsidP="009A6689">
      <w:pPr>
        <w:rPr>
          <w:rFonts w:ascii="Times New Roman" w:hAnsi="Times New Roman" w:cs="Times New Roman"/>
        </w:rPr>
      </w:pPr>
      <w:r w:rsidRPr="00940676">
        <w:rPr>
          <w:rFonts w:ascii="Times New Roman" w:hAnsi="Times New Roman" w:cs="Times New Roman"/>
        </w:rPr>
        <w:t>Supplementary</w:t>
      </w:r>
      <w:r>
        <w:rPr>
          <w:rFonts w:ascii="Times New Roman" w:hAnsi="Times New Roman" w:cs="Times New Roman"/>
        </w:rPr>
        <w:t xml:space="preserve"> Fig.4</w:t>
      </w:r>
      <w:r w:rsidRPr="00940676">
        <w:rPr>
          <w:rFonts w:ascii="Times New Roman" w:hAnsi="Times New Roman" w:cs="Times New Roman"/>
        </w:rPr>
        <w:t xml:space="preserve"> Kaplan Meier analysis revealed that</w:t>
      </w:r>
      <w:r>
        <w:rPr>
          <w:rFonts w:ascii="Times New Roman" w:hAnsi="Times New Roman" w:cs="Times New Roman"/>
        </w:rPr>
        <w:t xml:space="preserve"> GEO verification database. (A) </w:t>
      </w:r>
      <w:r w:rsidRPr="007524F9">
        <w:rPr>
          <w:rFonts w:ascii="Times New Roman" w:hAnsi="Times New Roman" w:cs="Times New Roman"/>
        </w:rPr>
        <w:t>GSE65858</w:t>
      </w:r>
      <w:r>
        <w:rPr>
          <w:rFonts w:ascii="Times New Roman" w:hAnsi="Times New Roman" w:cs="Times New Roman"/>
        </w:rPr>
        <w:t xml:space="preserve">. (B) </w:t>
      </w:r>
      <w:r w:rsidRPr="007524F9">
        <w:rPr>
          <w:rFonts w:ascii="Times New Roman" w:hAnsi="Times New Roman" w:cs="Times New Roman"/>
        </w:rPr>
        <w:t>GSE85446</w:t>
      </w:r>
      <w:r>
        <w:rPr>
          <w:rFonts w:ascii="Times New Roman" w:hAnsi="Times New Roman" w:cs="Times New Roman"/>
        </w:rPr>
        <w:t>.</w:t>
      </w:r>
    </w:p>
    <w:p w:rsidR="009A6689" w:rsidRDefault="009A6689" w:rsidP="009A66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20FC6E7" wp14:editId="424E5C3E">
            <wp:extent cx="5274310" cy="5274310"/>
            <wp:effectExtent l="0" t="0" r="254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6689" w:rsidRPr="00940676" w:rsidRDefault="009A6689" w:rsidP="009A6689">
      <w:pPr>
        <w:rPr>
          <w:rFonts w:ascii="Times New Roman" w:hAnsi="Times New Roman" w:cs="Times New Roman"/>
        </w:rPr>
      </w:pPr>
      <w:r w:rsidRPr="00940676">
        <w:rPr>
          <w:rFonts w:ascii="Times New Roman" w:hAnsi="Times New Roman" w:cs="Times New Roman"/>
        </w:rPr>
        <w:t>Supplementary</w:t>
      </w:r>
      <w:r>
        <w:rPr>
          <w:rFonts w:ascii="Times New Roman" w:hAnsi="Times New Roman" w:cs="Times New Roman"/>
        </w:rPr>
        <w:t xml:space="preserve"> Fig.5</w:t>
      </w:r>
      <w:r w:rsidRPr="00940676">
        <w:rPr>
          <w:rFonts w:ascii="Times New Roman" w:hAnsi="Times New Roman" w:cs="Times New Roman"/>
        </w:rPr>
        <w:t xml:space="preserve"> Kaplan Meier analysis revealed that up-expression of </w:t>
      </w:r>
      <w:r>
        <w:rPr>
          <w:rFonts w:ascii="Times New Roman" w:hAnsi="Times New Roman" w:cs="Times New Roman"/>
        </w:rPr>
        <w:t>B cell native</w:t>
      </w:r>
      <w:r w:rsidRPr="00940676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Mast cells resting</w:t>
      </w:r>
      <w:r w:rsidRPr="00940676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Plasma cells</w:t>
      </w:r>
      <w:r w:rsidRPr="00940676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T cells follicular helper, T cells regulatory (Tregs)</w:t>
      </w:r>
      <w:r w:rsidRPr="00940676">
        <w:rPr>
          <w:rFonts w:ascii="Times New Roman" w:hAnsi="Times New Roman" w:cs="Times New Roman"/>
        </w:rPr>
        <w:t xml:space="preserve"> and down-expression of </w:t>
      </w:r>
      <w:r>
        <w:rPr>
          <w:rFonts w:ascii="Times New Roman" w:hAnsi="Times New Roman" w:cs="Times New Roman"/>
        </w:rPr>
        <w:t>Dendritic cells resting</w:t>
      </w:r>
      <w:r w:rsidRPr="00940676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Macrophages M2, Neutrophils, Mast cells activated</w:t>
      </w:r>
      <w:r w:rsidRPr="00940676">
        <w:rPr>
          <w:rFonts w:ascii="Times New Roman" w:hAnsi="Times New Roman" w:cs="Times New Roman"/>
        </w:rPr>
        <w:t xml:space="preserve"> were associated with better survival outcomes and low recurrence. </w:t>
      </w:r>
    </w:p>
    <w:p w:rsidR="0075030F" w:rsidRDefault="0075030F" w:rsidP="009A6689">
      <w:pPr>
        <w:rPr>
          <w:rFonts w:ascii="Times New Roman" w:hAnsi="Times New Roman" w:cs="Times New Roman"/>
        </w:rPr>
      </w:pPr>
    </w:p>
    <w:p w:rsidR="009A6689" w:rsidRDefault="007D646A" w:rsidP="009A6689">
      <w:pPr>
        <w:rPr>
          <w:rFonts w:ascii="Times New Roman" w:hAnsi="Times New Roman" w:cs="Times New Roman"/>
        </w:rPr>
      </w:pPr>
      <w:r w:rsidRPr="007D646A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74310" cy="4762982"/>
            <wp:effectExtent l="0" t="0" r="2540" b="0"/>
            <wp:docPr id="2" name="图片 2" descr="C:\Users\YUjt\Downloads\Supplementary 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jt\Downloads\Supplementary Figure S6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62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646A" w:rsidRDefault="007D646A" w:rsidP="007D646A">
      <w:pPr>
        <w:rPr>
          <w:rFonts w:ascii="Times New Roman" w:hAnsi="Times New Roman" w:cs="Times New Roman"/>
        </w:rPr>
      </w:pPr>
      <w:r w:rsidRPr="00940676">
        <w:rPr>
          <w:rFonts w:ascii="Times New Roman" w:hAnsi="Times New Roman" w:cs="Times New Roman"/>
        </w:rPr>
        <w:t>Supplementary</w:t>
      </w:r>
      <w:r>
        <w:rPr>
          <w:rFonts w:ascii="Times New Roman" w:hAnsi="Times New Roman" w:cs="Times New Roman"/>
        </w:rPr>
        <w:t xml:space="preserve"> Fig.6 (A-D) H</w:t>
      </w:r>
      <w:r w:rsidRPr="004F74C3">
        <w:rPr>
          <w:rFonts w:ascii="Times New Roman" w:hAnsi="Times New Roman" w:cs="Times New Roman"/>
        </w:rPr>
        <w:t>igh risk score was correlated with less immune cell infiltration and lower immune signature enrichment</w:t>
      </w:r>
      <w:r>
        <w:rPr>
          <w:rFonts w:ascii="Times New Roman" w:hAnsi="Times New Roman" w:cs="Times New Roman"/>
        </w:rPr>
        <w:t>.</w:t>
      </w:r>
      <w:r w:rsidRPr="004F74C3">
        <w:rPr>
          <w:rFonts w:ascii="Times New Roman" w:hAnsi="Times New Roman" w:cs="Times New Roman"/>
        </w:rPr>
        <w:t> </w:t>
      </w:r>
      <w:r w:rsidRPr="00940676">
        <w:rPr>
          <w:rFonts w:ascii="Times New Roman" w:hAnsi="Times New Roman" w:cs="Times New Roman"/>
        </w:rPr>
        <w:t>Kaplan Meier analysis revealed</w:t>
      </w:r>
      <w:r>
        <w:rPr>
          <w:rFonts w:ascii="Times New Roman" w:hAnsi="Times New Roman" w:cs="Times New Roman"/>
        </w:rPr>
        <w:t xml:space="preserve"> grouping</w:t>
      </w:r>
      <w:r w:rsidRPr="00B7160C">
        <w:rPr>
          <w:rFonts w:ascii="Times New Roman" w:hAnsi="Times New Roman" w:cs="Times New Roman"/>
        </w:rPr>
        <w:t xml:space="preserve"> prognosis</w:t>
      </w:r>
      <w:r>
        <w:rPr>
          <w:rFonts w:ascii="Times New Roman" w:hAnsi="Times New Roman" w:cs="Times New Roman"/>
        </w:rPr>
        <w:t xml:space="preserve">. ( </w:t>
      </w:r>
      <w:r w:rsidRPr="00113C5C"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>&lt;0.001)</w:t>
      </w:r>
    </w:p>
    <w:p w:rsidR="009A6689" w:rsidRDefault="009A6689"/>
    <w:p w:rsidR="004B3966" w:rsidRPr="001F7F93" w:rsidRDefault="008D4771" w:rsidP="004B3966">
      <w:pPr>
        <w:rPr>
          <w:rFonts w:ascii="Times New Roman" w:hAnsi="Times New Roman" w:cs="Times New Roman"/>
        </w:rPr>
      </w:pPr>
      <w:r w:rsidRPr="00940676">
        <w:rPr>
          <w:rFonts w:ascii="Times New Roman" w:hAnsi="Times New Roman" w:cs="Times New Roman"/>
        </w:rPr>
        <w:t>Supplementary</w:t>
      </w:r>
      <w:r w:rsidRPr="001F7F93">
        <w:rPr>
          <w:rFonts w:ascii="Times New Roman" w:hAnsi="Times New Roman" w:cs="Times New Roman"/>
        </w:rPr>
        <w:t xml:space="preserve"> </w:t>
      </w:r>
      <w:r w:rsidR="004B3966" w:rsidRPr="001F7F93">
        <w:rPr>
          <w:rFonts w:ascii="Times New Roman" w:hAnsi="Times New Roman" w:cs="Times New Roman"/>
        </w:rPr>
        <w:t xml:space="preserve">Table S1 </w:t>
      </w:r>
      <w:r>
        <w:rPr>
          <w:rFonts w:ascii="Times New Roman" w:hAnsi="Times New Roman" w:cs="Times New Roman"/>
        </w:rPr>
        <w:t xml:space="preserve">This tables shows </w:t>
      </w:r>
      <w:r w:rsidR="004B3966" w:rsidRPr="001F7F93">
        <w:rPr>
          <w:rFonts w:ascii="Times New Roman" w:hAnsi="Times New Roman" w:cs="Times New Roman"/>
        </w:rPr>
        <w:t>the outcome of GO enrichment analysis</w:t>
      </w:r>
    </w:p>
    <w:p w:rsidR="004B3966" w:rsidRPr="001F7F93" w:rsidRDefault="004B3966" w:rsidP="004B3966">
      <w:pPr>
        <w:rPr>
          <w:rFonts w:ascii="Times New Roman" w:hAnsi="Times New Roman" w:cs="Times New Roman"/>
        </w:rPr>
      </w:pPr>
    </w:p>
    <w:p w:rsidR="004B3966" w:rsidRPr="001F7F93" w:rsidRDefault="008D4771" w:rsidP="004B3966">
      <w:pPr>
        <w:rPr>
          <w:rFonts w:ascii="Times New Roman" w:hAnsi="Times New Roman" w:cs="Times New Roman"/>
        </w:rPr>
      </w:pPr>
      <w:r w:rsidRPr="00940676">
        <w:rPr>
          <w:rFonts w:ascii="Times New Roman" w:hAnsi="Times New Roman" w:cs="Times New Roman"/>
        </w:rPr>
        <w:t>Supplementary</w:t>
      </w:r>
      <w:r w:rsidRPr="001F7F93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4B3966" w:rsidRPr="001F7F93">
        <w:rPr>
          <w:rFonts w:ascii="Times New Roman" w:hAnsi="Times New Roman" w:cs="Times New Roman"/>
        </w:rPr>
        <w:t xml:space="preserve">Table S2 </w:t>
      </w:r>
      <w:r>
        <w:rPr>
          <w:rFonts w:ascii="Times New Roman" w:hAnsi="Times New Roman" w:cs="Times New Roman"/>
        </w:rPr>
        <w:t>This tables shows</w:t>
      </w:r>
      <w:r w:rsidRPr="001F7F93">
        <w:rPr>
          <w:rFonts w:ascii="Times New Roman" w:hAnsi="Times New Roman" w:cs="Times New Roman"/>
        </w:rPr>
        <w:t xml:space="preserve"> </w:t>
      </w:r>
      <w:r w:rsidR="004B3966" w:rsidRPr="001F7F93">
        <w:rPr>
          <w:rFonts w:ascii="Times New Roman" w:hAnsi="Times New Roman" w:cs="Times New Roman"/>
        </w:rPr>
        <w:t>the outcome of KEGG enrichment analysis</w:t>
      </w:r>
    </w:p>
    <w:p w:rsidR="004B3966" w:rsidRPr="004B3966" w:rsidRDefault="004B3966"/>
    <w:sectPr w:rsidR="004B3966" w:rsidRPr="004B39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4809" w:rsidRDefault="00144809" w:rsidP="009A6689">
      <w:r>
        <w:separator/>
      </w:r>
    </w:p>
  </w:endnote>
  <w:endnote w:type="continuationSeparator" w:id="0">
    <w:p w:rsidR="00144809" w:rsidRDefault="00144809" w:rsidP="009A6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4809" w:rsidRDefault="00144809" w:rsidP="009A6689">
      <w:r>
        <w:separator/>
      </w:r>
    </w:p>
  </w:footnote>
  <w:footnote w:type="continuationSeparator" w:id="0">
    <w:p w:rsidR="00144809" w:rsidRDefault="00144809" w:rsidP="009A66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9CC"/>
    <w:rsid w:val="00144809"/>
    <w:rsid w:val="001A59CC"/>
    <w:rsid w:val="004B3966"/>
    <w:rsid w:val="00622BD8"/>
    <w:rsid w:val="0075030F"/>
    <w:rsid w:val="007D0DFF"/>
    <w:rsid w:val="007D646A"/>
    <w:rsid w:val="00882546"/>
    <w:rsid w:val="008D4771"/>
    <w:rsid w:val="00955B8B"/>
    <w:rsid w:val="009A6689"/>
    <w:rsid w:val="00CE1FAD"/>
    <w:rsid w:val="00E33600"/>
    <w:rsid w:val="00F71AFD"/>
    <w:rsid w:val="00F8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B1A1FE-7053-4CA2-B949-459F73A31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66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66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66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66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66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4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</cp:revision>
  <dcterms:created xsi:type="dcterms:W3CDTF">2022-09-01T12:59:00Z</dcterms:created>
  <dcterms:modified xsi:type="dcterms:W3CDTF">2022-09-10T01:58:00Z</dcterms:modified>
</cp:coreProperties>
</file>