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E7000" w14:textId="77777777" w:rsidR="000D3F76" w:rsidRDefault="00000000">
      <w:pPr>
        <w:adjustRightInd w:val="0"/>
        <w:snapToGrid w:val="0"/>
        <w:spacing w:line="360" w:lineRule="auto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 (正文 CS 字体)"/>
            <w:color w:val="000000"/>
          </w:rPr>
          <w:tag w:val="MENDELEY_CITATION_v3_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"/>
          <w:id w:val="-2008050725"/>
          <w:placeholder>
            <w:docPart w:val="{8fbb42c8-0e71-4d5d-a579-c4b86840be35}"/>
          </w:placeholder>
        </w:sdtPr>
        <w:sdtContent/>
      </w:sdt>
      <w:r>
        <w:rPr>
          <w:rFonts w:ascii="Times New Roman" w:hAnsi="Times New Roman" w:cs="Times New Roman"/>
          <w:noProof/>
        </w:rPr>
        <w:drawing>
          <wp:inline distT="0" distB="0" distL="0" distR="0" wp14:anchorId="6E7061A1" wp14:editId="685E48B3">
            <wp:extent cx="5274310" cy="3162935"/>
            <wp:effectExtent l="0" t="0" r="0" b="1143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4B6D97" w14:textId="39CEC9FF" w:rsidR="000D3F76" w:rsidRDefault="00A06488">
      <w:pPr>
        <w:adjustRightInd w:val="0"/>
        <w:snapToGri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 </w:t>
      </w:r>
      <w:r w:rsidR="00000000">
        <w:rPr>
          <w:rFonts w:ascii="Times New Roman" w:hAnsi="Times New Roman" w:cs="Times New Roman"/>
          <w:b/>
          <w:bCs/>
        </w:rPr>
        <w:t xml:space="preserve">Fig. </w:t>
      </w:r>
      <w:r>
        <w:rPr>
          <w:rFonts w:ascii="Times New Roman" w:hAnsi="Times New Roman" w:cs="Times New Roman"/>
          <w:b/>
          <w:bCs/>
        </w:rPr>
        <w:t xml:space="preserve">1 </w:t>
      </w:r>
      <w:r w:rsidR="00000000">
        <w:rPr>
          <w:rFonts w:ascii="Times New Roman" w:hAnsi="Times New Roman" w:cs="Times New Roman"/>
          <w:b/>
          <w:bCs/>
        </w:rPr>
        <w:t xml:space="preserve">HPLC chromatograms of the standard substance and extract of YGY </w:t>
      </w:r>
      <w:r w:rsidR="00000000">
        <w:rPr>
          <w:rFonts w:ascii="Times New Roman" w:hAnsi="Times New Roman" w:cs="Times New Roman"/>
        </w:rPr>
        <w:t xml:space="preserve">(A) HPLC chromatograms of the standard substances. (B) HPLC chromatogram of YGY extract. 7 </w:t>
      </w:r>
      <w:proofErr w:type="spellStart"/>
      <w:r w:rsidR="00000000">
        <w:rPr>
          <w:rFonts w:ascii="Times New Roman" w:hAnsi="Times New Roman" w:cs="Times New Roman"/>
        </w:rPr>
        <w:t>Geniposidic</w:t>
      </w:r>
      <w:proofErr w:type="spellEnd"/>
      <w:r w:rsidR="00000000">
        <w:rPr>
          <w:rFonts w:ascii="Times New Roman" w:hAnsi="Times New Roman" w:cs="Times New Roman"/>
        </w:rPr>
        <w:t xml:space="preserve"> acid; 9, </w:t>
      </w:r>
      <w:proofErr w:type="spellStart"/>
      <w:r w:rsidR="00000000">
        <w:rPr>
          <w:rFonts w:ascii="Times New Roman" w:hAnsi="Times New Roman" w:cs="Times New Roman"/>
        </w:rPr>
        <w:t>Morroniside</w:t>
      </w:r>
      <w:proofErr w:type="spellEnd"/>
      <w:r w:rsidR="00000000">
        <w:rPr>
          <w:rFonts w:ascii="Times New Roman" w:hAnsi="Times New Roman" w:cs="Times New Roman"/>
        </w:rPr>
        <w:t xml:space="preserve">; 11, Chlorogenic acid; 12, </w:t>
      </w:r>
      <w:proofErr w:type="spellStart"/>
      <w:r w:rsidR="00000000">
        <w:rPr>
          <w:rFonts w:ascii="Times New Roman" w:hAnsi="Times New Roman" w:cs="Times New Roman"/>
        </w:rPr>
        <w:t>Geniposide</w:t>
      </w:r>
      <w:proofErr w:type="spellEnd"/>
      <w:r w:rsidR="00000000">
        <w:rPr>
          <w:rFonts w:ascii="Times New Roman" w:hAnsi="Times New Roman" w:cs="Times New Roman"/>
        </w:rPr>
        <w:t xml:space="preserve">; 13, </w:t>
      </w:r>
      <w:proofErr w:type="spellStart"/>
      <w:r w:rsidR="00000000">
        <w:rPr>
          <w:rFonts w:ascii="Times New Roman" w:hAnsi="Times New Roman" w:cs="Times New Roman"/>
        </w:rPr>
        <w:t>Loganin</w:t>
      </w:r>
      <w:proofErr w:type="spellEnd"/>
      <w:r w:rsidR="00000000">
        <w:rPr>
          <w:rFonts w:ascii="Times New Roman" w:hAnsi="Times New Roman" w:cs="Times New Roman"/>
        </w:rPr>
        <w:t xml:space="preserve">; 14, </w:t>
      </w:r>
      <w:proofErr w:type="spellStart"/>
      <w:r w:rsidR="00000000">
        <w:rPr>
          <w:rFonts w:ascii="Times New Roman" w:hAnsi="Times New Roman" w:cs="Times New Roman"/>
        </w:rPr>
        <w:t>Pinoresinol</w:t>
      </w:r>
      <w:proofErr w:type="spellEnd"/>
      <w:r w:rsidR="00000000">
        <w:rPr>
          <w:rFonts w:ascii="Times New Roman" w:hAnsi="Times New Roman" w:cs="Times New Roman"/>
        </w:rPr>
        <w:t xml:space="preserve"> </w:t>
      </w:r>
      <w:proofErr w:type="spellStart"/>
      <w:r w:rsidR="00000000">
        <w:rPr>
          <w:rFonts w:ascii="Times New Roman" w:hAnsi="Times New Roman" w:cs="Times New Roman"/>
        </w:rPr>
        <w:t>diglucoside</w:t>
      </w:r>
      <w:proofErr w:type="spellEnd"/>
      <w:r w:rsidR="00000000">
        <w:rPr>
          <w:rFonts w:ascii="Times New Roman" w:hAnsi="Times New Roman" w:cs="Times New Roman"/>
        </w:rPr>
        <w:t xml:space="preserve">; 18, </w:t>
      </w:r>
      <w:proofErr w:type="spellStart"/>
      <w:r w:rsidR="00000000">
        <w:rPr>
          <w:rFonts w:ascii="Times New Roman" w:hAnsi="Times New Roman" w:cs="Times New Roman"/>
        </w:rPr>
        <w:t>Liquiritin</w:t>
      </w:r>
      <w:proofErr w:type="spellEnd"/>
      <w:r w:rsidR="00000000">
        <w:rPr>
          <w:rFonts w:ascii="Times New Roman" w:hAnsi="Times New Roman" w:cs="Times New Roman"/>
        </w:rPr>
        <w:t xml:space="preserve">; 21, </w:t>
      </w:r>
      <w:proofErr w:type="spellStart"/>
      <w:r w:rsidR="00000000">
        <w:rPr>
          <w:rFonts w:ascii="Times New Roman" w:hAnsi="Times New Roman" w:cs="Times New Roman"/>
        </w:rPr>
        <w:t>Rutin</w:t>
      </w:r>
      <w:proofErr w:type="spellEnd"/>
      <w:r w:rsidR="00000000">
        <w:rPr>
          <w:rFonts w:ascii="Times New Roman" w:hAnsi="Times New Roman" w:cs="Times New Roman"/>
        </w:rPr>
        <w:t xml:space="preserve">; 30, </w:t>
      </w:r>
      <w:proofErr w:type="spellStart"/>
      <w:r w:rsidR="00000000">
        <w:rPr>
          <w:rFonts w:ascii="Times New Roman" w:hAnsi="Times New Roman" w:cs="Times New Roman"/>
        </w:rPr>
        <w:t>Glycyrhizic</w:t>
      </w:r>
      <w:proofErr w:type="spellEnd"/>
      <w:r w:rsidR="00000000">
        <w:rPr>
          <w:rFonts w:ascii="Times New Roman" w:hAnsi="Times New Roman" w:cs="Times New Roman"/>
        </w:rPr>
        <w:t xml:space="preserve"> acid.</w:t>
      </w:r>
    </w:p>
    <w:p w14:paraId="31B81F89" w14:textId="77777777" w:rsidR="000D3F76" w:rsidRDefault="000D3F76">
      <w:p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7F9E90E6" w14:textId="77777777" w:rsidR="000D3F76" w:rsidRDefault="00000000">
      <w:p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Tab. 1 </w:t>
      </w:r>
      <w:r>
        <w:rPr>
          <w:rFonts w:ascii="Times New Roman" w:hAnsi="Times New Roman" w:cs="Times New Roman"/>
        </w:rPr>
        <w:t xml:space="preserve">The quality control of YGY </w:t>
      </w:r>
      <w:r>
        <w:rPr>
          <w:rFonts w:ascii="Times New Roman" w:hAnsi="Times New Roman" w:cs="Times New Roman (正文 CS 字体)"/>
        </w:rPr>
        <w:t>aqueous</w:t>
      </w:r>
      <w:r>
        <w:rPr>
          <w:rFonts w:ascii="Times New Roman" w:hAnsi="Times New Roman" w:cs="Times New Roman"/>
        </w:rPr>
        <w:t xml:space="preserve"> extract.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692"/>
        <w:gridCol w:w="3330"/>
        <w:gridCol w:w="1904"/>
      </w:tblGrid>
      <w:tr w:rsidR="000D3F76" w14:paraId="459CA95E" w14:textId="77777777">
        <w:trPr>
          <w:trHeight w:val="398"/>
        </w:trPr>
        <w:tc>
          <w:tcPr>
            <w:tcW w:w="1692" w:type="dxa"/>
            <w:tcBorders>
              <w:top w:val="single" w:sz="12" w:space="0" w:color="auto"/>
              <w:bottom w:val="single" w:sz="4" w:space="0" w:color="auto"/>
            </w:tcBorders>
          </w:tcPr>
          <w:p w14:paraId="0129C85C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3330" w:type="dxa"/>
            <w:tcBorders>
              <w:top w:val="single" w:sz="12" w:space="0" w:color="auto"/>
              <w:bottom w:val="single" w:sz="4" w:space="0" w:color="auto"/>
            </w:tcBorders>
          </w:tcPr>
          <w:p w14:paraId="3AF82E30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Bioactive components</w:t>
            </w:r>
          </w:p>
        </w:tc>
        <w:tc>
          <w:tcPr>
            <w:tcW w:w="1904" w:type="dxa"/>
            <w:tcBorders>
              <w:top w:val="single" w:sz="12" w:space="0" w:color="auto"/>
              <w:bottom w:val="single" w:sz="4" w:space="0" w:color="auto"/>
            </w:tcBorders>
          </w:tcPr>
          <w:p w14:paraId="5E10CD31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Content (mg·g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0D3F76" w14:paraId="13B54D52" w14:textId="77777777">
        <w:trPr>
          <w:trHeight w:val="382"/>
        </w:trPr>
        <w:tc>
          <w:tcPr>
            <w:tcW w:w="1692" w:type="dxa"/>
            <w:tcBorders>
              <w:top w:val="single" w:sz="4" w:space="0" w:color="auto"/>
            </w:tcBorders>
          </w:tcPr>
          <w:p w14:paraId="261A4973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330" w:type="dxa"/>
            <w:tcBorders>
              <w:top w:val="single" w:sz="4" w:space="0" w:color="auto"/>
            </w:tcBorders>
          </w:tcPr>
          <w:p w14:paraId="5980937F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Geniposidic</w:t>
            </w:r>
            <w:proofErr w:type="spellEnd"/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acid</w:t>
            </w:r>
          </w:p>
        </w:tc>
        <w:tc>
          <w:tcPr>
            <w:tcW w:w="1904" w:type="dxa"/>
            <w:tcBorders>
              <w:top w:val="single" w:sz="4" w:space="0" w:color="auto"/>
            </w:tcBorders>
          </w:tcPr>
          <w:p w14:paraId="34A75D5B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.1046</w:t>
            </w:r>
          </w:p>
        </w:tc>
      </w:tr>
      <w:tr w:rsidR="000D3F76" w14:paraId="76653313" w14:textId="77777777">
        <w:trPr>
          <w:trHeight w:val="382"/>
        </w:trPr>
        <w:tc>
          <w:tcPr>
            <w:tcW w:w="1692" w:type="dxa"/>
          </w:tcPr>
          <w:p w14:paraId="2D63ED6D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330" w:type="dxa"/>
          </w:tcPr>
          <w:p w14:paraId="6D982FA2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Morroniside</w:t>
            </w:r>
            <w:proofErr w:type="spellEnd"/>
          </w:p>
        </w:tc>
        <w:tc>
          <w:tcPr>
            <w:tcW w:w="1904" w:type="dxa"/>
          </w:tcPr>
          <w:p w14:paraId="02684D2C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.3487</w:t>
            </w:r>
          </w:p>
        </w:tc>
      </w:tr>
      <w:tr w:rsidR="000D3F76" w14:paraId="0C40E5C1" w14:textId="77777777">
        <w:trPr>
          <w:trHeight w:val="399"/>
        </w:trPr>
        <w:tc>
          <w:tcPr>
            <w:tcW w:w="1692" w:type="dxa"/>
          </w:tcPr>
          <w:p w14:paraId="2365528C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330" w:type="dxa"/>
          </w:tcPr>
          <w:p w14:paraId="011C8BF8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Chlorogenic acid</w:t>
            </w:r>
          </w:p>
        </w:tc>
        <w:tc>
          <w:tcPr>
            <w:tcW w:w="1904" w:type="dxa"/>
          </w:tcPr>
          <w:p w14:paraId="3F326B08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.1100</w:t>
            </w:r>
          </w:p>
        </w:tc>
      </w:tr>
      <w:tr w:rsidR="000D3F76" w14:paraId="65E74022" w14:textId="77777777">
        <w:trPr>
          <w:trHeight w:val="382"/>
        </w:trPr>
        <w:tc>
          <w:tcPr>
            <w:tcW w:w="1692" w:type="dxa"/>
          </w:tcPr>
          <w:p w14:paraId="30BAE5DF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330" w:type="dxa"/>
          </w:tcPr>
          <w:p w14:paraId="0D115DCD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Geniposide</w:t>
            </w:r>
            <w:proofErr w:type="spellEnd"/>
          </w:p>
        </w:tc>
        <w:tc>
          <w:tcPr>
            <w:tcW w:w="1904" w:type="dxa"/>
          </w:tcPr>
          <w:p w14:paraId="6E484761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.0850</w:t>
            </w:r>
          </w:p>
        </w:tc>
      </w:tr>
      <w:tr w:rsidR="000D3F76" w14:paraId="3F8B78B2" w14:textId="77777777">
        <w:trPr>
          <w:trHeight w:val="382"/>
        </w:trPr>
        <w:tc>
          <w:tcPr>
            <w:tcW w:w="1692" w:type="dxa"/>
          </w:tcPr>
          <w:p w14:paraId="739447C4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330" w:type="dxa"/>
          </w:tcPr>
          <w:p w14:paraId="1A922E3B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Loganin</w:t>
            </w:r>
            <w:proofErr w:type="spellEnd"/>
          </w:p>
        </w:tc>
        <w:tc>
          <w:tcPr>
            <w:tcW w:w="1904" w:type="dxa"/>
          </w:tcPr>
          <w:p w14:paraId="75044301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.1880</w:t>
            </w:r>
          </w:p>
        </w:tc>
      </w:tr>
      <w:tr w:rsidR="000D3F76" w14:paraId="0B1D1A80" w14:textId="77777777">
        <w:trPr>
          <w:trHeight w:val="382"/>
        </w:trPr>
        <w:tc>
          <w:tcPr>
            <w:tcW w:w="1692" w:type="dxa"/>
          </w:tcPr>
          <w:p w14:paraId="64A21DE7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330" w:type="dxa"/>
          </w:tcPr>
          <w:p w14:paraId="3A620D92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Pinoresinol</w:t>
            </w:r>
            <w:proofErr w:type="spellEnd"/>
            <w:r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diglucoside</w:t>
            </w:r>
            <w:proofErr w:type="spellEnd"/>
          </w:p>
        </w:tc>
        <w:tc>
          <w:tcPr>
            <w:tcW w:w="1904" w:type="dxa"/>
          </w:tcPr>
          <w:p w14:paraId="5EAF6E08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.1630</w:t>
            </w:r>
          </w:p>
        </w:tc>
      </w:tr>
      <w:tr w:rsidR="000D3F76" w14:paraId="33AED558" w14:textId="77777777">
        <w:trPr>
          <w:trHeight w:val="399"/>
        </w:trPr>
        <w:tc>
          <w:tcPr>
            <w:tcW w:w="1692" w:type="dxa"/>
          </w:tcPr>
          <w:p w14:paraId="768E620F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330" w:type="dxa"/>
          </w:tcPr>
          <w:p w14:paraId="4F54D72E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Liquiritin</w:t>
            </w:r>
            <w:proofErr w:type="spellEnd"/>
          </w:p>
        </w:tc>
        <w:tc>
          <w:tcPr>
            <w:tcW w:w="1904" w:type="dxa"/>
          </w:tcPr>
          <w:p w14:paraId="04CFD1C3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.0610</w:t>
            </w:r>
          </w:p>
        </w:tc>
      </w:tr>
      <w:tr w:rsidR="000D3F76" w14:paraId="36D6BA45" w14:textId="77777777">
        <w:trPr>
          <w:trHeight w:val="382"/>
        </w:trPr>
        <w:tc>
          <w:tcPr>
            <w:tcW w:w="1692" w:type="dxa"/>
            <w:tcBorders>
              <w:bottom w:val="single" w:sz="4" w:space="0" w:color="BFBFBF" w:themeColor="background1" w:themeShade="BF"/>
            </w:tcBorders>
          </w:tcPr>
          <w:p w14:paraId="553B70F3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330" w:type="dxa"/>
            <w:tcBorders>
              <w:bottom w:val="single" w:sz="4" w:space="0" w:color="BFBFBF" w:themeColor="background1" w:themeShade="BF"/>
            </w:tcBorders>
          </w:tcPr>
          <w:p w14:paraId="64690E44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Rutin</w:t>
            </w:r>
            <w:proofErr w:type="spellEnd"/>
          </w:p>
        </w:tc>
        <w:tc>
          <w:tcPr>
            <w:tcW w:w="1904" w:type="dxa"/>
            <w:tcBorders>
              <w:bottom w:val="single" w:sz="4" w:space="0" w:color="BFBFBF" w:themeColor="background1" w:themeShade="BF"/>
            </w:tcBorders>
          </w:tcPr>
          <w:p w14:paraId="2D552770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.1600</w:t>
            </w:r>
          </w:p>
        </w:tc>
      </w:tr>
      <w:tr w:rsidR="000D3F76" w14:paraId="474B3515" w14:textId="77777777">
        <w:trPr>
          <w:trHeight w:val="382"/>
        </w:trPr>
        <w:tc>
          <w:tcPr>
            <w:tcW w:w="1692" w:type="dxa"/>
            <w:tcBorders>
              <w:bottom w:val="single" w:sz="4" w:space="0" w:color="000000" w:themeColor="text1"/>
            </w:tcBorders>
          </w:tcPr>
          <w:p w14:paraId="66B4C6F3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330" w:type="dxa"/>
            <w:tcBorders>
              <w:bottom w:val="single" w:sz="4" w:space="0" w:color="000000" w:themeColor="text1"/>
            </w:tcBorders>
          </w:tcPr>
          <w:p w14:paraId="404148F8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Glycyrrhizic</w:t>
            </w:r>
            <w:proofErr w:type="spellEnd"/>
            <w:r>
              <w:rPr>
                <w:rFonts w:ascii="Times New Roman" w:hAnsi="Times New Roman" w:cs="Times New Roman"/>
              </w:rPr>
              <w:t xml:space="preserve"> acid</w:t>
            </w:r>
          </w:p>
        </w:tc>
        <w:tc>
          <w:tcPr>
            <w:tcW w:w="1904" w:type="dxa"/>
            <w:tcBorders>
              <w:bottom w:val="single" w:sz="4" w:space="0" w:color="000000" w:themeColor="text1"/>
            </w:tcBorders>
          </w:tcPr>
          <w:p w14:paraId="23993321" w14:textId="77777777" w:rsidR="000D3F76" w:rsidRDefault="00000000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.0791</w:t>
            </w:r>
          </w:p>
        </w:tc>
      </w:tr>
    </w:tbl>
    <w:p w14:paraId="2B403408" w14:textId="77777777" w:rsidR="000D3F76" w:rsidRDefault="000D3F76">
      <w:pPr>
        <w:adjustRightInd w:val="0"/>
        <w:snapToGrid w:val="0"/>
        <w:spacing w:line="360" w:lineRule="auto"/>
        <w:jc w:val="both"/>
        <w:rPr>
          <w:rFonts w:ascii="Times New Roman" w:hAnsi="Times New Roman"/>
          <w:b/>
          <w:bCs/>
        </w:rPr>
      </w:pPr>
    </w:p>
    <w:p w14:paraId="5918E2BC" w14:textId="77777777" w:rsidR="000D3F76" w:rsidRDefault="000D3F76">
      <w:pPr>
        <w:adjustRightInd w:val="0"/>
        <w:snapToGrid w:val="0"/>
        <w:spacing w:line="360" w:lineRule="auto"/>
      </w:pPr>
    </w:p>
    <w:p w14:paraId="2ABF193E" w14:textId="77777777" w:rsidR="000D3F76" w:rsidRDefault="00000000">
      <w:pPr>
        <w:adjustRightInd w:val="0"/>
        <w:snapToGrid w:val="0"/>
        <w:spacing w:line="360" w:lineRule="auto"/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114300" distR="114300" wp14:anchorId="0417E940" wp14:editId="245BF725">
            <wp:extent cx="5273040" cy="3509645"/>
            <wp:effectExtent l="0" t="0" r="10160" b="20955"/>
            <wp:docPr id="4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09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383C4A" w14:textId="15479CEA" w:rsidR="000D3F76" w:rsidRDefault="00A06488">
      <w:pPr>
        <w:adjustRightInd w:val="0"/>
        <w:snapToGrid w:val="0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Supplement </w:t>
      </w:r>
      <w:r w:rsidR="00000000">
        <w:rPr>
          <w:rFonts w:ascii="Times New Roman" w:hAnsi="Times New Roman"/>
          <w:b/>
          <w:bCs/>
        </w:rPr>
        <w:t>Fig. 1</w:t>
      </w:r>
      <w:r>
        <w:rPr>
          <w:rFonts w:ascii="Times New Roman" w:hAnsi="Times New Roman"/>
          <w:b/>
          <w:bCs/>
        </w:rPr>
        <w:t>1</w:t>
      </w:r>
      <w:r w:rsidR="00000000">
        <w:rPr>
          <w:rFonts w:ascii="Times New Roman" w:hAnsi="Times New Roman"/>
          <w:b/>
          <w:bCs/>
          <w:color w:val="000000" w:themeColor="text1"/>
        </w:rPr>
        <w:t xml:space="preserve"> EPO</w:t>
      </w:r>
      <w:r w:rsidR="00000000">
        <w:rPr>
          <w:rFonts w:ascii="Times New Roman" w:hAnsi="Times New Roman"/>
          <w:b/>
          <w:bCs/>
          <w:color w:val="000000" w:themeColor="text1"/>
          <w:vertAlign w:val="superscript"/>
        </w:rPr>
        <w:t xml:space="preserve">-/- </w:t>
      </w:r>
      <w:r w:rsidR="00000000">
        <w:rPr>
          <w:rFonts w:ascii="Times New Roman" w:hAnsi="Times New Roman"/>
          <w:b/>
          <w:bCs/>
        </w:rPr>
        <w:t xml:space="preserve">mice reduced the EPO/VEGF-related pathway in the renal cortex. </w:t>
      </w:r>
      <w:r w:rsidR="00000000">
        <w:rPr>
          <w:rFonts w:ascii="Times New Roman" w:hAnsi="Times New Roman"/>
        </w:rPr>
        <w:t>(A)(B) Expression of EPO/VEGF pathway-related proteins in the kidney of EPO</w:t>
      </w:r>
      <w:r w:rsidR="00000000">
        <w:rPr>
          <w:rFonts w:ascii="Times New Roman" w:hAnsi="Times New Roman"/>
          <w:vertAlign w:val="superscript"/>
        </w:rPr>
        <w:t>-/-</w:t>
      </w:r>
      <w:r w:rsidR="00000000">
        <w:rPr>
          <w:rFonts w:ascii="Times New Roman" w:hAnsi="Times New Roman"/>
        </w:rPr>
        <w:t xml:space="preserve"> mice was significantly reduced. Values are expressed as </w:t>
      </w:r>
      <w:proofErr w:type="spellStart"/>
      <w:r w:rsidR="00000000">
        <w:rPr>
          <w:rFonts w:ascii="Times New Roman" w:hAnsi="Times New Roman"/>
          <w:i/>
        </w:rPr>
        <w:t>mean±SD</w:t>
      </w:r>
      <w:proofErr w:type="spellEnd"/>
      <w:r w:rsidR="00000000">
        <w:rPr>
          <w:rFonts w:ascii="Times New Roman" w:hAnsi="Times New Roman"/>
        </w:rPr>
        <w:t xml:space="preserve">, n=3. </w:t>
      </w:r>
      <w:r w:rsidR="00000000">
        <w:rPr>
          <w:rFonts w:ascii="Times New Roman" w:hAnsi="Times New Roman"/>
          <w:i/>
          <w:vertAlign w:val="superscript"/>
        </w:rPr>
        <w:t>#</w:t>
      </w:r>
      <w:r w:rsidR="00000000">
        <w:rPr>
          <w:rFonts w:ascii="Times New Roman" w:hAnsi="Times New Roman"/>
          <w:i/>
        </w:rPr>
        <w:t>P&lt;0.05</w:t>
      </w:r>
      <w:r w:rsidR="00000000">
        <w:rPr>
          <w:rFonts w:ascii="Times New Roman" w:hAnsi="Times New Roman"/>
        </w:rPr>
        <w:t xml:space="preserve"> compared with NC group. </w:t>
      </w:r>
    </w:p>
    <w:p w14:paraId="086D916B" w14:textId="77777777" w:rsidR="000D3F76" w:rsidRDefault="000D3F76"/>
    <w:sectPr w:rsidR="000D3F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Times New Roman (正文 CS 字体)">
    <w:altName w:val="Times"/>
    <w:panose1 w:val="020B0604020202020204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BFD1524"/>
    <w:rsid w:val="000D3F76"/>
    <w:rsid w:val="00A06488"/>
    <w:rsid w:val="2BFD1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5010B16"/>
  <w15:docId w15:val="{A7D5143E-E995-0346-A794-D92044FEB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qFormat="1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浅色1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3">
    <w:name w:val="Placeholder Text"/>
    <w:basedOn w:val="a0"/>
    <w:uiPriority w:val="99"/>
    <w:semiHidden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{8fbb42c8-0e71-4d5d-a579-c4b86840be35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FBB42C8-0E71-4D5D-A579-C4B86840BE35}"/>
      </w:docPartPr>
      <w:docPartBody>
        <w:p w:rsidR="005506B7" w:rsidRDefault="00000000">
          <w:r>
            <w:rPr>
              <w:rStyle w:val="a3"/>
            </w:rPr>
            <w:t>单击或点击此处输入文字。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Times New Roman (正文 CS 字体)">
    <w:altName w:val="Times"/>
    <w:panose1 w:val="020B0604020202020204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bordersDoNotSurroundHeader/>
  <w:bordersDoNotSurroundFooter/>
  <w:defaultTabStop w:val="420"/>
  <w:characterSpacingControl w:val="doNotCompress"/>
  <w:compat>
    <w:useFELayout/>
    <w:splitPgBreakAndParaMark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506B7"/>
    <w:rsid w:val="005506B7"/>
    <w:rsid w:val="00E2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呵呵哒</dc:creator>
  <cp:lastModifiedBy>胥 骁刚</cp:lastModifiedBy>
  <cp:revision>2</cp:revision>
  <dcterms:created xsi:type="dcterms:W3CDTF">2022-08-05T14:45:00Z</dcterms:created>
  <dcterms:modified xsi:type="dcterms:W3CDTF">2022-08-18T02:21:00Z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2052-4.5.0.7405</vt:lpwstr>
  </property>
  <property fmtid="{D5CDD505-2E9C-101B-9397-08002B2CF9AE}" pid="3" name="ICV">
    <vt:lpwstr>715B2887471AABD98ABCEC62059F924D</vt:lpwstr>
  </property>
</Properties>
</file>