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Supplementary Table 1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Statistical description of the disease initial diagnosis and disease visits between 2018-2021.</w:t>
      </w:r>
    </w:p>
    <w:tbl>
      <w:tblPr>
        <w:tblStyle w:val="6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8"/>
        <w:gridCol w:w="2107"/>
        <w:gridCol w:w="989"/>
        <w:gridCol w:w="989"/>
        <w:gridCol w:w="989"/>
        <w:gridCol w:w="990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5" w:type="dxa"/>
            <w:gridSpan w:val="2"/>
            <w:tcBorders>
              <w:bottom w:val="single" w:color="auto" w:sz="8" w:space="0"/>
            </w:tcBorders>
          </w:tcPr>
          <w:p>
            <w:pPr>
              <w:keepNext w:val="0"/>
              <w:keepLines w:val="0"/>
              <w:suppressLineNumbers w:val="0"/>
              <w:tabs>
                <w:tab w:val="left" w:pos="6130"/>
              </w:tabs>
              <w:bidi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Variables</w:t>
            </w:r>
          </w:p>
        </w:tc>
        <w:tc>
          <w:tcPr>
            <w:tcW w:w="989" w:type="dxa"/>
            <w:tcBorders>
              <w:bottom w:val="single" w:color="auto" w:sz="8" w:space="0"/>
            </w:tcBorders>
          </w:tcPr>
          <w:p>
            <w:pPr>
              <w:keepNext w:val="0"/>
              <w:keepLines w:val="0"/>
              <w:suppressLineNumbers w:val="0"/>
              <w:tabs>
                <w:tab w:val="left" w:pos="6130"/>
              </w:tabs>
              <w:bidi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2018</w:t>
            </w:r>
          </w:p>
        </w:tc>
        <w:tc>
          <w:tcPr>
            <w:tcW w:w="989" w:type="dxa"/>
            <w:tcBorders>
              <w:bottom w:val="single" w:color="auto" w:sz="8" w:space="0"/>
            </w:tcBorders>
          </w:tcPr>
          <w:p>
            <w:pPr>
              <w:keepNext w:val="0"/>
              <w:keepLines w:val="0"/>
              <w:suppressLineNumbers w:val="0"/>
              <w:tabs>
                <w:tab w:val="left" w:pos="6130"/>
              </w:tabs>
              <w:bidi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2019</w:t>
            </w:r>
          </w:p>
        </w:tc>
        <w:tc>
          <w:tcPr>
            <w:tcW w:w="989" w:type="dxa"/>
            <w:tcBorders>
              <w:bottom w:val="single" w:color="auto" w:sz="8" w:space="0"/>
            </w:tcBorders>
          </w:tcPr>
          <w:p>
            <w:pPr>
              <w:keepNext w:val="0"/>
              <w:keepLines w:val="0"/>
              <w:suppressLineNumbers w:val="0"/>
              <w:tabs>
                <w:tab w:val="left" w:pos="6130"/>
              </w:tabs>
              <w:bidi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2020</w:t>
            </w:r>
          </w:p>
        </w:tc>
        <w:tc>
          <w:tcPr>
            <w:tcW w:w="990" w:type="dxa"/>
            <w:tcBorders>
              <w:bottom w:val="single" w:color="auto" w:sz="8" w:space="0"/>
            </w:tcBorders>
          </w:tcPr>
          <w:p>
            <w:pPr>
              <w:keepNext w:val="0"/>
              <w:keepLines w:val="0"/>
              <w:suppressLineNumbers w:val="0"/>
              <w:tabs>
                <w:tab w:val="left" w:pos="6130"/>
              </w:tabs>
              <w:bidi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2021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8" w:type="dxa"/>
            <w:tcBorders>
              <w:top w:val="single" w:color="auto" w:sz="8" w:space="0"/>
            </w:tcBorders>
          </w:tcPr>
          <w:p>
            <w:pPr>
              <w:keepNext w:val="0"/>
              <w:keepLines w:val="0"/>
              <w:suppressLineNumbers w:val="0"/>
              <w:tabs>
                <w:tab w:val="left" w:pos="6130"/>
              </w:tabs>
              <w:bidi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Disease first diagnosis, n</w:t>
            </w:r>
          </w:p>
        </w:tc>
        <w:tc>
          <w:tcPr>
            <w:tcW w:w="2107" w:type="dxa"/>
            <w:tcBorders>
              <w:top w:val="single" w:color="auto" w:sz="8" w:space="0"/>
            </w:tcBorders>
          </w:tcPr>
          <w:p>
            <w:pPr>
              <w:keepNext w:val="0"/>
              <w:keepLines w:val="0"/>
              <w:suppressLineNumbers w:val="0"/>
              <w:tabs>
                <w:tab w:val="left" w:pos="6130"/>
              </w:tabs>
              <w:bidi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89" w:type="dxa"/>
            <w:tcBorders>
              <w:top w:val="single" w:color="auto" w:sz="8" w:space="0"/>
            </w:tcBorders>
          </w:tcPr>
          <w:p>
            <w:pPr>
              <w:keepNext w:val="0"/>
              <w:keepLines w:val="0"/>
              <w:suppressLineNumbers w:val="0"/>
              <w:tabs>
                <w:tab w:val="left" w:pos="6130"/>
              </w:tabs>
              <w:bidi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89" w:type="dxa"/>
            <w:tcBorders>
              <w:top w:val="single" w:color="auto" w:sz="8" w:space="0"/>
            </w:tcBorders>
          </w:tcPr>
          <w:p>
            <w:pPr>
              <w:keepNext w:val="0"/>
              <w:keepLines w:val="0"/>
              <w:suppressLineNumbers w:val="0"/>
              <w:tabs>
                <w:tab w:val="left" w:pos="6130"/>
              </w:tabs>
              <w:bidi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89" w:type="dxa"/>
            <w:tcBorders>
              <w:top w:val="single" w:color="auto" w:sz="8" w:space="0"/>
            </w:tcBorders>
          </w:tcPr>
          <w:p>
            <w:pPr>
              <w:keepNext w:val="0"/>
              <w:keepLines w:val="0"/>
              <w:suppressLineNumbers w:val="0"/>
              <w:tabs>
                <w:tab w:val="left" w:pos="6130"/>
              </w:tabs>
              <w:bidi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tcBorders>
              <w:top w:val="single" w:color="auto" w:sz="8" w:space="0"/>
            </w:tcBorders>
          </w:tcPr>
          <w:p>
            <w:pPr>
              <w:keepNext w:val="0"/>
              <w:keepLines w:val="0"/>
              <w:suppressLineNumbers w:val="0"/>
              <w:tabs>
                <w:tab w:val="left" w:pos="6130"/>
              </w:tabs>
              <w:bidi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8" w:type="dxa"/>
          </w:tcPr>
          <w:p>
            <w:pPr>
              <w:keepNext w:val="0"/>
              <w:keepLines w:val="0"/>
              <w:suppressLineNumbers w:val="0"/>
              <w:tabs>
                <w:tab w:val="left" w:pos="6130"/>
              </w:tabs>
              <w:bidi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107" w:type="dxa"/>
            <w:vAlign w:val="top"/>
          </w:tcPr>
          <w:p>
            <w:pPr>
              <w:keepNext w:val="0"/>
              <w:keepLines w:val="0"/>
              <w:suppressLineNumbers w:val="0"/>
              <w:tabs>
                <w:tab w:val="left" w:pos="6130"/>
              </w:tabs>
              <w:bidi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Anxiety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2317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2442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2442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8" w:type="dxa"/>
          </w:tcPr>
          <w:p>
            <w:pPr>
              <w:keepNext w:val="0"/>
              <w:keepLines w:val="0"/>
              <w:suppressLineNumbers w:val="0"/>
              <w:tabs>
                <w:tab w:val="left" w:pos="6130"/>
              </w:tabs>
              <w:bidi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107" w:type="dxa"/>
            <w:vAlign w:val="top"/>
          </w:tcPr>
          <w:p>
            <w:pPr>
              <w:keepNext w:val="0"/>
              <w:keepLines w:val="0"/>
              <w:suppressLineNumbers w:val="0"/>
              <w:tabs>
                <w:tab w:val="left" w:pos="6130"/>
              </w:tabs>
              <w:bidi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Depression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2562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3315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3426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4289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8" w:type="dxa"/>
          </w:tcPr>
          <w:p>
            <w:pPr>
              <w:keepNext w:val="0"/>
              <w:keepLines w:val="0"/>
              <w:suppressLineNumbers w:val="0"/>
              <w:tabs>
                <w:tab w:val="left" w:pos="6130"/>
              </w:tabs>
              <w:bidi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107" w:type="dxa"/>
            <w:vAlign w:val="top"/>
          </w:tcPr>
          <w:p>
            <w:pPr>
              <w:keepNext w:val="0"/>
              <w:keepLines w:val="0"/>
              <w:suppressLineNumbers w:val="0"/>
              <w:tabs>
                <w:tab w:val="left" w:pos="6130"/>
              </w:tabs>
              <w:bidi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Sleep 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isorders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3519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3469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4913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8" w:type="dxa"/>
          </w:tcPr>
          <w:p>
            <w:pPr>
              <w:keepNext w:val="0"/>
              <w:keepLines w:val="0"/>
              <w:suppressLineNumbers w:val="0"/>
              <w:tabs>
                <w:tab w:val="left" w:pos="6130"/>
              </w:tabs>
              <w:bidi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107" w:type="dxa"/>
            <w:vAlign w:val="top"/>
          </w:tcPr>
          <w:p>
            <w:pPr>
              <w:keepNext w:val="0"/>
              <w:keepLines w:val="0"/>
              <w:suppressLineNumbers w:val="0"/>
              <w:tabs>
                <w:tab w:val="left" w:pos="6130"/>
              </w:tabs>
              <w:bidi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Stress 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isorders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8" w:type="dxa"/>
          </w:tcPr>
          <w:p>
            <w:pPr>
              <w:keepNext w:val="0"/>
              <w:keepLines w:val="0"/>
              <w:suppressLineNumbers w:val="0"/>
              <w:tabs>
                <w:tab w:val="left" w:pos="6130"/>
              </w:tabs>
              <w:bidi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107" w:type="dxa"/>
            <w:vAlign w:val="top"/>
          </w:tcPr>
          <w:p>
            <w:pPr>
              <w:keepNext w:val="0"/>
              <w:keepLines w:val="0"/>
              <w:suppressLineNumbers w:val="0"/>
              <w:tabs>
                <w:tab w:val="left" w:pos="6130"/>
              </w:tabs>
              <w:bidi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Eating-</w:t>
            </w: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  <w:t>Excretion Disorders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8" w:type="dxa"/>
          </w:tcPr>
          <w:p>
            <w:pPr>
              <w:keepNext w:val="0"/>
              <w:keepLines w:val="0"/>
              <w:suppressLineNumbers w:val="0"/>
              <w:tabs>
                <w:tab w:val="left" w:pos="6130"/>
              </w:tabs>
              <w:bidi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Disease visits, n</w:t>
            </w:r>
          </w:p>
        </w:tc>
        <w:tc>
          <w:tcPr>
            <w:tcW w:w="2107" w:type="dxa"/>
          </w:tcPr>
          <w:p>
            <w:pPr>
              <w:keepNext w:val="0"/>
              <w:keepLines w:val="0"/>
              <w:suppressLineNumbers w:val="0"/>
              <w:tabs>
                <w:tab w:val="left" w:pos="6130"/>
              </w:tabs>
              <w:bidi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89" w:type="dxa"/>
          </w:tcPr>
          <w:p>
            <w:pPr>
              <w:keepNext w:val="0"/>
              <w:keepLines w:val="0"/>
              <w:suppressLineNumbers w:val="0"/>
              <w:tabs>
                <w:tab w:val="left" w:pos="6130"/>
              </w:tabs>
              <w:bidi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89" w:type="dxa"/>
          </w:tcPr>
          <w:p>
            <w:pPr>
              <w:keepNext w:val="0"/>
              <w:keepLines w:val="0"/>
              <w:suppressLineNumbers w:val="0"/>
              <w:tabs>
                <w:tab w:val="left" w:pos="6130"/>
              </w:tabs>
              <w:bidi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89" w:type="dxa"/>
          </w:tcPr>
          <w:p>
            <w:pPr>
              <w:keepNext w:val="0"/>
              <w:keepLines w:val="0"/>
              <w:suppressLineNumbers w:val="0"/>
              <w:tabs>
                <w:tab w:val="left" w:pos="6130"/>
              </w:tabs>
              <w:bidi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90" w:type="dxa"/>
          </w:tcPr>
          <w:p>
            <w:pPr>
              <w:keepNext w:val="0"/>
              <w:keepLines w:val="0"/>
              <w:suppressLineNumbers w:val="0"/>
              <w:tabs>
                <w:tab w:val="left" w:pos="6130"/>
              </w:tabs>
              <w:bidi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8" w:type="dxa"/>
          </w:tcPr>
          <w:p>
            <w:pPr>
              <w:keepNext w:val="0"/>
              <w:keepLines w:val="0"/>
              <w:suppressLineNumbers w:val="0"/>
              <w:tabs>
                <w:tab w:val="left" w:pos="6130"/>
              </w:tabs>
              <w:bidi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107" w:type="dxa"/>
            <w:vAlign w:val="top"/>
          </w:tcPr>
          <w:p>
            <w:pPr>
              <w:keepNext w:val="0"/>
              <w:keepLines w:val="0"/>
              <w:suppressLineNumbers w:val="0"/>
              <w:tabs>
                <w:tab w:val="left" w:pos="6130"/>
              </w:tabs>
              <w:bidi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Anxiety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7413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8698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8562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9503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8" w:type="dxa"/>
          </w:tcPr>
          <w:p>
            <w:pPr>
              <w:keepNext w:val="0"/>
              <w:keepLines w:val="0"/>
              <w:suppressLineNumbers w:val="0"/>
              <w:tabs>
                <w:tab w:val="left" w:pos="6130"/>
              </w:tabs>
              <w:bidi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107" w:type="dxa"/>
            <w:vAlign w:val="top"/>
          </w:tcPr>
          <w:p>
            <w:pPr>
              <w:keepNext w:val="0"/>
              <w:keepLines w:val="0"/>
              <w:suppressLineNumbers w:val="0"/>
              <w:tabs>
                <w:tab w:val="left" w:pos="6130"/>
              </w:tabs>
              <w:bidi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Depression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7740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10423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11028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13711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8" w:type="dxa"/>
          </w:tcPr>
          <w:p>
            <w:pPr>
              <w:keepNext w:val="0"/>
              <w:keepLines w:val="0"/>
              <w:suppressLineNumbers w:val="0"/>
              <w:tabs>
                <w:tab w:val="left" w:pos="6130"/>
              </w:tabs>
              <w:bidi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107" w:type="dxa"/>
            <w:vAlign w:val="top"/>
          </w:tcPr>
          <w:p>
            <w:pPr>
              <w:keepNext w:val="0"/>
              <w:keepLines w:val="0"/>
              <w:suppressLineNumbers w:val="0"/>
              <w:tabs>
                <w:tab w:val="left" w:pos="6130"/>
              </w:tabs>
              <w:bidi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Sleep 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isorders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8995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10131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10425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12473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8" w:type="dxa"/>
          </w:tcPr>
          <w:p>
            <w:pPr>
              <w:keepNext w:val="0"/>
              <w:keepLines w:val="0"/>
              <w:suppressLineNumbers w:val="0"/>
              <w:tabs>
                <w:tab w:val="left" w:pos="6130"/>
              </w:tabs>
              <w:bidi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107" w:type="dxa"/>
            <w:vAlign w:val="top"/>
          </w:tcPr>
          <w:p>
            <w:pPr>
              <w:keepNext w:val="0"/>
              <w:keepLines w:val="0"/>
              <w:suppressLineNumbers w:val="0"/>
              <w:tabs>
                <w:tab w:val="left" w:pos="6130"/>
              </w:tabs>
              <w:bidi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Stress </w:t>
            </w: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isorders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551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688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8" w:type="dxa"/>
          </w:tcPr>
          <w:p>
            <w:pPr>
              <w:keepNext w:val="0"/>
              <w:keepLines w:val="0"/>
              <w:suppressLineNumbers w:val="0"/>
              <w:tabs>
                <w:tab w:val="left" w:pos="6130"/>
              </w:tabs>
              <w:bidi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107" w:type="dxa"/>
            <w:vAlign w:val="top"/>
          </w:tcPr>
          <w:p>
            <w:pPr>
              <w:keepNext w:val="0"/>
              <w:keepLines w:val="0"/>
              <w:suppressLineNumbers w:val="0"/>
              <w:tabs>
                <w:tab w:val="left" w:pos="6130"/>
              </w:tabs>
              <w:bidi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Eating-</w:t>
            </w: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  <w:t>Excretion Disorders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8" w:type="dxa"/>
          </w:tcPr>
          <w:p>
            <w:pPr>
              <w:keepNext w:val="0"/>
              <w:keepLines w:val="0"/>
              <w:suppressLineNumbers w:val="0"/>
              <w:tabs>
                <w:tab w:val="left" w:pos="6130"/>
              </w:tabs>
              <w:bidi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107" w:type="dxa"/>
            <w:vAlign w:val="top"/>
          </w:tcPr>
          <w:p>
            <w:pPr>
              <w:keepNext w:val="0"/>
              <w:keepLines w:val="0"/>
              <w:suppressLineNumbers w:val="0"/>
              <w:tabs>
                <w:tab w:val="left" w:pos="6130"/>
              </w:tabs>
              <w:bidi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all mental and psychological diseases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250154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259585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240520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264670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Supplementary Table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2a.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Comparison of the initial diagnosis of anxiety patients of different ages and genders between pre-epidemic group and dur-epidemic group.</w:t>
      </w:r>
    </w:p>
    <w:tbl>
      <w:tblPr>
        <w:tblStyle w:val="6"/>
        <w:tblpPr w:leftFromText="180" w:rightFromText="180" w:vertAnchor="text" w:horzAnchor="page" w:tblpX="1904" w:tblpY="162"/>
        <w:tblOverlap w:val="never"/>
        <w:tblW w:w="0" w:type="auto"/>
        <w:tblInd w:w="0" w:type="dxa"/>
        <w:tblBorders>
          <w:top w:val="single" w:color="auto" w:sz="6" w:space="0"/>
          <w:left w:val="none" w:color="auto" w:sz="0" w:space="0"/>
          <w:bottom w:val="single" w:color="auto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5"/>
        <w:gridCol w:w="2212"/>
        <w:gridCol w:w="2206"/>
        <w:gridCol w:w="1751"/>
      </w:tblGrid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175" w:type="dxa"/>
            <w:tcBorders>
              <w:bottom w:val="single" w:color="auto" w:sz="8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Anxiety</w:t>
            </w:r>
          </w:p>
        </w:tc>
        <w:tc>
          <w:tcPr>
            <w:tcW w:w="2212" w:type="dxa"/>
            <w:tcBorders>
              <w:bottom w:val="single" w:color="auto" w:sz="8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Pre-epidemic</w:t>
            </w:r>
          </w:p>
        </w:tc>
        <w:tc>
          <w:tcPr>
            <w:tcW w:w="2206" w:type="dxa"/>
            <w:tcBorders>
              <w:bottom w:val="single" w:color="auto" w:sz="8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Post-epidemic</w:t>
            </w:r>
          </w:p>
        </w:tc>
        <w:tc>
          <w:tcPr>
            <w:tcW w:w="1751" w:type="dxa"/>
            <w:tcBorders>
              <w:bottom w:val="single" w:color="auto" w:sz="8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P value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175" w:type="dxa"/>
            <w:tcBorders>
              <w:top w:val="single" w:color="auto" w:sz="8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Gender, male,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n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%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2212" w:type="dxa"/>
            <w:tcBorders>
              <w:top w:val="single" w:color="auto" w:sz="8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1527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33.46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2206" w:type="dxa"/>
            <w:tcBorders>
              <w:top w:val="single" w:color="auto" w:sz="8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1805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34.18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1751" w:type="dxa"/>
            <w:tcBorders>
              <w:top w:val="single" w:color="auto" w:sz="8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  <w:t>0.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455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Age,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n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%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221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</w:p>
        </w:tc>
        <w:tc>
          <w:tcPr>
            <w:tcW w:w="220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</w:p>
        </w:tc>
        <w:tc>
          <w:tcPr>
            <w:tcW w:w="175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&lt;0.0001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  &lt;18 </w:t>
            </w:r>
          </w:p>
        </w:tc>
        <w:tc>
          <w:tcPr>
            <w:tcW w:w="221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227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3.01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220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477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9.03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175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20" w:firstLineChars="100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18-44</w:t>
            </w:r>
          </w:p>
        </w:tc>
        <w:tc>
          <w:tcPr>
            <w:tcW w:w="221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1698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34.68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220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1737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32.89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175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20" w:firstLineChars="100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45-64</w:t>
            </w:r>
          </w:p>
        </w:tc>
        <w:tc>
          <w:tcPr>
            <w:tcW w:w="221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1983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45.39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220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2178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41.24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175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20" w:firstLineChars="100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&gt;=65</w:t>
            </w:r>
          </w:p>
        </w:tc>
        <w:tc>
          <w:tcPr>
            <w:tcW w:w="221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655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16.92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220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889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16.83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175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</w:p>
        </w:tc>
      </w:tr>
    </w:tbl>
    <w:p>
      <w:pPr>
        <w:pStyle w:val="4"/>
        <w:rPr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Notes: F</w:t>
      </w:r>
      <w:r>
        <w:rPr>
          <w:rFonts w:ascii="Times New Roman" w:hAnsi="Times New Roman" w:cs="Times New Roman"/>
          <w:sz w:val="21"/>
          <w:szCs w:val="21"/>
        </w:rPr>
        <w:t xml:space="preserve">requencies (percentages) were used to describe categorical variables. Categorical variables were compared using the χ2 test and the Wilcoxon test. 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t>Supplementary Table 2a. showed that although there were statistical differences in age groups between two groups, the patients diagnosed with anxiety were mainly middle-aged women.</w:t>
      </w: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Supplementary Table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b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Comparison of the initial diagnosis of depression patients of different ages and genders between pre-epidemic group and dur-epidemic group.</w:t>
      </w:r>
    </w:p>
    <w:tbl>
      <w:tblPr>
        <w:tblStyle w:val="6"/>
        <w:tblpPr w:leftFromText="180" w:rightFromText="180" w:vertAnchor="text" w:horzAnchor="page" w:tblpX="1919" w:tblpY="85"/>
        <w:tblOverlap w:val="never"/>
        <w:tblW w:w="0" w:type="auto"/>
        <w:tblInd w:w="0" w:type="dxa"/>
        <w:tblBorders>
          <w:top w:val="single" w:color="auto" w:sz="6" w:space="0"/>
          <w:left w:val="none" w:color="auto" w:sz="0" w:space="0"/>
          <w:bottom w:val="single" w:color="auto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5"/>
        <w:gridCol w:w="2209"/>
        <w:gridCol w:w="2209"/>
        <w:gridCol w:w="1751"/>
      </w:tblGrid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175" w:type="dxa"/>
            <w:tcBorders>
              <w:bottom w:val="single" w:color="auto" w:sz="8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Depression</w:t>
            </w:r>
          </w:p>
        </w:tc>
        <w:tc>
          <w:tcPr>
            <w:tcW w:w="2209" w:type="dxa"/>
            <w:tcBorders>
              <w:bottom w:val="single" w:color="auto" w:sz="8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Pre-epidemic</w:t>
            </w:r>
          </w:p>
        </w:tc>
        <w:tc>
          <w:tcPr>
            <w:tcW w:w="2209" w:type="dxa"/>
            <w:tcBorders>
              <w:bottom w:val="single" w:color="auto" w:sz="8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Post-epidemic</w:t>
            </w:r>
          </w:p>
        </w:tc>
        <w:tc>
          <w:tcPr>
            <w:tcW w:w="1751" w:type="dxa"/>
            <w:tcBorders>
              <w:bottom w:val="single" w:color="auto" w:sz="8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P value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175" w:type="dxa"/>
            <w:tcBorders>
              <w:top w:val="single" w:color="auto" w:sz="8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Gender, male,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n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%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2209" w:type="dxa"/>
            <w:tcBorders>
              <w:top w:val="single" w:color="auto" w:sz="8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1952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35.20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2209" w:type="dxa"/>
            <w:tcBorders>
              <w:top w:val="single" w:color="auto" w:sz="8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2657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33.02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1751" w:type="dxa"/>
            <w:tcBorders>
              <w:top w:val="single" w:color="auto" w:sz="8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  <w:t>0.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008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Age,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n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%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220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</w:p>
        </w:tc>
        <w:tc>
          <w:tcPr>
            <w:tcW w:w="220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</w:p>
        </w:tc>
        <w:tc>
          <w:tcPr>
            <w:tcW w:w="175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&lt;0.0001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  &lt;18</w:t>
            </w:r>
          </w:p>
        </w:tc>
        <w:tc>
          <w:tcPr>
            <w:tcW w:w="220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1124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20.27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220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2334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29.00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175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20" w:firstLineChars="100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18-44</w:t>
            </w:r>
          </w:p>
        </w:tc>
        <w:tc>
          <w:tcPr>
            <w:tcW w:w="220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2664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48.05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220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3594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44.66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175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20" w:firstLineChars="100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45-64</w:t>
            </w:r>
          </w:p>
        </w:tc>
        <w:tc>
          <w:tcPr>
            <w:tcW w:w="220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1290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23.26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220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1480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18.40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175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20" w:firstLineChars="100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&gt;=65</w:t>
            </w:r>
          </w:p>
        </w:tc>
        <w:tc>
          <w:tcPr>
            <w:tcW w:w="220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467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8.42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220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639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7.94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175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</w:p>
        </w:tc>
      </w:tr>
    </w:tbl>
    <w:p>
      <w:pPr>
        <w:pStyle w:val="4"/>
        <w:rPr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Notes: F</w:t>
      </w:r>
      <w:r>
        <w:rPr>
          <w:rFonts w:ascii="Times New Roman" w:hAnsi="Times New Roman" w:cs="Times New Roman"/>
          <w:sz w:val="21"/>
          <w:szCs w:val="21"/>
        </w:rPr>
        <w:t xml:space="preserve">requencies (percentages) were used to describe categorical variables. Categorical variables were compared using the χ2 test and the Wilcoxon test. 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t>Supplementary Table 2b. showed that the epidemic affected the gender and age distribution of depression patients (P&lt;0.05), which showed that the proportion of women and minors increased after the outbreak.</w:t>
      </w: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Supplementary Table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Comparison of the initial diagnosis of sleep disorders patients of different ages and genders between pre-epidemic group and dur-epidemic group.</w:t>
      </w:r>
    </w:p>
    <w:tbl>
      <w:tblPr>
        <w:tblStyle w:val="6"/>
        <w:tblpPr w:leftFromText="180" w:rightFromText="180" w:vertAnchor="text" w:horzAnchor="page" w:tblpX="1919" w:tblpY="85"/>
        <w:tblOverlap w:val="never"/>
        <w:tblW w:w="0" w:type="auto"/>
        <w:tblInd w:w="0" w:type="dxa"/>
        <w:tblBorders>
          <w:top w:val="single" w:color="auto" w:sz="6" w:space="0"/>
          <w:left w:val="none" w:color="auto" w:sz="0" w:space="0"/>
          <w:bottom w:val="single" w:color="auto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2"/>
        <w:gridCol w:w="2190"/>
        <w:gridCol w:w="2221"/>
        <w:gridCol w:w="1751"/>
      </w:tblGrid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182" w:type="dxa"/>
            <w:tcBorders>
              <w:bottom w:val="single" w:color="auto" w:sz="8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Sleep disorders</w:t>
            </w:r>
          </w:p>
        </w:tc>
        <w:tc>
          <w:tcPr>
            <w:tcW w:w="2190" w:type="dxa"/>
            <w:tcBorders>
              <w:bottom w:val="single" w:color="auto" w:sz="8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Pre-epidemic</w:t>
            </w:r>
          </w:p>
        </w:tc>
        <w:tc>
          <w:tcPr>
            <w:tcW w:w="2221" w:type="dxa"/>
            <w:tcBorders>
              <w:bottom w:val="single" w:color="auto" w:sz="8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Post-epidemic</w:t>
            </w:r>
          </w:p>
        </w:tc>
        <w:tc>
          <w:tcPr>
            <w:tcW w:w="1751" w:type="dxa"/>
            <w:tcBorders>
              <w:bottom w:val="single" w:color="auto" w:sz="8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P value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182" w:type="dxa"/>
            <w:tcBorders>
              <w:top w:val="single" w:color="auto" w:sz="8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Gender, male,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n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%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2190" w:type="dxa"/>
            <w:tcBorders>
              <w:top w:val="single" w:color="auto" w:sz="8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2369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36.19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2221" w:type="dxa"/>
            <w:tcBorders>
              <w:top w:val="single" w:color="auto" w:sz="8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3430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35.71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1751" w:type="dxa"/>
            <w:tcBorders>
              <w:top w:val="single" w:color="auto" w:sz="8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  <w:t>0.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533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18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Age,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n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%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219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</w:p>
        </w:tc>
        <w:tc>
          <w:tcPr>
            <w:tcW w:w="222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</w:p>
        </w:tc>
        <w:tc>
          <w:tcPr>
            <w:tcW w:w="175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&lt;0.0001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18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  &lt;18</w:t>
            </w:r>
          </w:p>
        </w:tc>
        <w:tc>
          <w:tcPr>
            <w:tcW w:w="219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154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2.30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222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396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4.12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175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18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20" w:firstLineChars="100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18-44</w:t>
            </w:r>
          </w:p>
        </w:tc>
        <w:tc>
          <w:tcPr>
            <w:tcW w:w="219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2156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32.22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222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3540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36.85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175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18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20" w:firstLineChars="100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45-64</w:t>
            </w:r>
          </w:p>
        </w:tc>
        <w:tc>
          <w:tcPr>
            <w:tcW w:w="219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3169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47.36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222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4355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45.34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175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18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20" w:firstLineChars="100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&gt;=65</w:t>
            </w:r>
          </w:p>
        </w:tc>
        <w:tc>
          <w:tcPr>
            <w:tcW w:w="219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1212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18.12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222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1315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13.69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175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</w:p>
        </w:tc>
      </w:tr>
    </w:tbl>
    <w:p>
      <w:pPr>
        <w:pStyle w:val="4"/>
        <w:rPr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Notes: F</w:t>
      </w:r>
      <w:r>
        <w:rPr>
          <w:rFonts w:ascii="Times New Roman" w:hAnsi="Times New Roman" w:cs="Times New Roman"/>
          <w:sz w:val="21"/>
          <w:szCs w:val="21"/>
        </w:rPr>
        <w:t xml:space="preserve">requencies (percentages) were used to describe categorical variables. Categorical variables were compared using the χ2 test and the Wilcoxon test. 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t>Supplementary Table 2c. showed that although there were statistical differences in age groups between two groups, the patients diagnosed with sleep disorders were mainly middle-aged women.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Supplementary Table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d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Comparison of the initial diagnosis of stress disorders patients of different ages and genders between pre-epidemic group and dur-epidemic group.</w:t>
      </w:r>
    </w:p>
    <w:tbl>
      <w:tblPr>
        <w:tblStyle w:val="6"/>
        <w:tblpPr w:leftFromText="180" w:rightFromText="180" w:vertAnchor="text" w:horzAnchor="page" w:tblpX="1919" w:tblpY="85"/>
        <w:tblOverlap w:val="never"/>
        <w:tblW w:w="0" w:type="auto"/>
        <w:tblInd w:w="0" w:type="dxa"/>
        <w:tblBorders>
          <w:top w:val="single" w:color="auto" w:sz="6" w:space="0"/>
          <w:left w:val="none" w:color="auto" w:sz="0" w:space="0"/>
          <w:bottom w:val="single" w:color="auto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0"/>
        <w:gridCol w:w="2175"/>
        <w:gridCol w:w="2228"/>
        <w:gridCol w:w="1751"/>
      </w:tblGrid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2190" w:type="dxa"/>
            <w:tcBorders>
              <w:bottom w:val="single" w:color="auto" w:sz="8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Stress disorders</w:t>
            </w:r>
          </w:p>
        </w:tc>
        <w:tc>
          <w:tcPr>
            <w:tcW w:w="2175" w:type="dxa"/>
            <w:tcBorders>
              <w:bottom w:val="single" w:color="auto" w:sz="8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Pre-epidemic</w:t>
            </w:r>
          </w:p>
        </w:tc>
        <w:tc>
          <w:tcPr>
            <w:tcW w:w="2228" w:type="dxa"/>
            <w:tcBorders>
              <w:bottom w:val="single" w:color="auto" w:sz="8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Post-epidemic</w:t>
            </w:r>
          </w:p>
        </w:tc>
        <w:tc>
          <w:tcPr>
            <w:tcW w:w="1751" w:type="dxa"/>
            <w:tcBorders>
              <w:bottom w:val="single" w:color="auto" w:sz="8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P value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190" w:type="dxa"/>
            <w:tcBorders>
              <w:top w:val="single" w:color="auto" w:sz="8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Gender, male,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n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%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2175" w:type="dxa"/>
            <w:tcBorders>
              <w:top w:val="single" w:color="auto" w:sz="8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217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42.47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2228" w:type="dxa"/>
            <w:tcBorders>
              <w:top w:val="single" w:color="auto" w:sz="8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269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36.70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1751" w:type="dxa"/>
            <w:tcBorders>
              <w:top w:val="single" w:color="auto" w:sz="8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  <w:t>0.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040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19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Age,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n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%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</w:p>
        </w:tc>
        <w:tc>
          <w:tcPr>
            <w:tcW w:w="222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</w:p>
        </w:tc>
        <w:tc>
          <w:tcPr>
            <w:tcW w:w="175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0.163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19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  &lt;18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270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52.84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222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434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59.21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175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19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20" w:firstLineChars="100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18-44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146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28.57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222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185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25.24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175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19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20" w:firstLineChars="100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45-64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73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14.29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222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89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12.14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175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19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20" w:firstLineChars="100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&gt;=65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22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4.30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222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25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3.41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175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</w:p>
        </w:tc>
      </w:tr>
    </w:tbl>
    <w:p>
      <w:pPr>
        <w:pStyle w:val="4"/>
        <w:rPr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Notes: F</w:t>
      </w:r>
      <w:r>
        <w:rPr>
          <w:rFonts w:ascii="Times New Roman" w:hAnsi="Times New Roman" w:cs="Times New Roman"/>
          <w:sz w:val="21"/>
          <w:szCs w:val="21"/>
        </w:rPr>
        <w:t xml:space="preserve">requencies (percentages) were used to describe categorical variables. Categorical variables were compared using the χ2 test and the Wilcoxon test. 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t>Supplementary Table 2d. indicated that the patients diagnosed with stress disorders after the epidemic were mainly female (P&lt;0.05).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Supplementary Table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e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Comparison of the</w:t>
      </w:r>
      <w:bookmarkStart w:id="0" w:name="OLE_LINK3"/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</w:t>
      </w:r>
      <w:bookmarkStart w:id="1" w:name="OLE_LINK2"/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initial</w:t>
      </w:r>
      <w:bookmarkEnd w:id="0"/>
      <w:bookmarkEnd w:id="1"/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diagnosis of eating and excretion disorders patients of different ages and genders between pre-epidemic group and dur-epidemic group.</w:t>
      </w:r>
    </w:p>
    <w:tbl>
      <w:tblPr>
        <w:tblStyle w:val="6"/>
        <w:tblpPr w:leftFromText="180" w:rightFromText="180" w:vertAnchor="text" w:horzAnchor="page" w:tblpX="1919" w:tblpY="85"/>
        <w:tblOverlap w:val="never"/>
        <w:tblW w:w="0" w:type="auto"/>
        <w:tblInd w:w="0" w:type="dxa"/>
        <w:tblBorders>
          <w:top w:val="single" w:color="auto" w:sz="6" w:space="0"/>
          <w:left w:val="none" w:color="auto" w:sz="0" w:space="0"/>
          <w:bottom w:val="single" w:color="auto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2"/>
        <w:gridCol w:w="2175"/>
        <w:gridCol w:w="2236"/>
        <w:gridCol w:w="1751"/>
      </w:tblGrid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82" w:type="dxa"/>
            <w:tcBorders>
              <w:bottom w:val="single" w:color="auto" w:sz="8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Eating-</w:t>
            </w: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  <w:t>Excretion Disorders</w:t>
            </w:r>
          </w:p>
        </w:tc>
        <w:tc>
          <w:tcPr>
            <w:tcW w:w="2175" w:type="dxa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Pre-epidemic</w:t>
            </w:r>
          </w:p>
        </w:tc>
        <w:tc>
          <w:tcPr>
            <w:tcW w:w="2236" w:type="dxa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Post-epidemic</w:t>
            </w:r>
          </w:p>
        </w:tc>
        <w:tc>
          <w:tcPr>
            <w:tcW w:w="1751" w:type="dxa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P value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182" w:type="dxa"/>
            <w:tcBorders>
              <w:top w:val="single" w:color="auto" w:sz="8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Gender, male,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n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%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2175" w:type="dxa"/>
            <w:tcBorders>
              <w:top w:val="single" w:color="auto" w:sz="8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23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15.33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2236" w:type="dxa"/>
            <w:tcBorders>
              <w:top w:val="single" w:color="auto" w:sz="8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18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11.39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1751" w:type="dxa"/>
            <w:tcBorders>
              <w:top w:val="single" w:color="auto" w:sz="8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  <w:t>0.</w:t>
            </w: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309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18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Age,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 xml:space="preserve">n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%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</w:p>
        </w:tc>
        <w:tc>
          <w:tcPr>
            <w:tcW w:w="223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</w:p>
        </w:tc>
        <w:tc>
          <w:tcPr>
            <w:tcW w:w="175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0.309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18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  &lt;18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37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24.67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223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41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25.94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175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18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20" w:firstLineChars="100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18-44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100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66.67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223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105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66.46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175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18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20" w:firstLineChars="100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45-64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11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7.33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223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6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3.80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175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182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20" w:firstLineChars="100"/>
              <w:rPr>
                <w:rFonts w:hint="default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&gt;=65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2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1.33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223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6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/>
              </w:rPr>
              <w:t>3.80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175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</w:rPr>
            </w:pPr>
          </w:p>
        </w:tc>
      </w:tr>
    </w:tbl>
    <w:p>
      <w:pPr>
        <w:pStyle w:val="4"/>
        <w:rPr>
          <w:sz w:val="21"/>
          <w:szCs w:val="21"/>
        </w:rPr>
      </w:pPr>
      <w:bookmarkStart w:id="2" w:name="OLE_LINK1"/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Notes: F</w:t>
      </w:r>
      <w:r>
        <w:rPr>
          <w:rFonts w:ascii="Times New Roman" w:hAnsi="Times New Roman" w:cs="Times New Roman"/>
          <w:sz w:val="21"/>
          <w:szCs w:val="21"/>
        </w:rPr>
        <w:t xml:space="preserve">requencies (percentages) were used to describe categorical variables. Categorical variables were compared using the χ2 test and the Wilcoxon test. 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t xml:space="preserve">Supplementary Table 2e. indicated that young females were the main ones with eating and excretion disorders, and there was no statistical difference between pre-epidemic group and 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t>dur</w:t>
      </w:r>
      <w:bookmarkStart w:id="3" w:name="_GoBack"/>
      <w:bookmarkEnd w:id="3"/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t>-epidemic group (P&gt;0.05).</w:t>
      </w:r>
    </w:p>
    <w:bookmarkEnd w:id="2"/>
    <w:p>
      <w:pPr>
        <w:rPr>
          <w:rFonts w:hint="default" w:ascii="Times New Roman" w:hAnsi="Times New Roman" w:cs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yMDBhM2YwYjA1MmI4MDViZjQ2NDk4ZTUzNTdiOTYifQ=="/>
  </w:docVars>
  <w:rsids>
    <w:rsidRoot w:val="23EA23D7"/>
    <w:rsid w:val="23EA23D7"/>
    <w:rsid w:val="34177DFA"/>
    <w:rsid w:val="3AC802EF"/>
    <w:rsid w:val="3EFF282B"/>
    <w:rsid w:val="53D73BAC"/>
    <w:rsid w:val="6C2D6E3C"/>
    <w:rsid w:val="7016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footnote text"/>
    <w:basedOn w:val="1"/>
    <w:semiHidden/>
    <w:unhideWhenUsed/>
    <w:qFormat/>
    <w:uiPriority w:val="99"/>
    <w:pPr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633</Words>
  <Characters>3691</Characters>
  <Lines>0</Lines>
  <Paragraphs>0</Paragraphs>
  <TotalTime>1</TotalTime>
  <ScaleCrop>false</ScaleCrop>
  <LinksUpToDate>false</LinksUpToDate>
  <CharactersWithSpaces>4152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2022-07-08T03:28:00Z</dcterms:created>
  <dc:creator>笑遥</dc:creator>
  <cp:lastModifiedBy>笑遥</cp:lastModifiedBy>
  <dcterms:modified xsi:type="dcterms:W3CDTF">2022-07-18T14:51:54Z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0EA794A58A1541B492470CABEA71976E</vt:lpwstr>
  </property>
</Properties>
</file>