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6E8819" w14:textId="11344AD4" w:rsidR="00637B2C" w:rsidRPr="00637B2C" w:rsidRDefault="00637B2C" w:rsidP="00637B2C">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637B2C">
        <w:rPr>
          <w:rFonts w:ascii="Times New Roman" w:eastAsia="Times New Roman" w:hAnsi="Times New Roman" w:cs="Times New Roman"/>
          <w:bCs/>
          <w:color w:val="000000"/>
          <w:sz w:val="24"/>
          <w:szCs w:val="24"/>
        </w:rPr>
        <w:t>Manuscript Title:</w:t>
      </w:r>
      <w:r w:rsidRPr="00637B2C">
        <w:rPr>
          <w:rFonts w:ascii="Times New Roman" w:eastAsia="Times New Roman" w:hAnsi="Times New Roman" w:cs="Times New Roman"/>
          <w:b/>
          <w:color w:val="000000"/>
          <w:sz w:val="24"/>
          <w:szCs w:val="24"/>
        </w:rPr>
        <w:t xml:space="preserve"> </w:t>
      </w:r>
      <w:r w:rsidRPr="00637B2C">
        <w:rPr>
          <w:rFonts w:ascii="Times New Roman" w:eastAsia="Times New Roman" w:hAnsi="Times New Roman" w:cs="Times New Roman"/>
          <w:bCs/>
          <w:color w:val="000000"/>
          <w:sz w:val="24"/>
          <w:szCs w:val="24"/>
        </w:rPr>
        <w:t>Mapping the health systems response to violence against women: A comparative analysis of five LMIC settings (2015-2020)</w:t>
      </w:r>
    </w:p>
    <w:p w14:paraId="6882E338" w14:textId="77777777" w:rsidR="00637B2C" w:rsidRPr="00637B2C" w:rsidRDefault="00637B2C" w:rsidP="00637B2C">
      <w:pPr>
        <w:pBdr>
          <w:top w:val="nil"/>
          <w:left w:val="nil"/>
          <w:bottom w:val="nil"/>
          <w:right w:val="nil"/>
          <w:between w:val="nil"/>
        </w:pBdr>
        <w:spacing w:after="0" w:line="240" w:lineRule="auto"/>
        <w:rPr>
          <w:rFonts w:ascii="Times New Roman" w:hAnsi="Times New Roman" w:cs="Times New Roman"/>
          <w:sz w:val="24"/>
          <w:szCs w:val="24"/>
        </w:rPr>
      </w:pPr>
    </w:p>
    <w:p w14:paraId="5429E0F8" w14:textId="7D71686A" w:rsidR="00637B2C" w:rsidRDefault="00637B2C" w:rsidP="00637B2C">
      <w:pPr>
        <w:pBdr>
          <w:top w:val="nil"/>
          <w:left w:val="nil"/>
          <w:bottom w:val="nil"/>
          <w:right w:val="nil"/>
          <w:between w:val="nil"/>
        </w:pBdr>
        <w:spacing w:after="0" w:line="240" w:lineRule="auto"/>
        <w:rPr>
          <w:rFonts w:ascii="Times New Roman" w:eastAsia="Times New Roman" w:hAnsi="Times New Roman" w:cs="Times New Roman"/>
          <w:sz w:val="24"/>
          <w:szCs w:val="24"/>
        </w:rPr>
      </w:pPr>
      <w:r w:rsidRPr="00637B2C">
        <w:rPr>
          <w:rFonts w:ascii="Times New Roman" w:hAnsi="Times New Roman" w:cs="Times New Roman"/>
          <w:sz w:val="24"/>
          <w:szCs w:val="24"/>
        </w:rPr>
        <w:t xml:space="preserve">Author List: </w:t>
      </w:r>
      <w:r w:rsidRPr="00637B2C">
        <w:rPr>
          <w:rFonts w:ascii="Times New Roman" w:eastAsia="Times New Roman" w:hAnsi="Times New Roman" w:cs="Times New Roman"/>
          <w:color w:val="000000"/>
          <w:sz w:val="24"/>
          <w:szCs w:val="24"/>
        </w:rPr>
        <w:t xml:space="preserve">Dr. Shegufta Shefa Sikder, CARE USA, 151 Ellis St NE, Atlanta GA, 30303, USA, </w:t>
      </w:r>
      <w:hyperlink r:id="rId6" w:history="1">
        <w:r w:rsidRPr="00637B2C">
          <w:rPr>
            <w:rStyle w:val="Hyperlink"/>
            <w:rFonts w:ascii="Times New Roman" w:eastAsia="Times New Roman" w:hAnsi="Times New Roman" w:cs="Times New Roman"/>
            <w:sz w:val="24"/>
            <w:szCs w:val="24"/>
          </w:rPr>
          <w:t>shefa.sikder@care.org</w:t>
        </w:r>
      </w:hyperlink>
      <w:r w:rsidRPr="00637B2C">
        <w:rPr>
          <w:rFonts w:ascii="Times New Roman" w:eastAsia="Times New Roman" w:hAnsi="Times New Roman" w:cs="Times New Roman"/>
          <w:color w:val="000000"/>
          <w:sz w:val="24"/>
          <w:szCs w:val="24"/>
        </w:rPr>
        <w:t xml:space="preserve">; Dr. Rakhi Ghoshal, CARE India, No.14, Patliputra Colony, Bihar 800013, India, </w:t>
      </w:r>
      <w:hyperlink r:id="rId7" w:history="1">
        <w:r w:rsidRPr="00637B2C">
          <w:rPr>
            <w:rStyle w:val="Hyperlink"/>
            <w:rFonts w:ascii="Times New Roman" w:eastAsia="Times New Roman" w:hAnsi="Times New Roman" w:cs="Times New Roman"/>
            <w:sz w:val="24"/>
            <w:szCs w:val="24"/>
          </w:rPr>
          <w:t>rakhi.ghoshal@gmail.com</w:t>
        </w:r>
      </w:hyperlink>
      <w:r w:rsidRPr="00637B2C">
        <w:rPr>
          <w:rFonts w:ascii="Times New Roman" w:eastAsia="Times New Roman" w:hAnsi="Times New Roman" w:cs="Times New Roman"/>
          <w:color w:val="000000"/>
          <w:sz w:val="24"/>
          <w:szCs w:val="24"/>
        </w:rPr>
        <w:t xml:space="preserve">; Dr. Padma Deosthali, </w:t>
      </w:r>
      <w:r w:rsidR="003B1D11" w:rsidRPr="00637B2C">
        <w:rPr>
          <w:rFonts w:ascii="Times New Roman" w:eastAsia="Times New Roman" w:hAnsi="Times New Roman" w:cs="Times New Roman"/>
          <w:color w:val="000000"/>
          <w:sz w:val="24"/>
          <w:szCs w:val="24"/>
        </w:rPr>
        <w:t>CARE India, No.14, Patliputra Colony, Bihar 800013, India</w:t>
      </w:r>
      <w:r w:rsidRPr="00637B2C">
        <w:rPr>
          <w:rFonts w:ascii="Times New Roman" w:eastAsia="Times New Roman" w:hAnsi="Times New Roman" w:cs="Times New Roman"/>
          <w:color w:val="000000"/>
          <w:sz w:val="24"/>
          <w:szCs w:val="24"/>
        </w:rPr>
        <w:t xml:space="preserve">, </w:t>
      </w:r>
      <w:hyperlink r:id="rId8">
        <w:r w:rsidRPr="00637B2C">
          <w:rPr>
            <w:rFonts w:ascii="Times New Roman" w:eastAsia="Times New Roman" w:hAnsi="Times New Roman" w:cs="Times New Roman"/>
            <w:color w:val="1155CC"/>
            <w:sz w:val="24"/>
            <w:szCs w:val="24"/>
            <w:u w:val="single"/>
          </w:rPr>
          <w:t>padma.deosthali@gmail.com</w:t>
        </w:r>
      </w:hyperlink>
      <w:r w:rsidRPr="00637B2C">
        <w:rPr>
          <w:rFonts w:ascii="Times New Roman" w:eastAsia="Times New Roman" w:hAnsi="Times New Roman" w:cs="Times New Roman"/>
          <w:color w:val="1155CC"/>
          <w:sz w:val="24"/>
          <w:szCs w:val="24"/>
          <w:u w:val="single"/>
        </w:rPr>
        <w:t xml:space="preserve">; </w:t>
      </w:r>
      <w:r w:rsidRPr="00637B2C">
        <w:rPr>
          <w:rFonts w:ascii="Times New Roman" w:eastAsia="Times New Roman" w:hAnsi="Times New Roman" w:cs="Times New Roman"/>
          <w:sz w:val="24"/>
          <w:szCs w:val="24"/>
        </w:rPr>
        <w:t xml:space="preserve">Dr. Chandni Jaishwal, Rollins School of Public Health, Emory University, 1518 Clifton Rd, NE Atlanta, GA, 30322, USA, </w:t>
      </w:r>
      <w:hyperlink r:id="rId9" w:history="1">
        <w:r w:rsidRPr="00637B2C">
          <w:rPr>
            <w:rStyle w:val="Hyperlink"/>
            <w:rFonts w:ascii="Times New Roman" w:eastAsia="Times New Roman" w:hAnsi="Times New Roman" w:cs="Times New Roman"/>
            <w:sz w:val="24"/>
            <w:szCs w:val="24"/>
          </w:rPr>
          <w:t>cjaishw@emory.edu</w:t>
        </w:r>
      </w:hyperlink>
      <w:r w:rsidRPr="00637B2C">
        <w:rPr>
          <w:rFonts w:ascii="Times New Roman" w:eastAsia="Times New Roman" w:hAnsi="Times New Roman" w:cs="Times New Roman"/>
          <w:sz w:val="24"/>
          <w:szCs w:val="24"/>
        </w:rPr>
        <w:t xml:space="preserve">; Corresponding author: Dr. Nobhojit Roy MD, MPH, PhD. Department of Global Public Health. Karolinska Institutet, SE-171 77 Stockholm, Sweden </w:t>
      </w:r>
      <w:hyperlink r:id="rId10" w:history="1">
        <w:r w:rsidRPr="00A61B26">
          <w:rPr>
            <w:rStyle w:val="Hyperlink"/>
            <w:rFonts w:ascii="Times New Roman" w:eastAsia="Times New Roman" w:hAnsi="Times New Roman" w:cs="Times New Roman"/>
            <w:sz w:val="24"/>
            <w:szCs w:val="24"/>
          </w:rPr>
          <w:t>nobhojit.roy@ki.se</w:t>
        </w:r>
      </w:hyperlink>
    </w:p>
    <w:p w14:paraId="61E8C84C" w14:textId="77777777" w:rsidR="00637B2C" w:rsidRPr="00637B2C" w:rsidRDefault="00637B2C" w:rsidP="00637B2C">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6B478B55" w14:textId="56595623"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Additional File 1</w:t>
      </w:r>
      <w:r w:rsidR="00A157DB">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b/>
          <w:color w:val="000000"/>
          <w:sz w:val="20"/>
          <w:szCs w:val="20"/>
        </w:rPr>
        <w:t xml:space="preserve">Details on One Stop Centres </w:t>
      </w:r>
      <w:r w:rsidR="00D61E7B">
        <w:rPr>
          <w:rFonts w:ascii="Times New Roman" w:eastAsia="Times New Roman" w:hAnsi="Times New Roman" w:cs="Times New Roman"/>
          <w:b/>
          <w:color w:val="000000"/>
          <w:sz w:val="20"/>
          <w:szCs w:val="20"/>
        </w:rPr>
        <w:t>W</w:t>
      </w:r>
      <w:r>
        <w:rPr>
          <w:rFonts w:ascii="Times New Roman" w:eastAsia="Times New Roman" w:hAnsi="Times New Roman" w:cs="Times New Roman"/>
          <w:b/>
          <w:color w:val="000000"/>
          <w:sz w:val="20"/>
          <w:szCs w:val="20"/>
        </w:rPr>
        <w:t>ithin Selected Low</w:t>
      </w:r>
      <w:r w:rsidR="005B0757">
        <w:rPr>
          <w:rFonts w:ascii="Times New Roman" w:eastAsia="Times New Roman" w:hAnsi="Times New Roman" w:cs="Times New Roman"/>
          <w:b/>
          <w:color w:val="000000"/>
          <w:sz w:val="20"/>
          <w:szCs w:val="20"/>
        </w:rPr>
        <w:t>-</w:t>
      </w:r>
      <w:r>
        <w:rPr>
          <w:rFonts w:ascii="Times New Roman" w:eastAsia="Times New Roman" w:hAnsi="Times New Roman" w:cs="Times New Roman"/>
          <w:b/>
          <w:color w:val="000000"/>
          <w:sz w:val="20"/>
          <w:szCs w:val="20"/>
        </w:rPr>
        <w:t xml:space="preserve"> and Middle</w:t>
      </w:r>
      <w:r w:rsidR="005B0757">
        <w:rPr>
          <w:rFonts w:ascii="Times New Roman" w:eastAsia="Times New Roman" w:hAnsi="Times New Roman" w:cs="Times New Roman"/>
          <w:b/>
          <w:color w:val="000000"/>
          <w:sz w:val="20"/>
          <w:szCs w:val="20"/>
        </w:rPr>
        <w:t>-</w:t>
      </w:r>
      <w:r>
        <w:rPr>
          <w:rFonts w:ascii="Times New Roman" w:eastAsia="Times New Roman" w:hAnsi="Times New Roman" w:cs="Times New Roman"/>
          <w:b/>
          <w:color w:val="000000"/>
          <w:sz w:val="20"/>
          <w:szCs w:val="20"/>
        </w:rPr>
        <w:t xml:space="preserve">Income Countries </w:t>
      </w:r>
    </w:p>
    <w:tbl>
      <w:tblPr>
        <w:tblStyle w:val="a"/>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1134"/>
        <w:gridCol w:w="2832"/>
        <w:gridCol w:w="2258"/>
        <w:gridCol w:w="1676"/>
        <w:gridCol w:w="1464"/>
        <w:gridCol w:w="1336"/>
        <w:gridCol w:w="2240"/>
      </w:tblGrid>
      <w:tr w:rsidR="003935FE" w14:paraId="5B1799FA" w14:textId="77777777" w:rsidTr="009821DC">
        <w:trPr>
          <w:trHeight w:val="9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B93E55"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Country</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0798FF80"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Model of health care for VAW response</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138E82F5"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Coverage</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5D429FFC"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Number of Clients</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60005C1D"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Causes of Violence</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08DAAF03"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Who Clients Came with</w:t>
            </w:r>
          </w:p>
        </w:tc>
        <w:tc>
          <w:tcPr>
            <w:tcW w:w="0" w:type="auto"/>
            <w:tcBorders>
              <w:top w:val="single" w:sz="8" w:space="0" w:color="000000"/>
              <w:bottom w:val="single" w:sz="8" w:space="0" w:color="000000"/>
              <w:right w:val="single" w:sz="8" w:space="0" w:color="000000"/>
            </w:tcBorders>
            <w:tcMar>
              <w:top w:w="100" w:type="dxa"/>
              <w:left w:w="100" w:type="dxa"/>
              <w:bottom w:w="100" w:type="dxa"/>
              <w:right w:w="100" w:type="dxa"/>
            </w:tcMar>
          </w:tcPr>
          <w:p w14:paraId="4878BDD6" w14:textId="77777777" w:rsidR="003935FE" w:rsidRDefault="006762A7">
            <w:pPr>
              <w:spacing w:after="120" w:line="276"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Services Received</w:t>
            </w:r>
          </w:p>
        </w:tc>
      </w:tr>
      <w:tr w:rsidR="003935FE" w14:paraId="6D17DA23" w14:textId="77777777" w:rsidTr="009821DC">
        <w:trPr>
          <w:trHeight w:val="4425"/>
        </w:trPr>
        <w:tc>
          <w:tcPr>
            <w:tcW w:w="0" w:type="auto"/>
            <w:tcBorders>
              <w:left w:val="single" w:sz="8" w:space="0" w:color="000000"/>
              <w:bottom w:val="single" w:sz="8" w:space="0" w:color="000000"/>
              <w:right w:val="single" w:sz="8" w:space="0" w:color="000000"/>
            </w:tcBorders>
            <w:tcMar>
              <w:top w:w="100" w:type="dxa"/>
              <w:left w:w="100" w:type="dxa"/>
              <w:bottom w:w="100" w:type="dxa"/>
              <w:right w:w="100" w:type="dxa"/>
            </w:tcMar>
          </w:tcPr>
          <w:p w14:paraId="337AE07E"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Bangladesh</w:t>
            </w:r>
          </w:p>
        </w:tc>
        <w:tc>
          <w:tcPr>
            <w:tcW w:w="0" w:type="auto"/>
            <w:tcBorders>
              <w:bottom w:val="single" w:sz="8" w:space="0" w:color="000000"/>
              <w:right w:val="single" w:sz="8" w:space="0" w:color="000000"/>
            </w:tcBorders>
            <w:tcMar>
              <w:top w:w="100" w:type="dxa"/>
              <w:left w:w="100" w:type="dxa"/>
              <w:bottom w:w="100" w:type="dxa"/>
              <w:right w:w="100" w:type="dxa"/>
            </w:tcMar>
          </w:tcPr>
          <w:p w14:paraId="0C02FEFE"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Multi-Sectoral Programme on VAW is led by the Ministry of Women and Children’s Affairs and includes one stop centers, one stop cells, and regional trauma centers. In Bangladesh, the Ministry of Health and Family Welfare leads the implementation of OSCs in 13 public medical colleges [34].</w:t>
            </w:r>
          </w:p>
        </w:tc>
        <w:tc>
          <w:tcPr>
            <w:tcW w:w="0" w:type="auto"/>
            <w:tcBorders>
              <w:bottom w:val="single" w:sz="8" w:space="0" w:color="000000"/>
              <w:right w:val="single" w:sz="8" w:space="0" w:color="000000"/>
            </w:tcBorders>
            <w:tcMar>
              <w:top w:w="100" w:type="dxa"/>
              <w:left w:w="100" w:type="dxa"/>
              <w:bottom w:w="100" w:type="dxa"/>
              <w:right w:w="100" w:type="dxa"/>
            </w:tcMar>
          </w:tcPr>
          <w:p w14:paraId="69FD191B"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Bangladesh has OSC Cells at 47 district hospitals and 20 sub-district health complexes which provide information on services available for VAW including health</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care, police assistance, legal advice, psychosocial counseling, rehabilitation activities, and reintegration programmes [33].</w:t>
            </w:r>
          </w:p>
        </w:tc>
        <w:tc>
          <w:tcPr>
            <w:tcW w:w="0" w:type="auto"/>
            <w:tcBorders>
              <w:bottom w:val="single" w:sz="8" w:space="0" w:color="000000"/>
              <w:right w:val="single" w:sz="8" w:space="0" w:color="000000"/>
            </w:tcBorders>
            <w:tcMar>
              <w:top w:w="100" w:type="dxa"/>
              <w:left w:w="100" w:type="dxa"/>
              <w:bottom w:w="100" w:type="dxa"/>
              <w:right w:w="100" w:type="dxa"/>
            </w:tcMar>
          </w:tcPr>
          <w:p w14:paraId="2DB921E9"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An impact report of the second phase of Multi Sectoral Program on VAW (2008-2011) found that 19,286 females availed care from </w:t>
            </w:r>
            <w:r>
              <w:rPr>
                <w:rFonts w:ascii="Times New Roman" w:eastAsia="Times New Roman" w:hAnsi="Times New Roman" w:cs="Times New Roman"/>
                <w:sz w:val="20"/>
                <w:szCs w:val="20"/>
              </w:rPr>
              <w:t xml:space="preserve">7 </w:t>
            </w:r>
            <w:r>
              <w:rPr>
                <w:rFonts w:ascii="Times New Roman" w:eastAsia="Times New Roman" w:hAnsi="Times New Roman" w:cs="Times New Roman"/>
                <w:color w:val="000000"/>
                <w:sz w:val="20"/>
                <w:szCs w:val="20"/>
              </w:rPr>
              <w:t>OSCs between 2001 and April 2014 [35].</w:t>
            </w:r>
          </w:p>
        </w:tc>
        <w:tc>
          <w:tcPr>
            <w:tcW w:w="0" w:type="auto"/>
            <w:tcBorders>
              <w:bottom w:val="single" w:sz="8" w:space="0" w:color="000000"/>
              <w:right w:val="single" w:sz="8" w:space="0" w:color="000000"/>
            </w:tcBorders>
            <w:tcMar>
              <w:top w:w="100" w:type="dxa"/>
              <w:left w:w="100" w:type="dxa"/>
              <w:bottom w:w="100" w:type="dxa"/>
              <w:right w:w="100" w:type="dxa"/>
            </w:tcMar>
          </w:tcPr>
          <w:p w14:paraId="3256C036" w14:textId="3526859D" w:rsidR="003935FE" w:rsidRDefault="00D61E7B">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w:t>
            </w:r>
            <w:r w:rsidR="006762A7">
              <w:rPr>
                <w:rFonts w:ascii="Times New Roman" w:eastAsia="Times New Roman" w:hAnsi="Times New Roman" w:cs="Times New Roman"/>
                <w:color w:val="000000"/>
                <w:sz w:val="20"/>
                <w:szCs w:val="20"/>
              </w:rPr>
              <w:t>hysical violence (71%), rape or sexual violence (19%),</w:t>
            </w:r>
            <w:r w:rsidR="006762A7">
              <w:rPr>
                <w:rFonts w:ascii="Times New Roman" w:eastAsia="Times New Roman" w:hAnsi="Times New Roman" w:cs="Times New Roman"/>
                <w:sz w:val="20"/>
                <w:szCs w:val="20"/>
              </w:rPr>
              <w:t xml:space="preserve"> </w:t>
            </w:r>
            <w:r w:rsidR="006762A7">
              <w:rPr>
                <w:rFonts w:ascii="Times New Roman" w:eastAsia="Times New Roman" w:hAnsi="Times New Roman" w:cs="Times New Roman"/>
                <w:color w:val="000000"/>
                <w:sz w:val="20"/>
                <w:szCs w:val="20"/>
              </w:rPr>
              <w:t>burns (7%), economic violence (3%)</w:t>
            </w:r>
            <w:r w:rsidR="006762A7">
              <w:rPr>
                <w:rFonts w:ascii="Times New Roman" w:eastAsia="Times New Roman" w:hAnsi="Times New Roman" w:cs="Times New Roman"/>
                <w:sz w:val="20"/>
                <w:szCs w:val="20"/>
              </w:rPr>
              <w:t xml:space="preserve"> [34].</w:t>
            </w:r>
          </w:p>
        </w:tc>
        <w:tc>
          <w:tcPr>
            <w:tcW w:w="0" w:type="auto"/>
            <w:tcBorders>
              <w:bottom w:val="single" w:sz="8" w:space="0" w:color="000000"/>
              <w:right w:val="single" w:sz="8" w:space="0" w:color="000000"/>
            </w:tcBorders>
            <w:tcMar>
              <w:top w:w="100" w:type="dxa"/>
              <w:left w:w="100" w:type="dxa"/>
              <w:bottom w:w="100" w:type="dxa"/>
              <w:right w:w="100" w:type="dxa"/>
            </w:tcMar>
          </w:tcPr>
          <w:p w14:paraId="4518A5EB"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Police (43%) </w:t>
            </w:r>
          </w:p>
          <w:p w14:paraId="5DA1FB17"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Pr>
                <w:rFonts w:ascii="Times New Roman" w:eastAsia="Times New Roman" w:hAnsi="Times New Roman" w:cs="Times New Roman"/>
                <w:color w:val="000000"/>
                <w:sz w:val="20"/>
                <w:szCs w:val="20"/>
              </w:rPr>
              <w:t>eighbors or friends</w:t>
            </w:r>
            <w:r>
              <w:rPr>
                <w:rFonts w:ascii="Times New Roman" w:eastAsia="Times New Roman" w:hAnsi="Times New Roman" w:cs="Times New Roman"/>
                <w:sz w:val="20"/>
                <w:szCs w:val="20"/>
              </w:rPr>
              <w:t xml:space="preserve"> (17%)</w:t>
            </w:r>
          </w:p>
          <w:p w14:paraId="2A2A8F94"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Relatives (34%)</w:t>
            </w:r>
          </w:p>
          <w:p w14:paraId="3DD2DBA9"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Women’s organizations (4%)</w:t>
            </w:r>
          </w:p>
          <w:p w14:paraId="5D41B364"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On their own (6%)</w:t>
            </w:r>
          </w:p>
          <w:p w14:paraId="3C8BEABB"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tc>
        <w:tc>
          <w:tcPr>
            <w:tcW w:w="0" w:type="auto"/>
            <w:tcBorders>
              <w:bottom w:val="single" w:sz="8" w:space="0" w:color="000000"/>
              <w:right w:val="single" w:sz="8" w:space="0" w:color="000000"/>
            </w:tcBorders>
            <w:tcMar>
              <w:top w:w="100" w:type="dxa"/>
              <w:left w:w="100" w:type="dxa"/>
              <w:bottom w:w="100" w:type="dxa"/>
              <w:right w:w="100" w:type="dxa"/>
            </w:tcMar>
          </w:tcPr>
          <w:p w14:paraId="5EB8D4E2"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85%</w:t>
            </w:r>
            <w:r>
              <w:rPr>
                <w:rFonts w:ascii="Times New Roman" w:eastAsia="Times New Roman" w:hAnsi="Times New Roman" w:cs="Times New Roman"/>
                <w:sz w:val="20"/>
                <w:szCs w:val="20"/>
              </w:rPr>
              <w:t xml:space="preserve"> of women </w:t>
            </w:r>
            <w:r>
              <w:rPr>
                <w:rFonts w:ascii="Times New Roman" w:eastAsia="Times New Roman" w:hAnsi="Times New Roman" w:cs="Times New Roman"/>
                <w:color w:val="000000"/>
                <w:sz w:val="20"/>
                <w:szCs w:val="20"/>
              </w:rPr>
              <w:t>expressed satisfaction with the services received at the OSC.</w:t>
            </w:r>
          </w:p>
          <w:p w14:paraId="73CBD0D8"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76% reported receiving a health checkup (UGA, DNA, blood test etc), 23% received nutrition support, 11% mentioned free burn medication, 3% mentioned other health treatments. The average stay was 5.7 days.</w:t>
            </w:r>
          </w:p>
        </w:tc>
      </w:tr>
      <w:tr w:rsidR="003935FE" w14:paraId="18884ADA" w14:textId="77777777" w:rsidTr="009821DC">
        <w:trPr>
          <w:trHeight w:val="4335"/>
        </w:trPr>
        <w:tc>
          <w:tcPr>
            <w:tcW w:w="0" w:type="auto"/>
            <w:tcBorders>
              <w:left w:val="single" w:sz="8" w:space="0" w:color="000000"/>
              <w:bottom w:val="single" w:sz="8" w:space="0" w:color="000000"/>
              <w:right w:val="single" w:sz="8" w:space="0" w:color="000000"/>
            </w:tcBorders>
            <w:tcMar>
              <w:top w:w="100" w:type="dxa"/>
              <w:left w:w="100" w:type="dxa"/>
              <w:bottom w:w="100" w:type="dxa"/>
              <w:right w:w="100" w:type="dxa"/>
            </w:tcMar>
          </w:tcPr>
          <w:p w14:paraId="471871AB"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Brazil</w:t>
            </w:r>
          </w:p>
        </w:tc>
        <w:tc>
          <w:tcPr>
            <w:tcW w:w="0" w:type="auto"/>
            <w:tcBorders>
              <w:bottom w:val="single" w:sz="8" w:space="0" w:color="000000"/>
              <w:right w:val="single" w:sz="8" w:space="0" w:color="000000"/>
            </w:tcBorders>
            <w:tcMar>
              <w:top w:w="100" w:type="dxa"/>
              <w:left w:w="100" w:type="dxa"/>
              <w:bottom w:w="100" w:type="dxa"/>
              <w:right w:w="100" w:type="dxa"/>
            </w:tcMar>
          </w:tcPr>
          <w:p w14:paraId="0FCD77D4"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Brazil, in 2015 the government established Houses for Brazilian Women “</w:t>
            </w:r>
            <w:r w:rsidRPr="008F3D0B">
              <w:rPr>
                <w:rFonts w:ascii="Times New Roman" w:eastAsia="Times New Roman" w:hAnsi="Times New Roman" w:cs="Times New Roman"/>
                <w:i/>
                <w:iCs/>
                <w:color w:val="000000"/>
                <w:sz w:val="20"/>
                <w:szCs w:val="20"/>
              </w:rPr>
              <w:t>Casa da Mulher Brasileira</w:t>
            </w:r>
            <w:r>
              <w:rPr>
                <w:rFonts w:ascii="Times New Roman" w:eastAsia="Times New Roman" w:hAnsi="Times New Roman" w:cs="Times New Roman"/>
                <w:color w:val="000000"/>
                <w:sz w:val="20"/>
                <w:szCs w:val="20"/>
              </w:rPr>
              <w:t>” [36]. These centers were designed to assist survivors of domestic violence with judicial services, specialized police for assistance to VAW survivors, shelter assistance, psychosocial support, and economic livelihoods support [37]. However, they do not include medical care as part of the services included at the centers.</w:t>
            </w:r>
          </w:p>
        </w:tc>
        <w:tc>
          <w:tcPr>
            <w:tcW w:w="0" w:type="auto"/>
            <w:tcBorders>
              <w:bottom w:val="single" w:sz="8" w:space="0" w:color="000000"/>
              <w:right w:val="single" w:sz="8" w:space="0" w:color="000000"/>
            </w:tcBorders>
            <w:tcMar>
              <w:top w:w="100" w:type="dxa"/>
              <w:left w:w="100" w:type="dxa"/>
              <w:bottom w:w="100" w:type="dxa"/>
              <w:right w:w="100" w:type="dxa"/>
            </w:tcMar>
          </w:tcPr>
          <w:p w14:paraId="587AB729"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Since 2017, seven centers have been established across regions of Brazil. There are no centers at local levels</w:t>
            </w:r>
          </w:p>
        </w:tc>
        <w:tc>
          <w:tcPr>
            <w:tcW w:w="0" w:type="auto"/>
            <w:tcBorders>
              <w:bottom w:val="single" w:sz="8" w:space="0" w:color="000000"/>
              <w:right w:val="single" w:sz="8" w:space="0" w:color="000000"/>
            </w:tcBorders>
            <w:tcMar>
              <w:top w:w="100" w:type="dxa"/>
              <w:left w:w="100" w:type="dxa"/>
              <w:bottom w:w="100" w:type="dxa"/>
              <w:right w:w="100" w:type="dxa"/>
            </w:tcMar>
          </w:tcPr>
          <w:p w14:paraId="76D1941B"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612BC572"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67428725"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7E478362"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Available</w:t>
            </w:r>
          </w:p>
        </w:tc>
      </w:tr>
      <w:tr w:rsidR="003935FE" w14:paraId="70BB82F8" w14:textId="77777777" w:rsidTr="009821DC">
        <w:trPr>
          <w:trHeight w:val="4140"/>
        </w:trPr>
        <w:tc>
          <w:tcPr>
            <w:tcW w:w="0" w:type="auto"/>
            <w:tcBorders>
              <w:left w:val="single" w:sz="8" w:space="0" w:color="000000"/>
              <w:bottom w:val="single" w:sz="8" w:space="0" w:color="000000"/>
              <w:right w:val="single" w:sz="8" w:space="0" w:color="000000"/>
            </w:tcBorders>
            <w:tcMar>
              <w:top w:w="100" w:type="dxa"/>
              <w:left w:w="100" w:type="dxa"/>
              <w:bottom w:w="100" w:type="dxa"/>
              <w:right w:w="100" w:type="dxa"/>
            </w:tcMar>
          </w:tcPr>
          <w:p w14:paraId="3FAC5799"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Nepal</w:t>
            </w:r>
          </w:p>
        </w:tc>
        <w:tc>
          <w:tcPr>
            <w:tcW w:w="0" w:type="auto"/>
            <w:tcBorders>
              <w:bottom w:val="single" w:sz="8" w:space="0" w:color="000000"/>
              <w:right w:val="single" w:sz="8" w:space="0" w:color="000000"/>
            </w:tcBorders>
            <w:tcMar>
              <w:top w:w="100" w:type="dxa"/>
              <w:left w:w="100" w:type="dxa"/>
              <w:bottom w:w="100" w:type="dxa"/>
              <w:right w:w="100" w:type="dxa"/>
            </w:tcMar>
          </w:tcPr>
          <w:p w14:paraId="51A97095"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Nepal has a model of hospital-based OSCs, with training and quality control provided by the Government in collaboration and support from Jhpiego (between 2015 and 2020) [38].</w:t>
            </w:r>
          </w:p>
          <w:p w14:paraId="6C50E276" w14:textId="77777777" w:rsidR="003935FE" w:rsidRDefault="006762A7">
            <w:pPr>
              <w:spacing w:before="240"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tc>
        <w:tc>
          <w:tcPr>
            <w:tcW w:w="0" w:type="auto"/>
            <w:tcBorders>
              <w:bottom w:val="single" w:sz="8" w:space="0" w:color="000000"/>
              <w:right w:val="single" w:sz="8" w:space="0" w:color="000000"/>
            </w:tcBorders>
            <w:tcMar>
              <w:top w:w="100" w:type="dxa"/>
              <w:left w:w="100" w:type="dxa"/>
              <w:bottom w:w="100" w:type="dxa"/>
              <w:right w:w="100" w:type="dxa"/>
            </w:tcMar>
          </w:tcPr>
          <w:p w14:paraId="760CBD01"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2020, each of Nepal’s 77 districts reported having an OSC [27].</w:t>
            </w:r>
          </w:p>
        </w:tc>
        <w:tc>
          <w:tcPr>
            <w:tcW w:w="0" w:type="auto"/>
            <w:tcBorders>
              <w:bottom w:val="single" w:sz="8" w:space="0" w:color="000000"/>
              <w:right w:val="single" w:sz="8" w:space="0" w:color="000000"/>
            </w:tcBorders>
            <w:tcMar>
              <w:top w:w="100" w:type="dxa"/>
              <w:left w:w="100" w:type="dxa"/>
              <w:bottom w:w="100" w:type="dxa"/>
              <w:right w:w="100" w:type="dxa"/>
            </w:tcMar>
          </w:tcPr>
          <w:p w14:paraId="61BBBE2E"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 a 2020 scale up report of one stop centers, the total annual number of clients increased from 187 in 2011/12 (based on </w:t>
            </w:r>
            <w:r>
              <w:rPr>
                <w:rFonts w:ascii="Times New Roman" w:eastAsia="Times New Roman" w:hAnsi="Times New Roman" w:cs="Times New Roman"/>
                <w:sz w:val="20"/>
                <w:szCs w:val="20"/>
              </w:rPr>
              <w:t xml:space="preserve">7 </w:t>
            </w:r>
            <w:r>
              <w:rPr>
                <w:rFonts w:ascii="Times New Roman" w:eastAsia="Times New Roman" w:hAnsi="Times New Roman" w:cs="Times New Roman"/>
                <w:color w:val="000000"/>
                <w:sz w:val="20"/>
                <w:szCs w:val="20"/>
              </w:rPr>
              <w:t>reporting facilities) to 6,992 in 2018/19 (based on 45 reporting facilities) [27].</w:t>
            </w:r>
          </w:p>
        </w:tc>
        <w:tc>
          <w:tcPr>
            <w:tcW w:w="0" w:type="auto"/>
            <w:tcBorders>
              <w:bottom w:val="single" w:sz="8" w:space="0" w:color="000000"/>
              <w:right w:val="single" w:sz="8" w:space="0" w:color="000000"/>
            </w:tcBorders>
            <w:tcMar>
              <w:top w:w="100" w:type="dxa"/>
              <w:left w:w="100" w:type="dxa"/>
              <w:bottom w:w="100" w:type="dxa"/>
              <w:right w:w="100" w:type="dxa"/>
            </w:tcMar>
          </w:tcPr>
          <w:p w14:paraId="7A7BDD6C"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From </w:t>
            </w:r>
            <w:r>
              <w:rPr>
                <w:rFonts w:ascii="Times New Roman" w:eastAsia="Times New Roman" w:hAnsi="Times New Roman" w:cs="Times New Roman"/>
                <w:color w:val="000000"/>
                <w:sz w:val="20"/>
                <w:szCs w:val="20"/>
              </w:rPr>
              <w:t xml:space="preserve"> 2018/19:</w:t>
            </w:r>
          </w:p>
          <w:p w14:paraId="7CEA7BF4"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R</w:t>
            </w:r>
            <w:r>
              <w:rPr>
                <w:rFonts w:ascii="Times New Roman" w:eastAsia="Times New Roman" w:hAnsi="Times New Roman" w:cs="Times New Roman"/>
                <w:color w:val="000000"/>
                <w:sz w:val="20"/>
                <w:szCs w:val="20"/>
              </w:rPr>
              <w:t xml:space="preserve">ape and sexual assault </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38%) </w:t>
            </w:r>
            <w:r>
              <w:rPr>
                <w:rFonts w:ascii="Times New Roman" w:eastAsia="Times New Roman" w:hAnsi="Times New Roman" w:cs="Times New Roman"/>
                <w:sz w:val="20"/>
                <w:szCs w:val="20"/>
              </w:rPr>
              <w:t>P</w:t>
            </w:r>
            <w:r>
              <w:rPr>
                <w:rFonts w:ascii="Times New Roman" w:eastAsia="Times New Roman" w:hAnsi="Times New Roman" w:cs="Times New Roman"/>
                <w:color w:val="000000"/>
                <w:sz w:val="20"/>
                <w:szCs w:val="20"/>
              </w:rPr>
              <w:t xml:space="preserve">hysical assault (34%) </w:t>
            </w:r>
            <w:r>
              <w:rPr>
                <w:rFonts w:ascii="Times New Roman" w:eastAsia="Times New Roman" w:hAnsi="Times New Roman" w:cs="Times New Roman"/>
                <w:sz w:val="20"/>
                <w:szCs w:val="20"/>
              </w:rPr>
              <w:t>E</w:t>
            </w:r>
            <w:r>
              <w:rPr>
                <w:rFonts w:ascii="Times New Roman" w:eastAsia="Times New Roman" w:hAnsi="Times New Roman" w:cs="Times New Roman"/>
                <w:color w:val="000000"/>
                <w:sz w:val="20"/>
                <w:szCs w:val="20"/>
              </w:rPr>
              <w:t xml:space="preserve">motional abuse (14%) </w:t>
            </w:r>
            <w:r>
              <w:rPr>
                <w:rFonts w:ascii="Times New Roman" w:eastAsia="Times New Roman" w:hAnsi="Times New Roman" w:cs="Times New Roman"/>
                <w:sz w:val="20"/>
                <w:szCs w:val="20"/>
              </w:rPr>
              <w:t>E</w:t>
            </w:r>
            <w:r>
              <w:rPr>
                <w:rFonts w:ascii="Times New Roman" w:eastAsia="Times New Roman" w:hAnsi="Times New Roman" w:cs="Times New Roman"/>
                <w:color w:val="000000"/>
                <w:sz w:val="20"/>
                <w:szCs w:val="20"/>
              </w:rPr>
              <w:t xml:space="preserve">conomic abuse (11%) </w:t>
            </w:r>
            <w:r>
              <w:rPr>
                <w:rFonts w:ascii="Times New Roman" w:eastAsia="Times New Roman" w:hAnsi="Times New Roman" w:cs="Times New Roman"/>
                <w:sz w:val="20"/>
                <w:szCs w:val="20"/>
              </w:rPr>
              <w:t>C</w:t>
            </w:r>
            <w:r>
              <w:rPr>
                <w:rFonts w:ascii="Times New Roman" w:eastAsia="Times New Roman" w:hAnsi="Times New Roman" w:cs="Times New Roman"/>
                <w:color w:val="000000"/>
                <w:sz w:val="20"/>
                <w:szCs w:val="20"/>
              </w:rPr>
              <w:t>hild marriage (1%) [27]</w:t>
            </w:r>
          </w:p>
        </w:tc>
        <w:tc>
          <w:tcPr>
            <w:tcW w:w="0" w:type="auto"/>
            <w:tcBorders>
              <w:bottom w:val="single" w:sz="8" w:space="0" w:color="000000"/>
              <w:right w:val="single" w:sz="8" w:space="0" w:color="000000"/>
            </w:tcBorders>
            <w:tcMar>
              <w:top w:w="100" w:type="dxa"/>
              <w:left w:w="100" w:type="dxa"/>
              <w:bottom w:w="100" w:type="dxa"/>
              <w:right w:w="100" w:type="dxa"/>
            </w:tcMar>
          </w:tcPr>
          <w:p w14:paraId="4AA24C6E" w14:textId="77777777" w:rsidR="003935FE" w:rsidRDefault="006762A7">
            <w:pPr>
              <w:spacing w:before="240"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4F5AFD7D"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self-assessment scorecard completed by 50 OSCs in March 2020 showed the highest score on coordination and collaboration within the hospital, and the lowest score on preparation of a joint action plan with local GBV service providers including police and local government [27].</w:t>
            </w:r>
          </w:p>
        </w:tc>
      </w:tr>
      <w:tr w:rsidR="003935FE" w14:paraId="0787F8CE" w14:textId="77777777" w:rsidTr="009821DC">
        <w:trPr>
          <w:trHeight w:val="3465"/>
        </w:trPr>
        <w:tc>
          <w:tcPr>
            <w:tcW w:w="0" w:type="auto"/>
            <w:tcBorders>
              <w:left w:val="single" w:sz="8" w:space="0" w:color="000000"/>
              <w:bottom w:val="single" w:sz="8" w:space="0" w:color="000000"/>
              <w:right w:val="single" w:sz="8" w:space="0" w:color="000000"/>
            </w:tcBorders>
            <w:tcMar>
              <w:top w:w="100" w:type="dxa"/>
              <w:left w:w="100" w:type="dxa"/>
              <w:bottom w:w="100" w:type="dxa"/>
              <w:right w:w="100" w:type="dxa"/>
            </w:tcMar>
          </w:tcPr>
          <w:p w14:paraId="649C46C6"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Rwanda</w:t>
            </w:r>
          </w:p>
        </w:tc>
        <w:tc>
          <w:tcPr>
            <w:tcW w:w="0" w:type="auto"/>
            <w:tcBorders>
              <w:bottom w:val="single" w:sz="8" w:space="0" w:color="000000"/>
              <w:right w:val="single" w:sz="8" w:space="0" w:color="000000"/>
            </w:tcBorders>
            <w:tcMar>
              <w:top w:w="100" w:type="dxa"/>
              <w:left w:w="100" w:type="dxa"/>
              <w:bottom w:w="100" w:type="dxa"/>
              <w:right w:w="100" w:type="dxa"/>
            </w:tcMar>
          </w:tcPr>
          <w:p w14:paraId="5A53FC4F"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Rwanda includes OSCs at the district level, with all VAW services located in a center within hospitals [39].</w:t>
            </w:r>
          </w:p>
        </w:tc>
        <w:tc>
          <w:tcPr>
            <w:tcW w:w="0" w:type="auto"/>
            <w:tcBorders>
              <w:bottom w:val="single" w:sz="8" w:space="0" w:color="000000"/>
              <w:right w:val="single" w:sz="8" w:space="0" w:color="000000"/>
            </w:tcBorders>
            <w:tcMar>
              <w:top w:w="100" w:type="dxa"/>
              <w:left w:w="100" w:type="dxa"/>
              <w:bottom w:w="100" w:type="dxa"/>
              <w:right w:w="100" w:type="dxa"/>
            </w:tcMar>
          </w:tcPr>
          <w:p w14:paraId="63034F7E"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Rwanda has OSCs functional in 21 of its 25 districts staffed by physicians, nurses, social workers, psychiatrists and police [39]</w:t>
            </w:r>
          </w:p>
        </w:tc>
        <w:tc>
          <w:tcPr>
            <w:tcW w:w="0" w:type="auto"/>
            <w:tcBorders>
              <w:bottom w:val="single" w:sz="8" w:space="0" w:color="000000"/>
              <w:right w:val="single" w:sz="8" w:space="0" w:color="000000"/>
            </w:tcBorders>
            <w:tcMar>
              <w:top w:w="100" w:type="dxa"/>
              <w:left w:w="100" w:type="dxa"/>
              <w:bottom w:w="100" w:type="dxa"/>
              <w:right w:w="100" w:type="dxa"/>
            </w:tcMar>
          </w:tcPr>
          <w:p w14:paraId="110D8B17"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4F9D9D90"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6CB27D98"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168919B8"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Between 2016 and 2018, analysis from application of quality assurance standards showed a 20% increase in performance among 12 OSCs, particularly in empathetic counselling, referral and follow-up of survivors</w:t>
            </w:r>
            <w:r>
              <w:rPr>
                <w:rFonts w:ascii="Times New Roman" w:eastAsia="Times New Roman" w:hAnsi="Times New Roman" w:cs="Times New Roman"/>
                <w:sz w:val="20"/>
                <w:szCs w:val="20"/>
              </w:rPr>
              <w:t>.</w:t>
            </w:r>
          </w:p>
          <w:p w14:paraId="24AC7818"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Gaps remained in turnover of trained staff, staff shortages, and lack of supportive hospital leadership to address VAW issues [28]</w:t>
            </w:r>
          </w:p>
        </w:tc>
      </w:tr>
      <w:tr w:rsidR="003935FE" w14:paraId="43B927C5" w14:textId="77777777" w:rsidTr="009821DC">
        <w:trPr>
          <w:trHeight w:val="4500"/>
        </w:trPr>
        <w:tc>
          <w:tcPr>
            <w:tcW w:w="0" w:type="auto"/>
            <w:tcBorders>
              <w:left w:val="single" w:sz="8" w:space="0" w:color="000000"/>
              <w:bottom w:val="single" w:sz="8" w:space="0" w:color="000000"/>
              <w:right w:val="single" w:sz="8" w:space="0" w:color="000000"/>
            </w:tcBorders>
            <w:tcMar>
              <w:top w:w="100" w:type="dxa"/>
              <w:left w:w="100" w:type="dxa"/>
              <w:bottom w:w="100" w:type="dxa"/>
              <w:right w:w="100" w:type="dxa"/>
            </w:tcMar>
          </w:tcPr>
          <w:p w14:paraId="0660A046"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Sri Lanka</w:t>
            </w:r>
          </w:p>
        </w:tc>
        <w:tc>
          <w:tcPr>
            <w:tcW w:w="0" w:type="auto"/>
            <w:tcBorders>
              <w:bottom w:val="single" w:sz="8" w:space="0" w:color="000000"/>
              <w:right w:val="single" w:sz="8" w:space="0" w:color="000000"/>
            </w:tcBorders>
            <w:tcMar>
              <w:top w:w="100" w:type="dxa"/>
              <w:left w:w="100" w:type="dxa"/>
              <w:bottom w:w="100" w:type="dxa"/>
              <w:right w:w="100" w:type="dxa"/>
            </w:tcMar>
          </w:tcPr>
          <w:p w14:paraId="43F16210" w14:textId="77777777" w:rsidR="003935FE" w:rsidRDefault="006762A7">
            <w:pP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Within Sri Lanka, a network of centers are usually placed within the outpatient departments of hospitals. The centers are called Mithuru Piyasa (‘friendly haven’) established in 2008</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 Mithuru Piyasa centres are staffed by a medical officer and a nursing officer in OPD and emergency care settings within hospitals (between 8 am and 5pm)[8] – with a shortage of staff, the centres do not provide for 24/7 provision of services [40].</w:t>
            </w:r>
          </w:p>
        </w:tc>
        <w:tc>
          <w:tcPr>
            <w:tcW w:w="0" w:type="auto"/>
            <w:tcBorders>
              <w:bottom w:val="single" w:sz="8" w:space="0" w:color="000000"/>
              <w:right w:val="single" w:sz="8" w:space="0" w:color="000000"/>
            </w:tcBorders>
            <w:tcMar>
              <w:top w:w="100" w:type="dxa"/>
              <w:left w:w="100" w:type="dxa"/>
              <w:bottom w:w="100" w:type="dxa"/>
              <w:right w:w="100" w:type="dxa"/>
            </w:tcMar>
          </w:tcPr>
          <w:p w14:paraId="1E4BE857"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B</w:t>
            </w:r>
            <w:r>
              <w:rPr>
                <w:rFonts w:ascii="Times New Roman" w:eastAsia="Times New Roman" w:hAnsi="Times New Roman" w:cs="Times New Roman"/>
                <w:color w:val="000000"/>
                <w:sz w:val="20"/>
                <w:szCs w:val="20"/>
              </w:rPr>
              <w:t>y the end of 2016, 21 out of 26 districts had a district-level hospital with a Mithuru Piyasa [30].</w:t>
            </w:r>
          </w:p>
          <w:p w14:paraId="611D13FE"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F</w:t>
            </w:r>
            <w:r>
              <w:rPr>
                <w:rFonts w:ascii="Times New Roman" w:eastAsia="Times New Roman" w:hAnsi="Times New Roman" w:cs="Times New Roman"/>
                <w:color w:val="000000"/>
                <w:sz w:val="20"/>
                <w:szCs w:val="20"/>
              </w:rPr>
              <w:t xml:space="preserve">rom 2011 to 2017, the number of centers grew from </w:t>
            </w:r>
            <w:r>
              <w:rPr>
                <w:rFonts w:ascii="Times New Roman" w:eastAsia="Times New Roman" w:hAnsi="Times New Roman" w:cs="Times New Roman"/>
                <w:sz w:val="20"/>
                <w:szCs w:val="20"/>
              </w:rPr>
              <w:t>6</w:t>
            </w:r>
            <w:r>
              <w:rPr>
                <w:rFonts w:ascii="Times New Roman" w:eastAsia="Times New Roman" w:hAnsi="Times New Roman" w:cs="Times New Roman"/>
                <w:color w:val="000000"/>
                <w:sz w:val="20"/>
                <w:szCs w:val="20"/>
              </w:rPr>
              <w:t xml:space="preserve"> to </w:t>
            </w:r>
            <w:r>
              <w:rPr>
                <w:rFonts w:ascii="Times New Roman" w:eastAsia="Times New Roman" w:hAnsi="Times New Roman" w:cs="Times New Roman"/>
                <w:sz w:val="20"/>
                <w:szCs w:val="20"/>
              </w:rPr>
              <w:t>57.</w:t>
            </w:r>
          </w:p>
        </w:tc>
        <w:tc>
          <w:tcPr>
            <w:tcW w:w="0" w:type="auto"/>
            <w:tcBorders>
              <w:bottom w:val="single" w:sz="8" w:space="0" w:color="000000"/>
              <w:right w:val="single" w:sz="8" w:space="0" w:color="000000"/>
            </w:tcBorders>
            <w:tcMar>
              <w:top w:w="100" w:type="dxa"/>
              <w:left w:w="100" w:type="dxa"/>
              <w:bottom w:w="100" w:type="dxa"/>
              <w:right w:w="100" w:type="dxa"/>
            </w:tcMar>
          </w:tcPr>
          <w:p w14:paraId="3394CE91"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w:t>
            </w:r>
            <w:r>
              <w:rPr>
                <w:rFonts w:ascii="Times New Roman" w:eastAsia="Times New Roman" w:hAnsi="Times New Roman" w:cs="Times New Roman"/>
                <w:color w:val="000000"/>
                <w:sz w:val="20"/>
                <w:szCs w:val="20"/>
              </w:rPr>
              <w:t xml:space="preserve">he number of clients seeking care </w:t>
            </w:r>
            <w:r>
              <w:rPr>
                <w:rFonts w:ascii="Times New Roman" w:eastAsia="Times New Roman" w:hAnsi="Times New Roman" w:cs="Times New Roman"/>
                <w:sz w:val="20"/>
                <w:szCs w:val="20"/>
              </w:rPr>
              <w:t>grew</w:t>
            </w:r>
            <w:r>
              <w:rPr>
                <w:rFonts w:ascii="Times New Roman" w:eastAsia="Times New Roman" w:hAnsi="Times New Roman" w:cs="Times New Roman"/>
                <w:color w:val="000000"/>
                <w:sz w:val="20"/>
                <w:szCs w:val="20"/>
              </w:rPr>
              <w:t xml:space="preserve"> from 447 in 2011 to 7,463 in 2017.</w:t>
            </w:r>
          </w:p>
        </w:tc>
        <w:tc>
          <w:tcPr>
            <w:tcW w:w="0" w:type="auto"/>
            <w:tcBorders>
              <w:bottom w:val="single" w:sz="8" w:space="0" w:color="000000"/>
              <w:right w:val="single" w:sz="8" w:space="0" w:color="000000"/>
            </w:tcBorders>
            <w:tcMar>
              <w:top w:w="100" w:type="dxa"/>
              <w:left w:w="100" w:type="dxa"/>
              <w:bottom w:w="100" w:type="dxa"/>
              <w:right w:w="100" w:type="dxa"/>
            </w:tcMar>
          </w:tcPr>
          <w:p w14:paraId="6EC55B9A" w14:textId="77777777" w:rsidR="003935FE" w:rsidRDefault="006762A7">
            <w:pPr>
              <w:spacing w:after="120" w:line="276"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xml:space="preserve">Of the 42,843 clients recorded from </w:t>
            </w:r>
            <w:r>
              <w:rPr>
                <w:rFonts w:ascii="Times New Roman" w:eastAsia="Times New Roman" w:hAnsi="Times New Roman" w:cs="Times New Roman"/>
                <w:sz w:val="20"/>
                <w:szCs w:val="20"/>
              </w:rPr>
              <w:t>2011</w:t>
            </w:r>
            <w:r>
              <w:rPr>
                <w:rFonts w:ascii="Times New Roman" w:eastAsia="Times New Roman" w:hAnsi="Times New Roman" w:cs="Times New Roman"/>
                <w:color w:val="000000"/>
                <w:sz w:val="20"/>
                <w:szCs w:val="20"/>
              </w:rPr>
              <w:t xml:space="preserve"> to July 2020</w:t>
            </w:r>
            <w:r>
              <w:rPr>
                <w:rFonts w:ascii="Times New Roman" w:eastAsia="Times New Roman" w:hAnsi="Times New Roman" w:cs="Times New Roman"/>
                <w:sz w:val="20"/>
                <w:szCs w:val="20"/>
              </w:rPr>
              <w:t>:</w:t>
            </w:r>
          </w:p>
          <w:p w14:paraId="2458155D"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physical assault cases (66%)</w:t>
            </w:r>
          </w:p>
          <w:p w14:paraId="62385258"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sexual assault cases</w:t>
            </w:r>
            <w:r>
              <w:rPr>
                <w:rFonts w:ascii="Times New Roman" w:eastAsia="Times New Roman" w:hAnsi="Times New Roman" w:cs="Times New Roman"/>
                <w:sz w:val="20"/>
                <w:szCs w:val="20"/>
              </w:rPr>
              <w:t xml:space="preserve"> (33%)</w:t>
            </w:r>
          </w:p>
          <w:p w14:paraId="25BBF7B3" w14:textId="77777777" w:rsidR="003935FE" w:rsidRDefault="006762A7">
            <w:pPr>
              <w:spacing w:before="240"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tc>
        <w:tc>
          <w:tcPr>
            <w:tcW w:w="0" w:type="auto"/>
            <w:tcBorders>
              <w:bottom w:val="single" w:sz="8" w:space="0" w:color="000000"/>
              <w:right w:val="single" w:sz="8" w:space="0" w:color="000000"/>
            </w:tcBorders>
            <w:tcMar>
              <w:top w:w="100" w:type="dxa"/>
              <w:left w:w="100" w:type="dxa"/>
              <w:bottom w:w="100" w:type="dxa"/>
              <w:right w:w="100" w:type="dxa"/>
            </w:tcMar>
          </w:tcPr>
          <w:p w14:paraId="371A5FED"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Available</w:t>
            </w:r>
          </w:p>
        </w:tc>
        <w:tc>
          <w:tcPr>
            <w:tcW w:w="0" w:type="auto"/>
            <w:tcBorders>
              <w:bottom w:val="single" w:sz="8" w:space="0" w:color="000000"/>
              <w:right w:val="single" w:sz="8" w:space="0" w:color="000000"/>
            </w:tcBorders>
            <w:tcMar>
              <w:top w:w="100" w:type="dxa"/>
              <w:left w:w="100" w:type="dxa"/>
              <w:bottom w:w="100" w:type="dxa"/>
              <w:right w:w="100" w:type="dxa"/>
            </w:tcMar>
          </w:tcPr>
          <w:p w14:paraId="09DECF08" w14:textId="77777777" w:rsidR="003935FE" w:rsidRDefault="006762A7">
            <w:pPr>
              <w:spacing w:after="12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2017, staff at Mithuru Piyasa centers reported conducting follow up consultations with 63% of clients [41],</w:t>
            </w:r>
          </w:p>
        </w:tc>
      </w:tr>
    </w:tbl>
    <w:p w14:paraId="31377D72" w14:textId="77777777" w:rsidR="003935FE" w:rsidRDefault="003935FE">
      <w:pPr>
        <w:rPr>
          <w:rFonts w:ascii="Times New Roman" w:eastAsia="Times New Roman" w:hAnsi="Times New Roman" w:cs="Times New Roman"/>
          <w:sz w:val="20"/>
          <w:szCs w:val="20"/>
        </w:rPr>
      </w:pPr>
    </w:p>
    <w:sectPr w:rsidR="003935FE" w:rsidSect="009821DC">
      <w:pgSz w:w="1584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1065B7"/>
    <w:multiLevelType w:val="multilevel"/>
    <w:tmpl w:val="F92807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5FE"/>
    <w:rsid w:val="003935FE"/>
    <w:rsid w:val="003B1D11"/>
    <w:rsid w:val="005B0757"/>
    <w:rsid w:val="00637B2C"/>
    <w:rsid w:val="006762A7"/>
    <w:rsid w:val="008F3D0B"/>
    <w:rsid w:val="009821DC"/>
    <w:rsid w:val="00A157DB"/>
    <w:rsid w:val="00D61E7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17172"/>
  <w15:docId w15:val="{6208ED56-95E4-47AC-8D3B-E22201720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DE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A157DB"/>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A157DB"/>
    <w:rPr>
      <w:rFonts w:ascii="Segoe UI" w:hAnsi="Segoe UI" w:cs="Mangal"/>
      <w:sz w:val="18"/>
      <w:szCs w:val="16"/>
    </w:rPr>
  </w:style>
  <w:style w:type="character" w:styleId="Hyperlink">
    <w:name w:val="Hyperlink"/>
    <w:basedOn w:val="DefaultParagraphFont"/>
    <w:uiPriority w:val="99"/>
    <w:unhideWhenUsed/>
    <w:rsid w:val="00637B2C"/>
    <w:rPr>
      <w:color w:val="0563C1" w:themeColor="hyperlink"/>
      <w:u w:val="single"/>
    </w:rPr>
  </w:style>
  <w:style w:type="character" w:styleId="UnresolvedMention">
    <w:name w:val="Unresolved Mention"/>
    <w:basedOn w:val="DefaultParagraphFont"/>
    <w:uiPriority w:val="99"/>
    <w:semiHidden/>
    <w:unhideWhenUsed/>
    <w:rsid w:val="00637B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dma.deosthali@gmail.com" TargetMode="External"/><Relationship Id="rId3" Type="http://schemas.openxmlformats.org/officeDocument/2006/relationships/styles" Target="styles.xml"/><Relationship Id="rId7" Type="http://schemas.openxmlformats.org/officeDocument/2006/relationships/hyperlink" Target="mailto:rakhi.ghoshal@gmai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hefa.sikder@care.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nobhojit.roy@ki.se" TargetMode="External"/><Relationship Id="rId4" Type="http://schemas.openxmlformats.org/officeDocument/2006/relationships/settings" Target="settings.xml"/><Relationship Id="rId9" Type="http://schemas.openxmlformats.org/officeDocument/2006/relationships/hyperlink" Target="mailto:cjaishw@emor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rElAowf6reqWzJE5LskHKEoodA==">AMUW2mXOtJO2cWkZM33DHMF7uyQ2ybJq9xAVLBRRtTxCGJrbMuSGCb2EhAv/Q/d1X/dzieimMk/8NFM/Pdodjgab3M1Veoo8EHh29bGml/Rlhi3oqpRp164Dhw3yfAHDpKcHGLLnPk7l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Shefa Sikder</dc:creator>
  <cp:lastModifiedBy>Shefa Sikder</cp:lastModifiedBy>
  <cp:revision>8</cp:revision>
  <dcterms:created xsi:type="dcterms:W3CDTF">2021-01-29T18:04:00Z</dcterms:created>
  <dcterms:modified xsi:type="dcterms:W3CDTF">2021-02-21T15:09:00Z</dcterms:modified>
</cp:coreProperties>
</file>