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7CD0" w:rsidRDefault="0069693A">
      <w:pPr>
        <w:pStyle w:val="Body"/>
        <w:spacing w:line="360" w:lineRule="auto"/>
      </w:pPr>
      <w:r>
        <w:rPr>
          <w:b/>
          <w:bCs/>
        </w:rPr>
        <w:t>Table 3.</w:t>
      </w:r>
      <w:r>
        <w:t xml:space="preserve"> Comparison of statistical mixed-effects models fit to the MSEL functional domain scores including age, gender, birth weight, maternal education (</w:t>
      </w:r>
      <w:proofErr w:type="spellStart"/>
      <w:r>
        <w:t>MatEd</w:t>
      </w:r>
      <w:proofErr w:type="spellEnd"/>
      <w:r>
        <w:t>) and with (left column) and without (right column) the myelin content in the common core network.  For a</w:t>
      </w:r>
      <w:r>
        <w:t>ll domains, myelination was an important contributor (high T-statistic) and the model containing myelination was preferable (lower AIC)</w:t>
      </w:r>
    </w:p>
    <w:p w:rsidR="00C97CD0" w:rsidRDefault="0069693A">
      <w:pPr>
        <w:pStyle w:val="Body"/>
        <w:spacing w:line="360" w:lineRule="auto"/>
      </w:pPr>
      <w:bookmarkStart w:id="0" w:name="_GoBack"/>
      <w:r>
        <w:rPr>
          <w:noProof/>
        </w:rPr>
        <w:drawing>
          <wp:anchor distT="12700" distB="12700" distL="12700" distR="12700" simplePos="0" relativeHeight="251663360" behindDoc="0" locked="0" layoutInCell="1" allowOverlap="0">
            <wp:simplePos x="0" y="0"/>
            <wp:positionH relativeFrom="column">
              <wp:align>center</wp:align>
            </wp:positionH>
            <wp:positionV relativeFrom="line">
              <wp:posOffset>0</wp:posOffset>
            </wp:positionV>
            <wp:extent cx="5905500" cy="7226300"/>
            <wp:effectExtent l="0" t="0" r="0" b="0"/>
            <wp:wrapTopAndBottom distT="12700" distB="12700"/>
            <wp:docPr id="1073741829" name="officeArt object" descr="Image"/>
            <wp:cNvGraphicFramePr/>
            <a:graphic xmlns:a="http://schemas.openxmlformats.org/drawingml/2006/main">
              <a:graphicData uri="http://schemas.openxmlformats.org/drawingml/2006/picture">
                <pic:pic xmlns:pic="http://schemas.openxmlformats.org/drawingml/2006/picture">
                  <pic:nvPicPr>
                    <pic:cNvPr id="1073741829" name="Image" descr="Image"/>
                    <pic:cNvPicPr>
                      <a:picLocks/>
                    </pic:cNvPicPr>
                  </pic:nvPicPr>
                  <pic:blipFill>
                    <a:blip r:embed="rId7">
                      <a:extLst/>
                    </a:blip>
                    <a:srcRect l="11639" t="8176" r="11639" b="25040"/>
                    <a:stretch>
                      <a:fillRect/>
                    </a:stretch>
                  </pic:blipFill>
                  <pic:spPr>
                    <a:xfrm>
                      <a:off x="0" y="0"/>
                      <a:ext cx="5905500" cy="7226300"/>
                    </a:xfrm>
                    <a:prstGeom prst="rect">
                      <a:avLst/>
                    </a:prstGeom>
                    <a:ln w="12700" cap="flat">
                      <a:noFill/>
                      <a:miter lim="400000"/>
                    </a:ln>
                    <a:effectLst/>
                  </pic:spPr>
                </pic:pic>
              </a:graphicData>
            </a:graphic>
          </wp:anchor>
        </w:drawing>
      </w:r>
      <w:bookmarkEnd w:id="0"/>
      <w:r>
        <w:rPr>
          <w:rFonts w:ascii="Arial Unicode MS" w:hAnsi="Arial Unicode MS"/>
        </w:rPr>
        <w:br w:type="page"/>
      </w:r>
    </w:p>
    <w:p w:rsidR="00C97CD0" w:rsidRDefault="0069693A">
      <w:pPr>
        <w:pStyle w:val="Body"/>
        <w:spacing w:line="360" w:lineRule="auto"/>
      </w:pPr>
      <w:r>
        <w:rPr>
          <w:b/>
          <w:bCs/>
        </w:rPr>
        <w:lastRenderedPageBreak/>
        <w:t>Table 4.</w:t>
      </w:r>
      <w:r>
        <w:t xml:space="preserve">  Comparison of statistical mixed-effects models fit to the MSEL functional domain scores including age, gend</w:t>
      </w:r>
      <w:r>
        <w:t>er, birth weight, maternal education (</w:t>
      </w:r>
      <w:proofErr w:type="spellStart"/>
      <w:r>
        <w:t>MatEd</w:t>
      </w:r>
      <w:proofErr w:type="spellEnd"/>
      <w:r>
        <w:t>) and with (left column) and without (right column) each network</w:t>
      </w:r>
      <w:r>
        <w:rPr>
          <w:rtl/>
        </w:rPr>
        <w:t>’</w:t>
      </w:r>
      <w:r>
        <w:t>s specific myelination.  For all domains, myelination was an important contributor (high T-statistic) and the model containing myelination was prefe</w:t>
      </w:r>
      <w:r>
        <w:t>rable (lower AIC).</w:t>
      </w:r>
    </w:p>
    <w:p w:rsidR="00C97CD0" w:rsidRDefault="0069693A">
      <w:pPr>
        <w:pStyle w:val="Body"/>
        <w:spacing w:line="360" w:lineRule="auto"/>
      </w:pPr>
      <w:r>
        <w:rPr>
          <w:noProof/>
        </w:rPr>
        <w:drawing>
          <wp:anchor distT="0" distB="0" distL="0" distR="0" simplePos="0" relativeHeight="251664384" behindDoc="0" locked="0" layoutInCell="1" allowOverlap="0">
            <wp:simplePos x="0" y="0"/>
            <wp:positionH relativeFrom="column">
              <wp:align>center</wp:align>
            </wp:positionH>
            <wp:positionV relativeFrom="line">
              <wp:posOffset>0</wp:posOffset>
            </wp:positionV>
            <wp:extent cx="6261100" cy="6705600"/>
            <wp:effectExtent l="0" t="0" r="0" b="0"/>
            <wp:wrapTopAndBottom distT="0" distB="0"/>
            <wp:docPr id="1073741830" name="officeArt object" descr="Image"/>
            <wp:cNvGraphicFramePr/>
            <a:graphic xmlns:a="http://schemas.openxmlformats.org/drawingml/2006/main">
              <a:graphicData uri="http://schemas.openxmlformats.org/drawingml/2006/picture">
                <pic:pic xmlns:pic="http://schemas.openxmlformats.org/drawingml/2006/picture">
                  <pic:nvPicPr>
                    <pic:cNvPr id="1073741830" name="Image" descr="Image"/>
                    <pic:cNvPicPr>
                      <a:picLocks/>
                    </pic:cNvPicPr>
                  </pic:nvPicPr>
                  <pic:blipFill>
                    <a:blip r:embed="rId8">
                      <a:extLst/>
                    </a:blip>
                    <a:srcRect l="11756" t="9805" r="13924" b="22637"/>
                    <a:stretch>
                      <a:fillRect/>
                    </a:stretch>
                  </pic:blipFill>
                  <pic:spPr>
                    <a:xfrm>
                      <a:off x="0" y="0"/>
                      <a:ext cx="6261100" cy="6705600"/>
                    </a:xfrm>
                    <a:prstGeom prst="rect">
                      <a:avLst/>
                    </a:prstGeom>
                    <a:ln w="12700" cap="flat">
                      <a:noFill/>
                      <a:miter lim="400000"/>
                    </a:ln>
                    <a:effectLst/>
                  </pic:spPr>
                </pic:pic>
              </a:graphicData>
            </a:graphic>
          </wp:anchor>
        </w:drawing>
      </w:r>
      <w:r>
        <w:rPr>
          <w:rFonts w:ascii="Arial Unicode MS" w:hAnsi="Arial Unicode MS"/>
        </w:rPr>
        <w:br w:type="page"/>
      </w:r>
    </w:p>
    <w:p w:rsidR="00C97CD0" w:rsidRDefault="0069693A">
      <w:pPr>
        <w:pStyle w:val="Body"/>
        <w:spacing w:line="360" w:lineRule="auto"/>
      </w:pPr>
      <w:r>
        <w:rPr>
          <w:b/>
          <w:bCs/>
        </w:rPr>
        <w:lastRenderedPageBreak/>
        <w:t>Table 5.</w:t>
      </w:r>
      <w:r>
        <w:t xml:space="preserve"> Mixed model analysis of the associations between child gender, birth weight, and maternal education level on mean network myelin content.  We find no significant effects after correcting for multiple comparisons, however, chi</w:t>
      </w:r>
      <w:r>
        <w:t>ld birth weight shows a trend towards significance for both core and gross motor network myelination.</w:t>
      </w:r>
    </w:p>
    <w:p w:rsidR="00C97CD0" w:rsidRDefault="0069693A">
      <w:pPr>
        <w:pStyle w:val="Body"/>
        <w:spacing w:line="360" w:lineRule="auto"/>
      </w:pPr>
      <w:r>
        <w:rPr>
          <w:noProof/>
        </w:rPr>
        <w:drawing>
          <wp:inline distT="0" distB="0" distL="0" distR="0">
            <wp:extent cx="3937828" cy="7454900"/>
            <wp:effectExtent l="0" t="0" r="0" b="0"/>
            <wp:docPr id="1073741831" name="officeArt object" descr="Image"/>
            <wp:cNvGraphicFramePr/>
            <a:graphic xmlns:a="http://schemas.openxmlformats.org/drawingml/2006/main">
              <a:graphicData uri="http://schemas.openxmlformats.org/drawingml/2006/picture">
                <pic:pic xmlns:pic="http://schemas.openxmlformats.org/drawingml/2006/picture">
                  <pic:nvPicPr>
                    <pic:cNvPr id="1073741831" name="Image" descr="Image"/>
                    <pic:cNvPicPr>
                      <a:picLocks noChangeAspect="1"/>
                    </pic:cNvPicPr>
                  </pic:nvPicPr>
                  <pic:blipFill>
                    <a:blip r:embed="rId9">
                      <a:extLst/>
                    </a:blip>
                    <a:stretch>
                      <a:fillRect/>
                    </a:stretch>
                  </pic:blipFill>
                  <pic:spPr>
                    <a:xfrm>
                      <a:off x="0" y="0"/>
                      <a:ext cx="3937828" cy="7454900"/>
                    </a:xfrm>
                    <a:prstGeom prst="rect">
                      <a:avLst/>
                    </a:prstGeom>
                    <a:ln w="12700" cap="flat">
                      <a:noFill/>
                      <a:miter lim="400000"/>
                    </a:ln>
                    <a:effectLst/>
                  </pic:spPr>
                </pic:pic>
              </a:graphicData>
            </a:graphic>
          </wp:inline>
        </w:drawing>
      </w:r>
      <w:r>
        <w:rPr>
          <w:rFonts w:ascii="Arial Unicode MS" w:hAnsi="Arial Unicode MS"/>
        </w:rPr>
        <w:br w:type="page"/>
      </w:r>
    </w:p>
    <w:p w:rsidR="00C97CD0" w:rsidRDefault="0069693A">
      <w:pPr>
        <w:pStyle w:val="Body"/>
        <w:spacing w:line="360" w:lineRule="auto"/>
      </w:pPr>
      <w:r>
        <w:rPr>
          <w:b/>
          <w:bCs/>
        </w:rPr>
        <w:lastRenderedPageBreak/>
        <w:t>Table 6.</w:t>
      </w:r>
      <w:r>
        <w:t xml:space="preserve"> Examining the contribution of the core vs. functionally-specific network myelination to cognitive measures.  While inclusion of both networks improves upon the model without myelin (Tables 3 and 4), the addition of the functionally-specific network inform</w:t>
      </w:r>
      <w:r>
        <w:t>ation does not significantly improve the fit over the core network alone.</w:t>
      </w:r>
    </w:p>
    <w:p w:rsidR="00C97CD0" w:rsidRDefault="0069693A">
      <w:pPr>
        <w:pStyle w:val="Body"/>
        <w:spacing w:line="360" w:lineRule="auto"/>
        <w:rPr>
          <w:b/>
          <w:bCs/>
        </w:rPr>
      </w:pPr>
      <w:r>
        <w:rPr>
          <w:b/>
          <w:bCs/>
          <w:noProof/>
        </w:rPr>
        <w:drawing>
          <wp:inline distT="0" distB="0" distL="0" distR="0">
            <wp:extent cx="6185397" cy="6616700"/>
            <wp:effectExtent l="0" t="0" r="0" b="0"/>
            <wp:docPr id="1073741832" name="officeArt object" descr="Image"/>
            <wp:cNvGraphicFramePr/>
            <a:graphic xmlns:a="http://schemas.openxmlformats.org/drawingml/2006/main">
              <a:graphicData uri="http://schemas.openxmlformats.org/drawingml/2006/picture">
                <pic:pic xmlns:pic="http://schemas.openxmlformats.org/drawingml/2006/picture">
                  <pic:nvPicPr>
                    <pic:cNvPr id="1073741832" name="Image" descr="Image"/>
                    <pic:cNvPicPr>
                      <a:picLocks noChangeAspect="1"/>
                    </pic:cNvPicPr>
                  </pic:nvPicPr>
                  <pic:blipFill>
                    <a:blip r:embed="rId10">
                      <a:extLst/>
                    </a:blip>
                    <a:stretch>
                      <a:fillRect/>
                    </a:stretch>
                  </pic:blipFill>
                  <pic:spPr>
                    <a:xfrm>
                      <a:off x="0" y="0"/>
                      <a:ext cx="6185397" cy="6616700"/>
                    </a:xfrm>
                    <a:prstGeom prst="rect">
                      <a:avLst/>
                    </a:prstGeom>
                    <a:ln w="12700" cap="flat">
                      <a:noFill/>
                      <a:miter lim="400000"/>
                    </a:ln>
                    <a:effectLst/>
                  </pic:spPr>
                </pic:pic>
              </a:graphicData>
            </a:graphic>
          </wp:inline>
        </w:drawing>
      </w:r>
    </w:p>
    <w:p w:rsidR="00C97CD0" w:rsidRDefault="00C97CD0">
      <w:pPr>
        <w:pStyle w:val="Body"/>
        <w:spacing w:line="360" w:lineRule="auto"/>
        <w:rPr>
          <w:b/>
          <w:bCs/>
        </w:rPr>
      </w:pPr>
    </w:p>
    <w:p w:rsidR="00C97CD0" w:rsidRDefault="00C97CD0">
      <w:pPr>
        <w:pStyle w:val="Body"/>
        <w:spacing w:line="360" w:lineRule="auto"/>
      </w:pPr>
    </w:p>
    <w:sectPr w:rsidR="00C97CD0">
      <w:headerReference w:type="default" r:id="rId11"/>
      <w:footerReference w:type="default" r:id="rId12"/>
      <w:pgSz w:w="12240" w:h="15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693A" w:rsidRDefault="0069693A">
      <w:r>
        <w:separator/>
      </w:r>
    </w:p>
  </w:endnote>
  <w:endnote w:type="continuationSeparator" w:id="0">
    <w:p w:rsidR="0069693A" w:rsidRDefault="00696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Times New Roman"/>
    <w:charset w:val="00"/>
    <w:family w:val="roman"/>
    <w:pitch w:val="default"/>
  </w:font>
  <w:font w:name="Courier">
    <w:panose1 w:val="02070409020205020404"/>
    <w:charset w:val="00"/>
    <w:family w:val="roman"/>
    <w:pitch w:val="default"/>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7CD0" w:rsidRDefault="00C97CD0">
    <w:pPr>
      <w:tabs>
        <w:tab w:val="right" w:pos="9360"/>
      </w:tabs>
      <w:rPr>
        <w:rFonts w:ascii="Helvetica" w:hAnsi="Helvetica"/>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693A" w:rsidRDefault="0069693A">
      <w:r>
        <w:separator/>
      </w:r>
    </w:p>
  </w:footnote>
  <w:footnote w:type="continuationSeparator" w:id="0">
    <w:p w:rsidR="0069693A" w:rsidRDefault="006969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7CD0" w:rsidRDefault="00C97CD0">
    <w:pPr>
      <w:tabs>
        <w:tab w:val="right" w:pos="9360"/>
      </w:tabs>
      <w:rPr>
        <w:rFonts w:ascii="Helvetica" w:hAnsi="Helvetica"/>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083BCF"/>
    <w:multiLevelType w:val="hybridMultilevel"/>
    <w:tmpl w:val="8FAC39D0"/>
    <w:numStyleLink w:val="Numbered"/>
  </w:abstractNum>
  <w:abstractNum w:abstractNumId="1" w15:restartNumberingAfterBreak="0">
    <w:nsid w:val="34026FD3"/>
    <w:multiLevelType w:val="hybridMultilevel"/>
    <w:tmpl w:val="8FAC39D0"/>
    <w:styleLink w:val="Numbered"/>
    <w:lvl w:ilvl="0" w:tplc="5FA8490A">
      <w:start w:val="1"/>
      <w:numFmt w:val="decimal"/>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tplc="8A685EA4">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94CA714">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5C34AEE8">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086F8F4">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D126468">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897E2E08">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4A0B6A8">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E8A32D0">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CD0"/>
    <w:rsid w:val="0069693A"/>
    <w:rsid w:val="007F1A1B"/>
    <w:rsid w:val="00C97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D1E1E"/>
  <w15:docId w15:val="{16968E4B-E71C-4F5D-81DD-530A08045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rFonts w:cs="Arial Unicode MS"/>
      <w:color w:val="000000"/>
      <w:sz w:val="24"/>
      <w:szCs w:val="24"/>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numbering" w:customStyle="1" w:styleId="Numbered">
    <w:name w:val="Numbered"/>
    <w:pPr>
      <w:numPr>
        <w:numId w:val="1"/>
      </w:numPr>
    </w:pPr>
  </w:style>
  <w:style w:type="paragraph" w:customStyle="1" w:styleId="PlainText1">
    <w:name w:val="Plain Text1"/>
    <w:rPr>
      <w:rFonts w:ascii="Courier" w:eastAsia="Courier" w:hAnsi="Courier" w:cs="Courier"/>
      <w:color w:val="000000"/>
      <w:sz w:val="24"/>
      <w:szCs w:val="24"/>
      <w14:textOutline w14:w="0" w14:cap="flat" w14:cmpd="sng" w14:algn="ctr">
        <w14:noFill/>
        <w14:prstDash w14:val="solid"/>
        <w14:bevel/>
      </w14:textOutline>
    </w:rPr>
  </w:style>
  <w:style w:type="paragraph" w:customStyle="1" w:styleId="FreeForm">
    <w:name w:val="Free Form"/>
    <w:rPr>
      <w:rFonts w:ascii="Helvetica" w:eastAsia="Helvetica" w:hAnsi="Helvetica" w:cs="Helvetica"/>
      <w:color w:val="000000"/>
      <w:sz w:val="24"/>
      <w:szCs w:val="24"/>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a:ea typeface="Helvetica"/>
        <a:cs typeface="Helvetica"/>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220</Words>
  <Characters>1259</Characters>
  <Application>Microsoft Office Word</Application>
  <DocSecurity>0</DocSecurity>
  <Lines>10</Lines>
  <Paragraphs>2</Paragraphs>
  <ScaleCrop>false</ScaleCrop>
  <Company>Springer Nature IT</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Poonam Mutha</cp:lastModifiedBy>
  <cp:revision>2</cp:revision>
  <dcterms:created xsi:type="dcterms:W3CDTF">2022-09-02T03:22:00Z</dcterms:created>
  <dcterms:modified xsi:type="dcterms:W3CDTF">2022-09-02T03:23:00Z</dcterms:modified>
</cp:coreProperties>
</file>