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15BB8" w14:textId="68713BE1" w:rsidR="00552FE0" w:rsidRDefault="00552FE0">
      <w:pPr>
        <w:spacing w:before="120" w:after="120" w:line="360" w:lineRule="auto"/>
        <w:jc w:val="both"/>
        <w:rPr>
          <w:b/>
          <w:sz w:val="28"/>
          <w:szCs w:val="28"/>
        </w:rPr>
      </w:pPr>
      <w:r w:rsidRPr="00552FE0">
        <w:rPr>
          <w:b/>
          <w:sz w:val="28"/>
          <w:szCs w:val="28"/>
        </w:rPr>
        <w:t>Singh et al. Supplemental Material</w:t>
      </w:r>
    </w:p>
    <w:p w14:paraId="5B131C13" w14:textId="77777777" w:rsidR="00552FE0" w:rsidRDefault="00552FE0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0728EFFB" w14:textId="77777777" w:rsidR="00552FE0" w:rsidRDefault="00552FE0" w:rsidP="00552FE0">
      <w:pPr>
        <w:spacing w:before="120" w:after="12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Supplemental Fig. 1</w:t>
      </w:r>
    </w:p>
    <w:p w14:paraId="37D47956" w14:textId="29AF7445" w:rsidR="004C11ED" w:rsidRDefault="00000000">
      <w:pPr>
        <w:spacing w:before="120" w:after="120" w:line="360" w:lineRule="auto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114300" distB="114300" distL="114300" distR="114300" wp14:anchorId="2DD51208" wp14:editId="622195EB">
            <wp:extent cx="3729038" cy="7718240"/>
            <wp:effectExtent l="0" t="0" r="0" b="0"/>
            <wp:docPr id="79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29038" cy="77182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D3FA4F7" w14:textId="77777777" w:rsidR="004C11ED" w:rsidRDefault="00000000">
      <w:pPr>
        <w:spacing w:before="120" w:after="12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Supplemental Fig. 1</w:t>
      </w:r>
      <w:r>
        <w:rPr>
          <w:sz w:val="24"/>
          <w:szCs w:val="24"/>
        </w:rPr>
        <w:t xml:space="preserve">: </w:t>
      </w:r>
      <w:r>
        <w:rPr>
          <w:b/>
          <w:sz w:val="24"/>
          <w:szCs w:val="24"/>
        </w:rPr>
        <w:t>1a</w:t>
      </w:r>
      <w:r>
        <w:rPr>
          <w:sz w:val="24"/>
          <w:szCs w:val="24"/>
        </w:rPr>
        <w:t>: Effect of psilocybin 4.4 mg/kg and buspirone 5 mg/kg on distance travelled in the open field over 30 minutes. One way ANOVA: F2,30 = 1.044; p=0.3645 . p N.S. vs. VEH.</w:t>
      </w:r>
    </w:p>
    <w:p w14:paraId="3DA897EF" w14:textId="77777777" w:rsidR="004C11ED" w:rsidRDefault="00000000">
      <w:pPr>
        <w:spacing w:before="120" w:after="12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1b</w:t>
      </w:r>
      <w:r>
        <w:rPr>
          <w:sz w:val="24"/>
          <w:szCs w:val="24"/>
        </w:rPr>
        <w:t>: Effect of psilocybin 4.4 mg/kg and buspirone 5 mg/kg on time spent in the center of the</w:t>
      </w:r>
    </w:p>
    <w:p w14:paraId="07D97D93" w14:textId="77777777" w:rsidR="004C11ED" w:rsidRDefault="00000000">
      <w:pPr>
        <w:spacing w:before="120"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open field over 30 minutes. One way ANOVA: F 2, 30 = 4.934; p=0.0140. p N.S. vs. VEH.</w:t>
      </w:r>
    </w:p>
    <w:p w14:paraId="3DB32A66" w14:textId="77777777" w:rsidR="004C11ED" w:rsidRDefault="00000000">
      <w:pPr>
        <w:spacing w:before="120" w:after="12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1c</w:t>
      </w:r>
      <w:r>
        <w:rPr>
          <w:sz w:val="24"/>
          <w:szCs w:val="24"/>
        </w:rPr>
        <w:t>: Effect of psilocybin 4.4 mg/kg and buspirone 5 mg/kg on time spent in the periphery of the</w:t>
      </w:r>
    </w:p>
    <w:p w14:paraId="1D6E5529" w14:textId="77777777" w:rsidR="004C11ED" w:rsidRDefault="00000000">
      <w:pPr>
        <w:spacing w:before="120"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open field over 10 minutes. One way ANOVA: F 2, 30 = 5.003; p = 0.0133. p N.S vs VEH, n= 9-</w:t>
      </w:r>
    </w:p>
    <w:p w14:paraId="2CC5D206" w14:textId="77777777" w:rsidR="004C11ED" w:rsidRDefault="00000000">
      <w:pPr>
        <w:spacing w:before="120"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15 (Tukey's multiple comparisons test).</w:t>
      </w:r>
    </w:p>
    <w:p w14:paraId="659218AF" w14:textId="77777777" w:rsidR="00552FE0" w:rsidRDefault="00552FE0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3C16F8A3" w14:textId="5D2813F2" w:rsidR="004C11ED" w:rsidRDefault="00000000">
      <w:pPr>
        <w:spacing w:before="240" w:after="24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Supplemental Fig. 2</w:t>
      </w:r>
    </w:p>
    <w:p w14:paraId="584D517E" w14:textId="77777777" w:rsidR="004C11ED" w:rsidRDefault="00000000">
      <w:pPr>
        <w:spacing w:before="240" w:after="240" w:line="360" w:lineRule="auto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114300" distB="114300" distL="114300" distR="114300" wp14:anchorId="3D81507B" wp14:editId="24F95F0B">
            <wp:extent cx="3813624" cy="2646313"/>
            <wp:effectExtent l="0" t="0" r="0" b="0"/>
            <wp:docPr id="7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3624" cy="26463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93C252B" w14:textId="6A92CA90" w:rsidR="004C11ED" w:rsidRDefault="00000000">
      <w:pPr>
        <w:spacing w:before="240" w:after="24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Supplemental Fig. 2: </w:t>
      </w:r>
      <w:r>
        <w:rPr>
          <w:sz w:val="24"/>
          <w:szCs w:val="24"/>
        </w:rPr>
        <w:t>Effect of psilocybin 4.4 mg/kg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after 1 week on total marbles buried over 30 minutes. No significant effect of psilocybin was observed (vehicle 18.6 ± 1.6, n=5; psilocybin 17.75± 2.21 n=4; p =0.53).</w:t>
      </w:r>
    </w:p>
    <w:p w14:paraId="1C71E762" w14:textId="58C651BF" w:rsidR="003D5EB2" w:rsidRDefault="003D5EB2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A0989DA" w14:textId="77777777" w:rsidR="003D5EB2" w:rsidRDefault="003D5EB2" w:rsidP="003D5EB2">
      <w:pPr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lastRenderedPageBreak/>
        <w:t>Supplemental Figure 3</w:t>
      </w:r>
    </w:p>
    <w:p w14:paraId="3AFA6802" w14:textId="1CFF5A9C" w:rsidR="003D5EB2" w:rsidRDefault="003D5EB2" w:rsidP="003D5EB2">
      <w:pPr>
        <w:jc w:val="center"/>
        <w:rPr>
          <w:rFonts w:asciiTheme="minorHAnsi" w:hAnsiTheme="minorHAnsi"/>
          <w:b/>
          <w:bCs/>
          <w:szCs w:val="20"/>
        </w:rPr>
      </w:pPr>
      <w:r>
        <w:rPr>
          <w:b/>
          <w:bCs/>
          <w:noProof/>
        </w:rPr>
        <w:drawing>
          <wp:inline distT="0" distB="0" distL="0" distR="0" wp14:anchorId="01CE1508" wp14:editId="4531A7CE">
            <wp:extent cx="4114800" cy="28727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287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74F037" w14:textId="77777777" w:rsidR="003D5EB2" w:rsidRDefault="003D5EB2" w:rsidP="003D5EB2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Supplemental Fig. 3: </w:t>
      </w:r>
      <w:r>
        <w:rPr>
          <w:rFonts w:ascii="Times New Roman" w:hAnsi="Times New Roman" w:cs="Times New Roman"/>
          <w:sz w:val="24"/>
          <w:szCs w:val="24"/>
        </w:rPr>
        <w:t xml:space="preserve">Effect of psilocybin 4.4 mg/kg drug in staggered fashion over a period of 3.0 hours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i.e.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i.p. injections of 1.1 mg/kg every 60 minutes; MBT performed 30 minutes after the last injection. No significant effect of psilocybin was observed (vehicle 19±0.89 n=6; psilocybin 19±1.32 n=9; p&gt;0.10) (n=6-9).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14:paraId="4B3B009A" w14:textId="77777777" w:rsidR="003D5EB2" w:rsidRDefault="003D5EB2">
      <w:pPr>
        <w:spacing w:before="240" w:after="240" w:line="360" w:lineRule="auto"/>
        <w:jc w:val="both"/>
        <w:rPr>
          <w:sz w:val="24"/>
          <w:szCs w:val="24"/>
        </w:rPr>
      </w:pPr>
    </w:p>
    <w:p w14:paraId="036AA6A9" w14:textId="77777777" w:rsidR="004C11ED" w:rsidRDefault="004C11ED">
      <w:pPr>
        <w:spacing w:before="120" w:after="120" w:line="360" w:lineRule="auto"/>
        <w:jc w:val="both"/>
        <w:rPr>
          <w:b/>
          <w:sz w:val="24"/>
          <w:szCs w:val="24"/>
        </w:rPr>
      </w:pPr>
    </w:p>
    <w:p w14:paraId="2D88522D" w14:textId="77777777" w:rsidR="004C11ED" w:rsidRDefault="004C11ED">
      <w:pPr>
        <w:spacing w:before="120" w:after="120" w:line="360" w:lineRule="auto"/>
        <w:jc w:val="both"/>
        <w:rPr>
          <w:b/>
          <w:sz w:val="24"/>
          <w:szCs w:val="24"/>
        </w:rPr>
      </w:pPr>
    </w:p>
    <w:p w14:paraId="61C54556" w14:textId="77777777" w:rsidR="004C11ED" w:rsidRDefault="004C11ED">
      <w:pPr>
        <w:spacing w:before="120" w:after="120" w:line="360" w:lineRule="auto"/>
        <w:jc w:val="both"/>
        <w:rPr>
          <w:b/>
          <w:sz w:val="24"/>
          <w:szCs w:val="24"/>
        </w:rPr>
      </w:pPr>
    </w:p>
    <w:p w14:paraId="4925CC53" w14:textId="77777777" w:rsidR="00552FE0" w:rsidRDefault="00552FE0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6801EEE6" w14:textId="30C9CF63" w:rsidR="004C11ED" w:rsidRDefault="00000000">
      <w:pPr>
        <w:spacing w:before="120" w:after="12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SUPPLEMENTAL VIDEO</w:t>
      </w:r>
    </w:p>
    <w:p w14:paraId="2D36D4A8" w14:textId="77777777" w:rsidR="004C11ED" w:rsidRDefault="00000000">
      <w:pPr>
        <w:spacing w:before="120"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This video shows ICR mice engaged in marble-burying. This behavior serves as the basis for the</w:t>
      </w:r>
    </w:p>
    <w:p w14:paraId="2B890879" w14:textId="77777777" w:rsidR="004C11ED" w:rsidRDefault="00000000">
      <w:pPr>
        <w:spacing w:before="120"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Marble-burying test. Mice did not receive any pretreatment before being placed in the test</w:t>
      </w:r>
    </w:p>
    <w:p w14:paraId="4316E2D2" w14:textId="77777777" w:rsidR="004C11ED" w:rsidRDefault="00000000">
      <w:pPr>
        <w:spacing w:before="120"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cage which contained twenty marbles equidistant from each other in a 5 × 4 pattern. The</w:t>
      </w:r>
    </w:p>
    <w:p w14:paraId="60087C76" w14:textId="77777777" w:rsidR="004C11ED" w:rsidRDefault="00000000">
      <w:pPr>
        <w:spacing w:before="120"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experiment was done under dim light in a quiet room to reduce the influence of anxiety on</w:t>
      </w:r>
    </w:p>
    <w:p w14:paraId="409BA378" w14:textId="77777777" w:rsidR="004C11ED" w:rsidRDefault="00000000">
      <w:pPr>
        <w:spacing w:before="120"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behavior. The mice were left in the cage with the marbles for a 30-min period after which the</w:t>
      </w:r>
    </w:p>
    <w:p w14:paraId="2DDAFBF3" w14:textId="77777777" w:rsidR="004C11ED" w:rsidRDefault="00000000">
      <w:pPr>
        <w:spacing w:before="120"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test was terminated by removing the mice. Number of buried marbles was counted after 10, 20</w:t>
      </w:r>
    </w:p>
    <w:p w14:paraId="45006C73" w14:textId="77777777" w:rsidR="004C11ED" w:rsidRDefault="00000000">
      <w:pPr>
        <w:spacing w:before="120"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and 30 minutes.</w:t>
      </w:r>
    </w:p>
    <w:p w14:paraId="3C4D4315" w14:textId="77777777" w:rsidR="004C11ED" w:rsidRDefault="00000000">
      <w:pPr>
        <w:spacing w:before="120"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https://drive.google.com/file/d/1n5oKtI4ZyewVwn1suDFXxifdbwjO4Wtt/view?usp=sharing</w:t>
      </w:r>
    </w:p>
    <w:p w14:paraId="7B134528" w14:textId="77777777" w:rsidR="004C11ED" w:rsidRDefault="00000000">
      <w:pPr>
        <w:spacing w:before="120"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(Filmed by Dr Alexander Botvinnik, Biological Psychiatry Laboratory and Hadassah BrainLabs,</w:t>
      </w:r>
    </w:p>
    <w:p w14:paraId="2D510924" w14:textId="77777777" w:rsidR="004C11ED" w:rsidRDefault="00000000">
      <w:pPr>
        <w:spacing w:before="120"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Hadassah Medical Center, Hebrew University, Jerusalem, Israel)</w:t>
      </w:r>
    </w:p>
    <w:p w14:paraId="18D87C6D" w14:textId="77777777" w:rsidR="004C11ED" w:rsidRDefault="004C11ED">
      <w:pPr>
        <w:spacing w:before="120" w:after="120" w:line="360" w:lineRule="auto"/>
        <w:jc w:val="both"/>
        <w:rPr>
          <w:sz w:val="24"/>
          <w:szCs w:val="24"/>
        </w:rPr>
      </w:pPr>
    </w:p>
    <w:sectPr w:rsidR="004C11ED">
      <w:headerReference w:type="default" r:id="rId10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5D5DF" w14:textId="77777777" w:rsidR="003E79D1" w:rsidRDefault="003E79D1">
      <w:pPr>
        <w:spacing w:after="0" w:line="240" w:lineRule="auto"/>
      </w:pPr>
      <w:r>
        <w:separator/>
      </w:r>
    </w:p>
  </w:endnote>
  <w:endnote w:type="continuationSeparator" w:id="0">
    <w:p w14:paraId="3A15E61C" w14:textId="77777777" w:rsidR="003E79D1" w:rsidRDefault="003E7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arisSIL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FE1C6" w14:textId="77777777" w:rsidR="003E79D1" w:rsidRDefault="003E79D1">
      <w:pPr>
        <w:spacing w:after="0" w:line="240" w:lineRule="auto"/>
      </w:pPr>
      <w:r>
        <w:separator/>
      </w:r>
    </w:p>
  </w:footnote>
  <w:footnote w:type="continuationSeparator" w:id="0">
    <w:p w14:paraId="199862D4" w14:textId="77777777" w:rsidR="003E79D1" w:rsidRDefault="003E7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0276D" w14:textId="39A4946E" w:rsidR="004C11E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Singh et al: Psilocybin and marble burying.  </w:t>
    </w:r>
    <w:r w:rsidR="00552FE0">
      <w:rPr>
        <w:color w:val="000000"/>
        <w:sz w:val="18"/>
        <w:szCs w:val="18"/>
      </w:rPr>
      <w:t xml:space="preserve">Supplemental Material </w:t>
    </w:r>
    <w:r>
      <w:rPr>
        <w:color w:val="000000"/>
        <w:sz w:val="18"/>
        <w:szCs w:val="18"/>
      </w:rPr>
      <w:t xml:space="preserve">Page </w:t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 w:rsidR="00FC029F">
      <w:rPr>
        <w:noProof/>
        <w:color w:val="000000"/>
        <w:sz w:val="18"/>
        <w:szCs w:val="18"/>
      </w:rPr>
      <w:t>2</w:t>
    </w:r>
    <w:r>
      <w:rPr>
        <w:color w:val="000000"/>
        <w:sz w:val="18"/>
        <w:szCs w:val="18"/>
      </w:rPr>
      <w:fldChar w:fldCharType="end"/>
    </w:r>
  </w:p>
  <w:p w14:paraId="26952863" w14:textId="77777777" w:rsidR="004C11ED" w:rsidRDefault="004C11E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1ED"/>
    <w:rsid w:val="003D5EB2"/>
    <w:rsid w:val="003E79D1"/>
    <w:rsid w:val="004C11ED"/>
    <w:rsid w:val="00552FE0"/>
    <w:rsid w:val="007F18CE"/>
    <w:rsid w:val="00E31566"/>
    <w:rsid w:val="00FC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53615"/>
  <w15:docId w15:val="{87A71A1C-53A2-4D16-A23B-34C44C523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71A"/>
    <w:rPr>
      <w:rFonts w:cs="Mangal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</w:style>
  <w:style w:type="paragraph" w:customStyle="1" w:styleId="Normal2">
    <w:name w:val="Normal2"/>
  </w:style>
  <w:style w:type="paragraph" w:customStyle="1" w:styleId="Normal3">
    <w:name w:val="Normal3"/>
  </w:style>
  <w:style w:type="paragraph" w:customStyle="1" w:styleId="Normal10">
    <w:name w:val="Normal1"/>
  </w:style>
  <w:style w:type="character" w:customStyle="1" w:styleId="fontstyle01">
    <w:name w:val="fontstyle01"/>
    <w:basedOn w:val="DefaultParagraphFont"/>
    <w:rsid w:val="008A0950"/>
    <w:rPr>
      <w:rFonts w:ascii="CharisSIL" w:eastAsia="CharisSIL" w:hint="eastAsia"/>
      <w:b w:val="0"/>
      <w:bCs w:val="0"/>
      <w:i w:val="0"/>
      <w:iCs w:val="0"/>
      <w:color w:val="000000"/>
      <w:sz w:val="28"/>
      <w:szCs w:val="2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0D51F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D51F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546F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27E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7E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7E94"/>
    <w:rPr>
      <w:rFonts w:cs="Mang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7E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7E94"/>
    <w:rPr>
      <w:rFonts w:cs="Mang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3D0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D0F"/>
    <w:rPr>
      <w:rFonts w:ascii="Lucida Grande" w:hAnsi="Lucida Grande" w:cs="Lucida Grande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914A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72B05"/>
    <w:pPr>
      <w:spacing w:after="0" w:line="240" w:lineRule="auto"/>
    </w:pPr>
    <w:rPr>
      <w:rFonts w:cs="Mangal"/>
    </w:rPr>
  </w:style>
  <w:style w:type="paragraph" w:styleId="Header">
    <w:name w:val="header"/>
    <w:basedOn w:val="Normal"/>
    <w:link w:val="HeaderChar"/>
    <w:uiPriority w:val="99"/>
    <w:unhideWhenUsed/>
    <w:rsid w:val="00D854E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54E8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D854E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4E8"/>
    <w:rPr>
      <w:rFonts w:cs="Mangal"/>
    </w:rPr>
  </w:style>
  <w:style w:type="paragraph" w:styleId="Bibliography">
    <w:name w:val="Bibliography"/>
    <w:basedOn w:val="Normal"/>
    <w:next w:val="Normal"/>
    <w:uiPriority w:val="37"/>
    <w:unhideWhenUsed/>
    <w:rsid w:val="007872E0"/>
    <w:pPr>
      <w:tabs>
        <w:tab w:val="left" w:pos="504"/>
      </w:tabs>
      <w:spacing w:after="0" w:line="240" w:lineRule="auto"/>
      <w:ind w:left="504" w:hanging="504"/>
    </w:pPr>
  </w:style>
  <w:style w:type="paragraph" w:styleId="ListParagraph">
    <w:name w:val="List Paragraph"/>
    <w:basedOn w:val="Normal"/>
    <w:uiPriority w:val="34"/>
    <w:qFormat/>
    <w:rsid w:val="007872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GizctXz7DTNPlJt+k9Aa8F1IRg==">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310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Bernard Lerer</cp:lastModifiedBy>
  <cp:revision>2</cp:revision>
  <dcterms:created xsi:type="dcterms:W3CDTF">2022-08-31T05:02:00Z</dcterms:created>
  <dcterms:modified xsi:type="dcterms:W3CDTF">2022-08-31T05:02:00Z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zotero-version="6.0.13"&gt;&lt;session id="8LhlW7BT"/&gt;&lt;style id="http://www.zotero.org/styles/molecular-psychiatry" hasBibliography="1" bibliographyStyleHasBeenSet="1"/&gt;&lt;prefs&gt;&lt;pref name="fieldType" value="Field"/&gt;&lt;/prefs&gt;&lt;/data&gt;</vt:lpwstr>
  </property>
</Properties>
</file>