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4AD808" w14:textId="334A6701" w:rsidR="00F125EE" w:rsidRPr="002676DE" w:rsidRDefault="00F125EE" w:rsidP="009A670E">
      <w:pPr>
        <w:jc w:val="center"/>
        <w:rPr>
          <w:rFonts w:ascii="Arial" w:hAnsi="Arial" w:cs="Arial"/>
          <w:sz w:val="20"/>
        </w:rPr>
      </w:pPr>
    </w:p>
    <w:p w14:paraId="084E8220" w14:textId="3FA2A981" w:rsidR="007B5946" w:rsidRPr="002676DE" w:rsidRDefault="007B5946" w:rsidP="00DB0B1D">
      <w:pPr>
        <w:rPr>
          <w:rFonts w:ascii="Arial" w:hAnsi="Arial" w:cs="Arial"/>
          <w:sz w:val="20"/>
        </w:rPr>
      </w:pPr>
    </w:p>
    <w:p w14:paraId="1DC30AB1" w14:textId="77777777" w:rsidR="009A670E" w:rsidRPr="002676DE" w:rsidRDefault="009A670E" w:rsidP="007B5946">
      <w:pPr>
        <w:rPr>
          <w:rFonts w:ascii="Arial" w:hAnsi="Arial" w:cs="Arial"/>
          <w:sz w:val="20"/>
        </w:rPr>
      </w:pPr>
    </w:p>
    <w:p w14:paraId="5E7DEFEE" w14:textId="77777777" w:rsidR="009A670E" w:rsidRPr="002676DE" w:rsidRDefault="009A670E" w:rsidP="007B5946">
      <w:pPr>
        <w:rPr>
          <w:rFonts w:ascii="Arial" w:hAnsi="Arial" w:cs="Arial"/>
          <w:sz w:val="20"/>
        </w:rPr>
      </w:pPr>
    </w:p>
    <w:p w14:paraId="46F72BDF" w14:textId="53E48BDF" w:rsidR="00B16F99" w:rsidRPr="002676DE" w:rsidRDefault="00B16F99" w:rsidP="00B16F99">
      <w:pPr>
        <w:rPr>
          <w:rFonts w:ascii="Arial" w:hAnsi="Arial" w:cs="Arial"/>
          <w:b/>
          <w:sz w:val="28"/>
          <w:szCs w:val="28"/>
        </w:rPr>
      </w:pPr>
      <w:r w:rsidRPr="002676DE">
        <w:rPr>
          <w:rFonts w:ascii="Arial" w:hAnsi="Arial" w:cs="Arial"/>
          <w:b/>
          <w:sz w:val="28"/>
          <w:szCs w:val="28"/>
        </w:rPr>
        <w:t xml:space="preserve">Supplementary </w:t>
      </w:r>
      <w:r w:rsidR="00A85F23">
        <w:rPr>
          <w:rFonts w:ascii="Arial" w:hAnsi="Arial" w:cs="Arial"/>
          <w:b/>
          <w:sz w:val="28"/>
          <w:szCs w:val="28"/>
        </w:rPr>
        <w:t>Material</w:t>
      </w:r>
      <w:r w:rsidRPr="002676DE">
        <w:rPr>
          <w:rFonts w:ascii="Arial" w:hAnsi="Arial" w:cs="Arial"/>
          <w:b/>
          <w:sz w:val="28"/>
          <w:szCs w:val="28"/>
        </w:rPr>
        <w:t xml:space="preserve"> for</w:t>
      </w:r>
    </w:p>
    <w:p w14:paraId="52EF65C9" w14:textId="77777777" w:rsidR="00F35E16" w:rsidRPr="002676DE" w:rsidRDefault="00F35E16" w:rsidP="00B16F99">
      <w:pPr>
        <w:rPr>
          <w:rFonts w:ascii="Arial" w:hAnsi="Arial" w:cs="Arial"/>
          <w:b/>
          <w:sz w:val="28"/>
          <w:szCs w:val="28"/>
        </w:rPr>
      </w:pPr>
    </w:p>
    <w:p w14:paraId="1EF5D059" w14:textId="77777777" w:rsidR="002E384F" w:rsidRPr="00E8028A" w:rsidRDefault="002E384F" w:rsidP="001B39D0">
      <w:pPr>
        <w:spacing w:after="200" w:line="276" w:lineRule="auto"/>
        <w:rPr>
          <w:rFonts w:ascii="Arial" w:eastAsiaTheme="minorHAnsi" w:hAnsi="Arial" w:cs="Arial"/>
          <w:b/>
          <w:bCs/>
          <w:sz w:val="28"/>
          <w:szCs w:val="28"/>
        </w:rPr>
      </w:pPr>
      <w:bookmarkStart w:id="0" w:name="_Hlk81316132"/>
      <w:bookmarkStart w:id="1" w:name="_Hlk107238046"/>
      <w:r w:rsidRPr="00E8028A">
        <w:rPr>
          <w:rFonts w:ascii="Arial" w:eastAsiaTheme="minorHAnsi" w:hAnsi="Arial" w:cs="Arial"/>
          <w:b/>
          <w:bCs/>
          <w:sz w:val="28"/>
          <w:szCs w:val="28"/>
        </w:rPr>
        <w:t xml:space="preserve">Cerebrospinal fluid lipoproteins inhibit </w:t>
      </w:r>
      <w:r w:rsidRPr="002E384F">
        <w:rPr>
          <w:rFonts w:ascii="Arial" w:eastAsiaTheme="minorHAnsi" w:hAnsi="Arial" w:cs="Arial"/>
          <w:b/>
          <w:bCs/>
          <w:sz w:val="28"/>
          <w:szCs w:val="28"/>
        </w:rPr>
        <w:t>α</w:t>
      </w:r>
      <w:r w:rsidRPr="00E8028A">
        <w:rPr>
          <w:rFonts w:ascii="Arial" w:eastAsiaTheme="minorHAnsi" w:hAnsi="Arial" w:cs="Arial"/>
          <w:b/>
          <w:bCs/>
          <w:sz w:val="28"/>
          <w:szCs w:val="28"/>
        </w:rPr>
        <w:t>-synuclein aggregation by interacting with oligomeric species in seed amplification assays</w:t>
      </w:r>
    </w:p>
    <w:p w14:paraId="65FD325D" w14:textId="4805BB78" w:rsidR="001B39D0" w:rsidRPr="002676DE" w:rsidRDefault="001B39D0" w:rsidP="001B39D0">
      <w:pPr>
        <w:spacing w:after="200" w:line="276" w:lineRule="auto"/>
        <w:rPr>
          <w:rFonts w:ascii="Arial" w:eastAsiaTheme="minorHAnsi" w:hAnsi="Arial" w:cs="Arial"/>
          <w:sz w:val="20"/>
          <w:lang w:val="it-IT"/>
        </w:rPr>
      </w:pPr>
      <w:r w:rsidRPr="002676DE">
        <w:rPr>
          <w:rFonts w:ascii="Arial" w:eastAsiaTheme="minorHAnsi" w:hAnsi="Arial" w:cs="Arial"/>
          <w:sz w:val="20"/>
          <w:lang w:val="it-IT"/>
        </w:rPr>
        <w:t>Giovanni Bellomo</w:t>
      </w:r>
      <w:r w:rsidRPr="002676DE">
        <w:rPr>
          <w:rFonts w:ascii="Arial" w:eastAsiaTheme="minorHAnsi" w:hAnsi="Arial" w:cs="Arial"/>
          <w:sz w:val="20"/>
          <w:vertAlign w:val="superscript"/>
          <w:lang w:val="it-IT"/>
        </w:rPr>
        <w:t>1*</w:t>
      </w:r>
      <w:r w:rsidRPr="002676DE">
        <w:rPr>
          <w:rFonts w:ascii="Arial" w:eastAsiaTheme="minorHAnsi" w:hAnsi="Arial" w:cs="Arial"/>
          <w:sz w:val="20"/>
          <w:lang w:val="it-IT"/>
        </w:rPr>
        <w:t>, Silvia Paciotti</w:t>
      </w:r>
      <w:r w:rsidRPr="002676DE">
        <w:rPr>
          <w:rFonts w:ascii="Arial" w:eastAsiaTheme="minorHAnsi" w:hAnsi="Arial" w:cs="Arial"/>
          <w:sz w:val="20"/>
          <w:vertAlign w:val="superscript"/>
          <w:lang w:val="it-IT"/>
        </w:rPr>
        <w:t>1</w:t>
      </w:r>
      <w:r w:rsidRPr="002676DE">
        <w:rPr>
          <w:rFonts w:ascii="Arial" w:eastAsiaTheme="minorHAnsi" w:hAnsi="Arial" w:cs="Arial"/>
          <w:sz w:val="20"/>
          <w:lang w:val="it-IT"/>
        </w:rPr>
        <w:t>, Luis Concha-Marambio</w:t>
      </w:r>
      <w:r w:rsidRPr="002676DE">
        <w:rPr>
          <w:rFonts w:ascii="Arial" w:eastAsiaTheme="minorHAnsi" w:hAnsi="Arial" w:cs="Arial"/>
          <w:sz w:val="20"/>
          <w:vertAlign w:val="superscript"/>
          <w:lang w:val="it-IT"/>
        </w:rPr>
        <w:t>2</w:t>
      </w:r>
      <w:r w:rsidRPr="002676DE">
        <w:rPr>
          <w:rFonts w:ascii="Arial" w:eastAsiaTheme="minorHAnsi" w:hAnsi="Arial" w:cs="Arial"/>
          <w:sz w:val="20"/>
          <w:lang w:val="it-IT"/>
        </w:rPr>
        <w:t>, Domenico Rizzo</w:t>
      </w:r>
      <w:r w:rsidRPr="002676DE">
        <w:rPr>
          <w:rFonts w:ascii="Arial" w:eastAsiaTheme="minorHAnsi" w:hAnsi="Arial" w:cs="Arial"/>
          <w:sz w:val="20"/>
          <w:vertAlign w:val="superscript"/>
          <w:lang w:val="it-IT"/>
        </w:rPr>
        <w:t>3,4</w:t>
      </w:r>
      <w:r w:rsidRPr="002676DE">
        <w:rPr>
          <w:rFonts w:ascii="Arial" w:eastAsiaTheme="minorHAnsi" w:hAnsi="Arial" w:cs="Arial"/>
          <w:sz w:val="20"/>
          <w:lang w:val="it-IT"/>
        </w:rPr>
        <w:t>, Leonardo Gatticchi</w:t>
      </w:r>
      <w:r w:rsidRPr="002676DE">
        <w:rPr>
          <w:rFonts w:ascii="Arial" w:eastAsiaTheme="minorHAnsi" w:hAnsi="Arial" w:cs="Arial"/>
          <w:sz w:val="20"/>
          <w:vertAlign w:val="superscript"/>
          <w:lang w:val="it-IT"/>
        </w:rPr>
        <w:t>5</w:t>
      </w:r>
      <w:r w:rsidRPr="002676DE">
        <w:rPr>
          <w:rFonts w:ascii="Arial" w:eastAsiaTheme="minorHAnsi" w:hAnsi="Arial" w:cs="Arial"/>
          <w:sz w:val="20"/>
          <w:lang w:val="it-IT"/>
        </w:rPr>
        <w:t>, Linda Cerofolini</w:t>
      </w:r>
      <w:r w:rsidRPr="002676DE">
        <w:rPr>
          <w:rFonts w:ascii="Arial" w:eastAsiaTheme="minorHAnsi" w:hAnsi="Arial" w:cs="Arial"/>
          <w:sz w:val="20"/>
          <w:vertAlign w:val="superscript"/>
          <w:lang w:val="it-IT"/>
        </w:rPr>
        <w:t>3,6</w:t>
      </w:r>
      <w:r w:rsidRPr="002676DE">
        <w:rPr>
          <w:rFonts w:ascii="Arial" w:eastAsiaTheme="minorHAnsi" w:hAnsi="Arial" w:cs="Arial"/>
          <w:sz w:val="20"/>
          <w:lang w:val="it-IT"/>
        </w:rPr>
        <w:t>, Stefano Giuntini</w:t>
      </w:r>
      <w:r w:rsidRPr="002676DE">
        <w:rPr>
          <w:rFonts w:ascii="Arial" w:eastAsiaTheme="minorHAnsi" w:hAnsi="Arial" w:cs="Arial"/>
          <w:sz w:val="20"/>
          <w:vertAlign w:val="superscript"/>
          <w:lang w:val="it-IT"/>
        </w:rPr>
        <w:t>3</w:t>
      </w:r>
      <w:r w:rsidRPr="002676DE">
        <w:rPr>
          <w:rFonts w:ascii="Arial" w:eastAsiaTheme="minorHAnsi" w:hAnsi="Arial" w:cs="Arial"/>
          <w:sz w:val="20"/>
          <w:lang w:val="it-IT"/>
        </w:rPr>
        <w:t>, Chiara Maria Giulia De Luca</w:t>
      </w:r>
      <w:r w:rsidRPr="002676DE">
        <w:rPr>
          <w:rFonts w:ascii="Arial" w:eastAsiaTheme="minorHAnsi" w:hAnsi="Arial" w:cs="Arial"/>
          <w:sz w:val="20"/>
          <w:vertAlign w:val="superscript"/>
          <w:lang w:val="it-IT"/>
        </w:rPr>
        <w:t>7</w:t>
      </w:r>
      <w:r w:rsidRPr="002676DE">
        <w:rPr>
          <w:rFonts w:ascii="Arial" w:eastAsiaTheme="minorHAnsi" w:hAnsi="Arial" w:cs="Arial"/>
          <w:sz w:val="20"/>
          <w:lang w:val="it-IT"/>
        </w:rPr>
        <w:t xml:space="preserve">, </w:t>
      </w:r>
      <w:proofErr w:type="spellStart"/>
      <w:r w:rsidRPr="002676DE">
        <w:rPr>
          <w:rFonts w:ascii="Arial" w:eastAsiaTheme="minorHAnsi" w:hAnsi="Arial" w:cs="Arial"/>
          <w:sz w:val="20"/>
          <w:lang w:val="it-IT"/>
        </w:rPr>
        <w:t>Yihua</w:t>
      </w:r>
      <w:proofErr w:type="spellEnd"/>
      <w:r w:rsidRPr="002676DE">
        <w:rPr>
          <w:rFonts w:ascii="Arial" w:eastAsiaTheme="minorHAnsi" w:hAnsi="Arial" w:cs="Arial"/>
          <w:sz w:val="20"/>
          <w:lang w:val="it-IT"/>
        </w:rPr>
        <w:t xml:space="preserve"> Ma</w:t>
      </w:r>
      <w:r w:rsidRPr="002676DE">
        <w:rPr>
          <w:rFonts w:ascii="Arial" w:eastAsiaTheme="minorHAnsi" w:hAnsi="Arial" w:cs="Arial"/>
          <w:sz w:val="20"/>
          <w:vertAlign w:val="superscript"/>
          <w:lang w:val="it-IT"/>
        </w:rPr>
        <w:t>2</w:t>
      </w:r>
      <w:r w:rsidRPr="002676DE">
        <w:rPr>
          <w:rFonts w:ascii="Arial" w:eastAsiaTheme="minorHAnsi" w:hAnsi="Arial" w:cs="Arial"/>
          <w:sz w:val="20"/>
          <w:lang w:val="it-IT"/>
        </w:rPr>
        <w:t xml:space="preserve">, </w:t>
      </w:r>
      <w:proofErr w:type="spellStart"/>
      <w:r w:rsidRPr="002676DE">
        <w:rPr>
          <w:rFonts w:ascii="Arial" w:eastAsiaTheme="minorHAnsi" w:hAnsi="Arial" w:cs="Arial"/>
          <w:sz w:val="20"/>
          <w:lang w:val="it-IT"/>
        </w:rPr>
        <w:t>Carly</w:t>
      </w:r>
      <w:proofErr w:type="spellEnd"/>
      <w:r w:rsidRPr="002676DE">
        <w:rPr>
          <w:rFonts w:ascii="Arial" w:eastAsiaTheme="minorHAnsi" w:hAnsi="Arial" w:cs="Arial"/>
          <w:sz w:val="20"/>
          <w:lang w:val="it-IT"/>
        </w:rPr>
        <w:t xml:space="preserve"> M. Farris</w:t>
      </w:r>
      <w:r w:rsidRPr="002676DE">
        <w:rPr>
          <w:rFonts w:ascii="Arial" w:eastAsiaTheme="minorHAnsi" w:hAnsi="Arial" w:cs="Arial"/>
          <w:sz w:val="20"/>
          <w:vertAlign w:val="superscript"/>
          <w:lang w:val="it-IT"/>
        </w:rPr>
        <w:t>2</w:t>
      </w:r>
      <w:r w:rsidRPr="002676DE">
        <w:rPr>
          <w:rFonts w:ascii="Arial" w:eastAsiaTheme="minorHAnsi" w:hAnsi="Arial" w:cs="Arial"/>
          <w:sz w:val="20"/>
          <w:lang w:val="it-IT"/>
        </w:rPr>
        <w:t>, Giuseppe Pieraccini</w:t>
      </w:r>
      <w:r w:rsidR="003C466F" w:rsidRPr="002676DE">
        <w:rPr>
          <w:rFonts w:ascii="Arial" w:eastAsiaTheme="minorHAnsi" w:hAnsi="Arial" w:cs="Arial"/>
          <w:sz w:val="20"/>
          <w:vertAlign w:val="superscript"/>
          <w:lang w:val="it-IT"/>
        </w:rPr>
        <w:t>8</w:t>
      </w:r>
      <w:r w:rsidRPr="002676DE">
        <w:rPr>
          <w:rFonts w:ascii="Arial" w:eastAsiaTheme="minorHAnsi" w:hAnsi="Arial" w:cs="Arial"/>
          <w:sz w:val="20"/>
          <w:lang w:val="it-IT"/>
        </w:rPr>
        <w:t>, Sara Bologna</w:t>
      </w:r>
      <w:r w:rsidRPr="002676DE">
        <w:rPr>
          <w:rFonts w:ascii="Arial" w:eastAsiaTheme="minorHAnsi" w:hAnsi="Arial" w:cs="Arial"/>
          <w:sz w:val="20"/>
          <w:vertAlign w:val="superscript"/>
          <w:lang w:val="it-IT"/>
        </w:rPr>
        <w:t>3</w:t>
      </w:r>
      <w:r w:rsidRPr="002676DE">
        <w:rPr>
          <w:rFonts w:ascii="Arial" w:eastAsiaTheme="minorHAnsi" w:hAnsi="Arial" w:cs="Arial"/>
          <w:sz w:val="20"/>
          <w:lang w:val="it-IT"/>
        </w:rPr>
        <w:t>, Marta Filidei</w:t>
      </w:r>
      <w:r w:rsidRPr="002676DE">
        <w:rPr>
          <w:rFonts w:ascii="Arial" w:eastAsiaTheme="minorHAnsi" w:hAnsi="Arial" w:cs="Arial"/>
          <w:sz w:val="20"/>
          <w:vertAlign w:val="superscript"/>
          <w:lang w:val="it-IT"/>
        </w:rPr>
        <w:t>1</w:t>
      </w:r>
      <w:r w:rsidRPr="002676DE">
        <w:rPr>
          <w:rFonts w:ascii="Arial" w:eastAsiaTheme="minorHAnsi" w:hAnsi="Arial" w:cs="Arial"/>
          <w:sz w:val="20"/>
          <w:lang w:val="it-IT"/>
        </w:rPr>
        <w:t>, Enrico Ravera</w:t>
      </w:r>
      <w:r w:rsidRPr="002676DE">
        <w:rPr>
          <w:rFonts w:ascii="Arial" w:eastAsiaTheme="minorHAnsi" w:hAnsi="Arial" w:cs="Arial"/>
          <w:sz w:val="20"/>
          <w:vertAlign w:val="superscript"/>
          <w:lang w:val="it-IT"/>
        </w:rPr>
        <w:t>3,4,6</w:t>
      </w:r>
      <w:r w:rsidRPr="002676DE">
        <w:rPr>
          <w:rFonts w:ascii="Arial" w:eastAsiaTheme="minorHAnsi" w:hAnsi="Arial" w:cs="Arial"/>
          <w:sz w:val="20"/>
          <w:lang w:val="it-IT"/>
        </w:rPr>
        <w:t>, Moreno Lelli</w:t>
      </w:r>
      <w:r w:rsidRPr="002676DE">
        <w:rPr>
          <w:rFonts w:ascii="Arial" w:eastAsiaTheme="minorHAnsi" w:hAnsi="Arial" w:cs="Arial"/>
          <w:sz w:val="20"/>
          <w:vertAlign w:val="superscript"/>
          <w:lang w:val="it-IT"/>
        </w:rPr>
        <w:t>3,4,6</w:t>
      </w:r>
      <w:r w:rsidRPr="002676DE">
        <w:rPr>
          <w:rFonts w:ascii="Arial" w:eastAsiaTheme="minorHAnsi" w:hAnsi="Arial" w:cs="Arial"/>
          <w:sz w:val="20"/>
          <w:lang w:val="it-IT"/>
        </w:rPr>
        <w:t>, Fabio Moda</w:t>
      </w:r>
      <w:r w:rsidRPr="002676DE">
        <w:rPr>
          <w:rFonts w:ascii="Arial" w:eastAsiaTheme="minorHAnsi" w:hAnsi="Arial" w:cs="Arial"/>
          <w:sz w:val="20"/>
          <w:vertAlign w:val="superscript"/>
          <w:lang w:val="it-IT"/>
        </w:rPr>
        <w:t>7</w:t>
      </w:r>
      <w:r w:rsidRPr="002676DE">
        <w:rPr>
          <w:rFonts w:ascii="Arial" w:eastAsiaTheme="minorHAnsi" w:hAnsi="Arial" w:cs="Arial"/>
          <w:sz w:val="20"/>
          <w:lang w:val="it-IT"/>
        </w:rPr>
        <w:t>, Marco Fragai</w:t>
      </w:r>
      <w:r w:rsidRPr="002676DE">
        <w:rPr>
          <w:rFonts w:ascii="Arial" w:eastAsiaTheme="minorHAnsi" w:hAnsi="Arial" w:cs="Arial"/>
          <w:sz w:val="20"/>
          <w:vertAlign w:val="superscript"/>
          <w:lang w:val="it-IT"/>
        </w:rPr>
        <w:t>3,4,6</w:t>
      </w:r>
      <w:r w:rsidRPr="002676DE">
        <w:rPr>
          <w:rFonts w:ascii="Arial" w:eastAsiaTheme="minorHAnsi" w:hAnsi="Arial" w:cs="Arial"/>
          <w:sz w:val="20"/>
          <w:lang w:val="it-IT"/>
        </w:rPr>
        <w:t>, Lucilla Parnetti</w:t>
      </w:r>
      <w:r w:rsidRPr="002676DE">
        <w:rPr>
          <w:rFonts w:ascii="Arial" w:eastAsiaTheme="minorHAnsi" w:hAnsi="Arial" w:cs="Arial"/>
          <w:sz w:val="20"/>
          <w:vertAlign w:val="superscript"/>
          <w:lang w:val="it-IT"/>
        </w:rPr>
        <w:t>1</w:t>
      </w:r>
      <w:r w:rsidRPr="002676DE">
        <w:rPr>
          <w:rFonts w:ascii="Arial" w:eastAsiaTheme="minorHAnsi" w:hAnsi="Arial" w:cs="Arial"/>
          <w:sz w:val="20"/>
          <w:lang w:val="it-IT"/>
        </w:rPr>
        <w:t xml:space="preserve"> and Claudio Luchinat</w:t>
      </w:r>
      <w:r w:rsidRPr="002676DE">
        <w:rPr>
          <w:rFonts w:ascii="Arial" w:eastAsiaTheme="minorHAnsi" w:hAnsi="Arial" w:cs="Arial"/>
          <w:sz w:val="20"/>
          <w:vertAlign w:val="superscript"/>
          <w:lang w:val="it-IT"/>
        </w:rPr>
        <w:t>3,4,6*</w:t>
      </w:r>
      <w:r w:rsidRPr="002676DE">
        <w:rPr>
          <w:rFonts w:ascii="Arial" w:eastAsiaTheme="minorHAnsi" w:hAnsi="Arial" w:cs="Arial"/>
          <w:sz w:val="20"/>
          <w:lang w:val="it-IT"/>
        </w:rPr>
        <w:t>.</w:t>
      </w:r>
    </w:p>
    <w:p w14:paraId="3D81F9D8" w14:textId="77777777" w:rsidR="001B39D0" w:rsidRPr="002676DE" w:rsidRDefault="001B39D0" w:rsidP="001B39D0">
      <w:pPr>
        <w:spacing w:after="200" w:line="276" w:lineRule="auto"/>
        <w:contextualSpacing/>
        <w:jc w:val="both"/>
        <w:rPr>
          <w:rFonts w:ascii="Arial" w:eastAsiaTheme="minorHAnsi" w:hAnsi="Arial" w:cs="Arial"/>
          <w:sz w:val="18"/>
          <w:szCs w:val="18"/>
        </w:rPr>
      </w:pPr>
      <w:bookmarkStart w:id="2" w:name="_Hlk81316163"/>
      <w:bookmarkEnd w:id="0"/>
      <w:r w:rsidRPr="002676DE">
        <w:rPr>
          <w:rFonts w:ascii="Arial" w:eastAsiaTheme="minorHAnsi" w:hAnsi="Arial" w:cs="Arial"/>
          <w:sz w:val="18"/>
          <w:szCs w:val="18"/>
          <w:vertAlign w:val="superscript"/>
        </w:rPr>
        <w:t>1</w:t>
      </w:r>
      <w:r w:rsidRPr="002676DE">
        <w:rPr>
          <w:rFonts w:ascii="Arial" w:eastAsiaTheme="minorHAnsi" w:hAnsi="Arial" w:cs="Arial"/>
          <w:sz w:val="18"/>
          <w:szCs w:val="18"/>
        </w:rPr>
        <w:t>Laboratory of Clinical Neurochemistry, Section of Neurology, Department of Medicine and Surgery, University of Perugia; Piazzale Lucio Severi 1/8, Perugia, 06132, Italy.</w:t>
      </w:r>
    </w:p>
    <w:p w14:paraId="3E5AA810" w14:textId="77777777" w:rsidR="001B39D0" w:rsidRPr="002676DE" w:rsidRDefault="001B39D0" w:rsidP="001B39D0">
      <w:pPr>
        <w:spacing w:after="200" w:line="276" w:lineRule="auto"/>
        <w:contextualSpacing/>
        <w:jc w:val="both"/>
        <w:rPr>
          <w:rFonts w:ascii="Arial" w:eastAsiaTheme="minorHAnsi" w:hAnsi="Arial" w:cs="Arial"/>
          <w:sz w:val="18"/>
          <w:szCs w:val="18"/>
          <w:lang w:val="it-IT"/>
        </w:rPr>
      </w:pPr>
      <w:r w:rsidRPr="002676DE">
        <w:rPr>
          <w:rFonts w:ascii="Arial" w:eastAsiaTheme="minorHAnsi" w:hAnsi="Arial" w:cs="Arial"/>
          <w:sz w:val="18"/>
          <w:szCs w:val="18"/>
          <w:vertAlign w:val="superscript"/>
          <w:lang w:val="it-IT"/>
        </w:rPr>
        <w:t>2</w:t>
      </w:r>
      <w:r w:rsidRPr="002676DE">
        <w:rPr>
          <w:rFonts w:ascii="Arial" w:eastAsiaTheme="minorHAnsi" w:hAnsi="Arial" w:cs="Arial"/>
          <w:sz w:val="18"/>
          <w:szCs w:val="18"/>
          <w:lang w:val="it-IT"/>
        </w:rPr>
        <w:t xml:space="preserve">R&amp;D Unit, Amprion Inc., 11095 </w:t>
      </w:r>
      <w:proofErr w:type="spellStart"/>
      <w:r w:rsidRPr="002676DE">
        <w:rPr>
          <w:rFonts w:ascii="Arial" w:eastAsiaTheme="minorHAnsi" w:hAnsi="Arial" w:cs="Arial"/>
          <w:sz w:val="18"/>
          <w:szCs w:val="18"/>
          <w:lang w:val="it-IT"/>
        </w:rPr>
        <w:t>Flintkote</w:t>
      </w:r>
      <w:proofErr w:type="spellEnd"/>
      <w:r w:rsidRPr="002676DE">
        <w:rPr>
          <w:rFonts w:ascii="Arial" w:eastAsiaTheme="minorHAnsi" w:hAnsi="Arial" w:cs="Arial"/>
          <w:sz w:val="18"/>
          <w:szCs w:val="18"/>
          <w:lang w:val="it-IT"/>
        </w:rPr>
        <w:t xml:space="preserve"> </w:t>
      </w:r>
      <w:proofErr w:type="spellStart"/>
      <w:r w:rsidRPr="002676DE">
        <w:rPr>
          <w:rFonts w:ascii="Arial" w:eastAsiaTheme="minorHAnsi" w:hAnsi="Arial" w:cs="Arial"/>
          <w:sz w:val="18"/>
          <w:szCs w:val="18"/>
          <w:lang w:val="it-IT"/>
        </w:rPr>
        <w:t>Av</w:t>
      </w:r>
      <w:proofErr w:type="spellEnd"/>
      <w:r w:rsidRPr="002676DE">
        <w:rPr>
          <w:rFonts w:ascii="Arial" w:eastAsiaTheme="minorHAnsi" w:hAnsi="Arial" w:cs="Arial"/>
          <w:sz w:val="18"/>
          <w:szCs w:val="18"/>
          <w:lang w:val="it-IT"/>
        </w:rPr>
        <w:t>., San Diego, San Diego, 92121, CA, USA</w:t>
      </w:r>
    </w:p>
    <w:p w14:paraId="36EE4A6D" w14:textId="77777777" w:rsidR="001B39D0" w:rsidRPr="002676DE" w:rsidRDefault="001B39D0" w:rsidP="001B39D0">
      <w:pPr>
        <w:spacing w:after="200" w:line="276" w:lineRule="auto"/>
        <w:contextualSpacing/>
        <w:jc w:val="both"/>
        <w:rPr>
          <w:rFonts w:ascii="Arial" w:eastAsiaTheme="minorHAnsi" w:hAnsi="Arial" w:cs="Arial"/>
          <w:sz w:val="18"/>
          <w:szCs w:val="18"/>
          <w:lang w:val="it-IT"/>
        </w:rPr>
      </w:pPr>
      <w:r w:rsidRPr="002676DE">
        <w:rPr>
          <w:rFonts w:ascii="Arial" w:eastAsiaTheme="minorHAnsi" w:hAnsi="Arial" w:cs="Arial"/>
          <w:sz w:val="18"/>
          <w:szCs w:val="18"/>
          <w:vertAlign w:val="superscript"/>
          <w:lang w:val="it-IT"/>
        </w:rPr>
        <w:t>3</w:t>
      </w:r>
      <w:r w:rsidRPr="002676DE">
        <w:rPr>
          <w:rFonts w:ascii="Arial" w:eastAsiaTheme="minorHAnsi" w:hAnsi="Arial" w:cs="Arial"/>
          <w:sz w:val="18"/>
          <w:szCs w:val="18"/>
          <w:lang w:val="it-IT"/>
        </w:rPr>
        <w:t xml:space="preserve">Magnetic </w:t>
      </w:r>
      <w:proofErr w:type="spellStart"/>
      <w:r w:rsidRPr="002676DE">
        <w:rPr>
          <w:rFonts w:ascii="Arial" w:eastAsiaTheme="minorHAnsi" w:hAnsi="Arial" w:cs="Arial"/>
          <w:sz w:val="18"/>
          <w:szCs w:val="18"/>
          <w:lang w:val="it-IT"/>
        </w:rPr>
        <w:t>Resonance</w:t>
      </w:r>
      <w:proofErr w:type="spellEnd"/>
      <w:r w:rsidRPr="002676DE">
        <w:rPr>
          <w:rFonts w:ascii="Arial" w:eastAsiaTheme="minorHAnsi" w:hAnsi="Arial" w:cs="Arial"/>
          <w:sz w:val="18"/>
          <w:szCs w:val="18"/>
          <w:lang w:val="it-IT"/>
        </w:rPr>
        <w:t xml:space="preserve"> Center (CERM), University of Florence, Via Luigi Sacconi 6, Sesto Fiorentino, 50019, </w:t>
      </w:r>
      <w:proofErr w:type="spellStart"/>
      <w:r w:rsidRPr="002676DE">
        <w:rPr>
          <w:rFonts w:ascii="Arial" w:eastAsiaTheme="minorHAnsi" w:hAnsi="Arial" w:cs="Arial"/>
          <w:sz w:val="18"/>
          <w:szCs w:val="18"/>
          <w:lang w:val="it-IT"/>
        </w:rPr>
        <w:t>Italy</w:t>
      </w:r>
      <w:proofErr w:type="spellEnd"/>
      <w:r w:rsidRPr="002676DE">
        <w:rPr>
          <w:rFonts w:ascii="Arial" w:eastAsiaTheme="minorHAnsi" w:hAnsi="Arial" w:cs="Arial"/>
          <w:sz w:val="18"/>
          <w:szCs w:val="18"/>
          <w:lang w:val="it-IT"/>
        </w:rPr>
        <w:t>.</w:t>
      </w:r>
    </w:p>
    <w:p w14:paraId="6EA9FE8D" w14:textId="77777777" w:rsidR="001B39D0" w:rsidRPr="002676DE" w:rsidRDefault="001B39D0" w:rsidP="001B39D0">
      <w:pPr>
        <w:spacing w:after="200" w:line="276" w:lineRule="auto"/>
        <w:contextualSpacing/>
        <w:jc w:val="both"/>
        <w:rPr>
          <w:rFonts w:ascii="Arial" w:eastAsiaTheme="minorHAnsi" w:hAnsi="Arial" w:cs="Arial"/>
          <w:sz w:val="18"/>
          <w:szCs w:val="18"/>
        </w:rPr>
      </w:pPr>
      <w:r w:rsidRPr="002676DE">
        <w:rPr>
          <w:rFonts w:ascii="Arial" w:eastAsiaTheme="minorHAnsi" w:hAnsi="Arial" w:cs="Arial"/>
          <w:sz w:val="18"/>
          <w:szCs w:val="18"/>
          <w:vertAlign w:val="superscript"/>
        </w:rPr>
        <w:t>4</w:t>
      </w:r>
      <w:r w:rsidRPr="002676DE">
        <w:rPr>
          <w:rFonts w:ascii="Arial" w:eastAsiaTheme="minorHAnsi" w:hAnsi="Arial" w:cs="Arial"/>
          <w:sz w:val="18"/>
          <w:szCs w:val="18"/>
        </w:rPr>
        <w:t xml:space="preserve">Department of Chemistry “Ugo Schiff”, University of Florence, Via </w:t>
      </w:r>
      <w:proofErr w:type="spellStart"/>
      <w:r w:rsidRPr="002676DE">
        <w:rPr>
          <w:rFonts w:ascii="Arial" w:eastAsiaTheme="minorHAnsi" w:hAnsi="Arial" w:cs="Arial"/>
          <w:sz w:val="18"/>
          <w:szCs w:val="18"/>
        </w:rPr>
        <w:t>della</w:t>
      </w:r>
      <w:proofErr w:type="spellEnd"/>
      <w:r w:rsidRPr="002676DE">
        <w:rPr>
          <w:rFonts w:ascii="Arial" w:eastAsiaTheme="minorHAnsi" w:hAnsi="Arial" w:cs="Arial"/>
          <w:sz w:val="18"/>
          <w:szCs w:val="18"/>
        </w:rPr>
        <w:t xml:space="preserve"> </w:t>
      </w:r>
      <w:proofErr w:type="spellStart"/>
      <w:r w:rsidRPr="002676DE">
        <w:rPr>
          <w:rFonts w:ascii="Arial" w:eastAsiaTheme="minorHAnsi" w:hAnsi="Arial" w:cs="Arial"/>
          <w:sz w:val="18"/>
          <w:szCs w:val="18"/>
        </w:rPr>
        <w:t>Lastruccia</w:t>
      </w:r>
      <w:proofErr w:type="spellEnd"/>
      <w:r w:rsidRPr="002676DE">
        <w:rPr>
          <w:rFonts w:ascii="Arial" w:eastAsiaTheme="minorHAnsi" w:hAnsi="Arial" w:cs="Arial"/>
          <w:sz w:val="18"/>
          <w:szCs w:val="18"/>
        </w:rPr>
        <w:t xml:space="preserve"> 3, Sesto </w:t>
      </w:r>
      <w:proofErr w:type="spellStart"/>
      <w:r w:rsidRPr="002676DE">
        <w:rPr>
          <w:rFonts w:ascii="Arial" w:eastAsiaTheme="minorHAnsi" w:hAnsi="Arial" w:cs="Arial"/>
          <w:sz w:val="18"/>
          <w:szCs w:val="18"/>
        </w:rPr>
        <w:t>Fiorentino</w:t>
      </w:r>
      <w:proofErr w:type="spellEnd"/>
      <w:r w:rsidRPr="002676DE">
        <w:rPr>
          <w:rFonts w:ascii="Arial" w:eastAsiaTheme="minorHAnsi" w:hAnsi="Arial" w:cs="Arial"/>
          <w:sz w:val="18"/>
          <w:szCs w:val="18"/>
        </w:rPr>
        <w:t>, 50019, Italy.</w:t>
      </w:r>
    </w:p>
    <w:p w14:paraId="0A9767F4" w14:textId="77777777" w:rsidR="001B39D0" w:rsidRPr="002676DE" w:rsidRDefault="001B39D0" w:rsidP="001B39D0">
      <w:pPr>
        <w:spacing w:after="200" w:line="276" w:lineRule="auto"/>
        <w:contextualSpacing/>
        <w:jc w:val="both"/>
        <w:rPr>
          <w:rFonts w:ascii="Arial" w:eastAsiaTheme="minorHAnsi" w:hAnsi="Arial" w:cs="Arial"/>
          <w:sz w:val="18"/>
          <w:szCs w:val="18"/>
        </w:rPr>
      </w:pPr>
      <w:r w:rsidRPr="002676DE">
        <w:rPr>
          <w:rFonts w:ascii="Arial" w:eastAsiaTheme="minorHAnsi" w:hAnsi="Arial" w:cs="Arial"/>
          <w:sz w:val="18"/>
          <w:szCs w:val="18"/>
          <w:vertAlign w:val="superscript"/>
        </w:rPr>
        <w:t>5</w:t>
      </w:r>
      <w:r w:rsidRPr="002676DE">
        <w:rPr>
          <w:rFonts w:ascii="Arial" w:eastAsiaTheme="minorHAnsi" w:hAnsi="Arial" w:cs="Arial"/>
          <w:sz w:val="18"/>
          <w:szCs w:val="18"/>
        </w:rPr>
        <w:t>Section of Physiology and Biochemistry, Department of Medicine and Surgery, University of Perugia, Perugia, Piazzale Lucio Severi 1/8, Perugia, 06132, Italy.</w:t>
      </w:r>
    </w:p>
    <w:p w14:paraId="6D7BB183" w14:textId="77777777" w:rsidR="001B39D0" w:rsidRPr="002676DE" w:rsidRDefault="001B39D0" w:rsidP="001B39D0">
      <w:pPr>
        <w:spacing w:after="200" w:line="276" w:lineRule="auto"/>
        <w:contextualSpacing/>
        <w:jc w:val="both"/>
        <w:rPr>
          <w:rFonts w:ascii="Arial" w:eastAsiaTheme="minorHAnsi" w:hAnsi="Arial" w:cs="Arial"/>
          <w:sz w:val="18"/>
          <w:szCs w:val="18"/>
          <w:lang w:val="it-IT"/>
        </w:rPr>
      </w:pPr>
      <w:r w:rsidRPr="002676DE">
        <w:rPr>
          <w:rFonts w:ascii="Arial" w:eastAsiaTheme="minorHAnsi" w:hAnsi="Arial" w:cs="Arial"/>
          <w:sz w:val="18"/>
          <w:szCs w:val="18"/>
          <w:vertAlign w:val="superscript"/>
          <w:lang w:val="it-IT"/>
        </w:rPr>
        <w:t>6</w:t>
      </w:r>
      <w:r w:rsidRPr="002676DE">
        <w:rPr>
          <w:rFonts w:ascii="Arial" w:eastAsiaTheme="minorHAnsi" w:hAnsi="Arial" w:cs="Arial"/>
          <w:sz w:val="18"/>
          <w:szCs w:val="18"/>
          <w:lang w:val="it-IT"/>
        </w:rPr>
        <w:t xml:space="preserve">Consorzio Interuniversitario Risonanze Magnetiche Metallo Proteine (CIRMMP), Via Luigi Sacconi 6, Sesto Fiorentino, 50019, </w:t>
      </w:r>
      <w:proofErr w:type="spellStart"/>
      <w:r w:rsidRPr="002676DE">
        <w:rPr>
          <w:rFonts w:ascii="Arial" w:eastAsiaTheme="minorHAnsi" w:hAnsi="Arial" w:cs="Arial"/>
          <w:sz w:val="18"/>
          <w:szCs w:val="18"/>
          <w:lang w:val="it-IT"/>
        </w:rPr>
        <w:t>Italy</w:t>
      </w:r>
      <w:proofErr w:type="spellEnd"/>
      <w:r w:rsidRPr="002676DE">
        <w:rPr>
          <w:rFonts w:ascii="Arial" w:eastAsiaTheme="minorHAnsi" w:hAnsi="Arial" w:cs="Arial"/>
          <w:sz w:val="18"/>
          <w:szCs w:val="18"/>
          <w:lang w:val="it-IT"/>
        </w:rPr>
        <w:t>.</w:t>
      </w:r>
    </w:p>
    <w:p w14:paraId="3D55DF6F" w14:textId="77777777" w:rsidR="001B39D0" w:rsidRPr="002676DE" w:rsidRDefault="001B39D0" w:rsidP="001B39D0">
      <w:pPr>
        <w:spacing w:after="200" w:line="276" w:lineRule="auto"/>
        <w:contextualSpacing/>
        <w:jc w:val="both"/>
        <w:rPr>
          <w:rFonts w:ascii="Arial" w:eastAsiaTheme="minorHAnsi" w:hAnsi="Arial" w:cs="Arial"/>
          <w:sz w:val="18"/>
          <w:szCs w:val="18"/>
          <w:lang w:val="it-IT"/>
        </w:rPr>
      </w:pPr>
      <w:r w:rsidRPr="002676DE">
        <w:rPr>
          <w:rFonts w:ascii="Arial" w:eastAsiaTheme="minorHAnsi" w:hAnsi="Arial" w:cs="Arial"/>
          <w:sz w:val="18"/>
          <w:szCs w:val="18"/>
          <w:vertAlign w:val="superscript"/>
          <w:lang w:val="it-IT"/>
        </w:rPr>
        <w:t>7</w:t>
      </w:r>
      <w:r w:rsidRPr="002676DE">
        <w:rPr>
          <w:rFonts w:ascii="Arial" w:eastAsiaTheme="minorHAnsi" w:hAnsi="Arial" w:cs="Arial"/>
          <w:sz w:val="18"/>
          <w:szCs w:val="18"/>
          <w:lang w:val="it-IT"/>
        </w:rPr>
        <w:t xml:space="preserve">Fondazione IRCCS Istituto Neurologico Carlo Besta, </w:t>
      </w:r>
      <w:proofErr w:type="spellStart"/>
      <w:r w:rsidRPr="002676DE">
        <w:rPr>
          <w:rFonts w:ascii="Arial" w:eastAsiaTheme="minorHAnsi" w:hAnsi="Arial" w:cs="Arial"/>
          <w:sz w:val="18"/>
          <w:szCs w:val="18"/>
          <w:lang w:val="it-IT"/>
        </w:rPr>
        <w:t>Division</w:t>
      </w:r>
      <w:proofErr w:type="spellEnd"/>
      <w:r w:rsidRPr="002676DE">
        <w:rPr>
          <w:rFonts w:ascii="Arial" w:eastAsiaTheme="minorHAnsi" w:hAnsi="Arial" w:cs="Arial"/>
          <w:sz w:val="18"/>
          <w:szCs w:val="18"/>
          <w:lang w:val="it-IT"/>
        </w:rPr>
        <w:t xml:space="preserve"> of </w:t>
      </w:r>
      <w:proofErr w:type="spellStart"/>
      <w:r w:rsidRPr="002676DE">
        <w:rPr>
          <w:rFonts w:ascii="Arial" w:eastAsiaTheme="minorHAnsi" w:hAnsi="Arial" w:cs="Arial"/>
          <w:sz w:val="18"/>
          <w:szCs w:val="18"/>
          <w:lang w:val="it-IT"/>
        </w:rPr>
        <w:t>Neurology</w:t>
      </w:r>
      <w:proofErr w:type="spellEnd"/>
      <w:r w:rsidRPr="002676DE">
        <w:rPr>
          <w:rFonts w:ascii="Arial" w:eastAsiaTheme="minorHAnsi" w:hAnsi="Arial" w:cs="Arial"/>
          <w:sz w:val="18"/>
          <w:szCs w:val="18"/>
          <w:lang w:val="it-IT"/>
        </w:rPr>
        <w:t xml:space="preserve"> 5 and </w:t>
      </w:r>
      <w:proofErr w:type="spellStart"/>
      <w:r w:rsidRPr="002676DE">
        <w:rPr>
          <w:rFonts w:ascii="Arial" w:eastAsiaTheme="minorHAnsi" w:hAnsi="Arial" w:cs="Arial"/>
          <w:sz w:val="18"/>
          <w:szCs w:val="18"/>
          <w:lang w:val="it-IT"/>
        </w:rPr>
        <w:t>Neuropathology</w:t>
      </w:r>
      <w:proofErr w:type="spellEnd"/>
      <w:r w:rsidRPr="002676DE">
        <w:rPr>
          <w:rFonts w:ascii="Arial" w:eastAsiaTheme="minorHAnsi" w:hAnsi="Arial" w:cs="Arial"/>
          <w:sz w:val="18"/>
          <w:szCs w:val="18"/>
          <w:lang w:val="it-IT"/>
        </w:rPr>
        <w:t xml:space="preserve">, Via Celoria 11, Milano, 20133, </w:t>
      </w:r>
      <w:proofErr w:type="spellStart"/>
      <w:r w:rsidRPr="002676DE">
        <w:rPr>
          <w:rFonts w:ascii="Arial" w:eastAsiaTheme="minorHAnsi" w:hAnsi="Arial" w:cs="Arial"/>
          <w:sz w:val="18"/>
          <w:szCs w:val="18"/>
          <w:lang w:val="it-IT"/>
        </w:rPr>
        <w:t>Italy</w:t>
      </w:r>
      <w:proofErr w:type="spellEnd"/>
      <w:r w:rsidRPr="002676DE">
        <w:rPr>
          <w:rFonts w:ascii="Arial" w:eastAsiaTheme="minorHAnsi" w:hAnsi="Arial" w:cs="Arial"/>
          <w:sz w:val="18"/>
          <w:szCs w:val="18"/>
          <w:lang w:val="it-IT"/>
        </w:rPr>
        <w:t>.</w:t>
      </w:r>
    </w:p>
    <w:p w14:paraId="41B0DD6B" w14:textId="2DE781E8" w:rsidR="001B39D0" w:rsidRPr="002676DE" w:rsidRDefault="003C466F" w:rsidP="001B39D0">
      <w:pPr>
        <w:spacing w:after="200" w:line="276" w:lineRule="auto"/>
        <w:contextualSpacing/>
        <w:jc w:val="both"/>
        <w:rPr>
          <w:rFonts w:ascii="Arial" w:eastAsiaTheme="minorHAnsi" w:hAnsi="Arial" w:cs="Arial"/>
          <w:sz w:val="18"/>
          <w:szCs w:val="18"/>
        </w:rPr>
      </w:pPr>
      <w:r w:rsidRPr="002676DE">
        <w:rPr>
          <w:rFonts w:ascii="Arial" w:eastAsiaTheme="minorHAnsi" w:hAnsi="Arial" w:cs="Arial"/>
          <w:sz w:val="18"/>
          <w:szCs w:val="18"/>
          <w:vertAlign w:val="superscript"/>
        </w:rPr>
        <w:t>8</w:t>
      </w:r>
      <w:r w:rsidR="001B39D0" w:rsidRPr="002676DE">
        <w:rPr>
          <w:rFonts w:ascii="Arial" w:eastAsiaTheme="minorHAnsi" w:hAnsi="Arial" w:cs="Arial"/>
          <w:sz w:val="18"/>
          <w:szCs w:val="18"/>
        </w:rPr>
        <w:t xml:space="preserve">CISM Mass Spectrometry Centre, Department of Health Sciences, University of Florence, </w:t>
      </w:r>
      <w:proofErr w:type="spellStart"/>
      <w:r w:rsidR="001B39D0" w:rsidRPr="002676DE">
        <w:rPr>
          <w:rFonts w:ascii="Arial" w:eastAsiaTheme="minorHAnsi" w:hAnsi="Arial" w:cs="Arial"/>
          <w:sz w:val="18"/>
          <w:szCs w:val="18"/>
        </w:rPr>
        <w:t>Viale</w:t>
      </w:r>
      <w:proofErr w:type="spellEnd"/>
      <w:r w:rsidR="001B39D0" w:rsidRPr="002676DE">
        <w:rPr>
          <w:rFonts w:ascii="Arial" w:eastAsiaTheme="minorHAnsi" w:hAnsi="Arial" w:cs="Arial"/>
          <w:sz w:val="18"/>
          <w:szCs w:val="18"/>
        </w:rPr>
        <w:t xml:space="preserve"> Gaetano </w:t>
      </w:r>
      <w:proofErr w:type="spellStart"/>
      <w:r w:rsidR="001B39D0" w:rsidRPr="002676DE">
        <w:rPr>
          <w:rFonts w:ascii="Arial" w:eastAsiaTheme="minorHAnsi" w:hAnsi="Arial" w:cs="Arial"/>
          <w:sz w:val="18"/>
          <w:szCs w:val="18"/>
        </w:rPr>
        <w:t>Pieraccini</w:t>
      </w:r>
      <w:proofErr w:type="spellEnd"/>
      <w:r w:rsidR="001B39D0" w:rsidRPr="002676DE">
        <w:rPr>
          <w:rFonts w:ascii="Arial" w:eastAsiaTheme="minorHAnsi" w:hAnsi="Arial" w:cs="Arial"/>
          <w:sz w:val="18"/>
          <w:szCs w:val="18"/>
        </w:rPr>
        <w:t xml:space="preserve"> 6, Firenze, 50139 Italy.</w:t>
      </w:r>
    </w:p>
    <w:p w14:paraId="392B17C8" w14:textId="77777777" w:rsidR="001B39D0" w:rsidRPr="002676DE" w:rsidRDefault="001B39D0" w:rsidP="001B39D0">
      <w:pPr>
        <w:spacing w:after="200" w:line="276" w:lineRule="auto"/>
        <w:contextualSpacing/>
        <w:rPr>
          <w:rFonts w:ascii="Arial" w:eastAsiaTheme="minorHAnsi" w:hAnsi="Arial" w:cs="Arial"/>
          <w:sz w:val="20"/>
        </w:rPr>
      </w:pPr>
    </w:p>
    <w:p w14:paraId="453C1931" w14:textId="77777777" w:rsidR="001B39D0" w:rsidRPr="002676DE" w:rsidRDefault="001B39D0" w:rsidP="001B39D0">
      <w:pPr>
        <w:spacing w:after="200" w:line="276" w:lineRule="auto"/>
        <w:contextualSpacing/>
        <w:rPr>
          <w:rFonts w:ascii="Arial" w:eastAsiaTheme="minorHAnsi" w:hAnsi="Arial" w:cs="Arial"/>
          <w:sz w:val="20"/>
        </w:rPr>
      </w:pPr>
      <w:r w:rsidRPr="002676DE">
        <w:rPr>
          <w:rFonts w:ascii="Arial" w:eastAsiaTheme="minorHAnsi" w:hAnsi="Arial" w:cs="Arial"/>
          <w:sz w:val="20"/>
        </w:rPr>
        <w:t>*To whom correspondence may be addressed</w:t>
      </w:r>
    </w:p>
    <w:p w14:paraId="2D9F35DB" w14:textId="77777777" w:rsidR="001B39D0" w:rsidRPr="002676DE" w:rsidRDefault="001B39D0" w:rsidP="001B39D0">
      <w:pPr>
        <w:spacing w:after="200" w:line="276" w:lineRule="auto"/>
        <w:rPr>
          <w:rFonts w:ascii="Arial" w:eastAsiaTheme="minorHAnsi" w:hAnsi="Arial" w:cs="Arial"/>
          <w:sz w:val="20"/>
        </w:rPr>
      </w:pPr>
      <w:r w:rsidRPr="002676DE">
        <w:rPr>
          <w:rFonts w:ascii="Arial" w:eastAsiaTheme="minorHAnsi" w:hAnsi="Arial" w:cs="Arial"/>
          <w:b/>
          <w:sz w:val="20"/>
        </w:rPr>
        <w:t xml:space="preserve">Email: </w:t>
      </w:r>
      <w:r w:rsidRPr="002676DE">
        <w:rPr>
          <w:rFonts w:ascii="Arial" w:eastAsiaTheme="minorHAnsi" w:hAnsi="Arial" w:cs="Arial"/>
          <w:sz w:val="20"/>
        </w:rPr>
        <w:t xml:space="preserve"> </w:t>
      </w:r>
      <w:hyperlink r:id="rId8" w:history="1">
        <w:r w:rsidRPr="002676DE">
          <w:rPr>
            <w:rFonts w:ascii="Arial" w:eastAsiaTheme="minorHAnsi" w:hAnsi="Arial" w:cs="Arial"/>
            <w:sz w:val="20"/>
          </w:rPr>
          <w:t>giovanni.bellomo@unipg.it</w:t>
        </w:r>
      </w:hyperlink>
      <w:r w:rsidRPr="002676DE">
        <w:rPr>
          <w:rFonts w:ascii="Arial" w:eastAsiaTheme="minorHAnsi" w:hAnsi="Arial" w:cs="Arial"/>
          <w:sz w:val="20"/>
        </w:rPr>
        <w:t xml:space="preserve">, </w:t>
      </w:r>
      <w:hyperlink r:id="rId9" w:history="1">
        <w:r w:rsidRPr="002676DE">
          <w:rPr>
            <w:rFonts w:ascii="Arial" w:eastAsiaTheme="minorHAnsi" w:hAnsi="Arial" w:cs="Arial"/>
            <w:sz w:val="20"/>
          </w:rPr>
          <w:t>luchinat@cerm.unifi.it</w:t>
        </w:r>
      </w:hyperlink>
      <w:r w:rsidRPr="002676DE">
        <w:rPr>
          <w:rFonts w:ascii="Arial" w:eastAsiaTheme="minorHAnsi" w:hAnsi="Arial" w:cs="Arial"/>
          <w:sz w:val="20"/>
        </w:rPr>
        <w:t xml:space="preserve"> </w:t>
      </w:r>
    </w:p>
    <w:bookmarkEnd w:id="2"/>
    <w:p w14:paraId="4FE1F038" w14:textId="77777777" w:rsidR="001B39D0" w:rsidRPr="002676DE" w:rsidRDefault="001B39D0" w:rsidP="001B39D0">
      <w:pPr>
        <w:rPr>
          <w:rFonts w:ascii="Arial" w:hAnsi="Arial" w:cs="Arial"/>
          <w:b/>
          <w:sz w:val="20"/>
        </w:rPr>
      </w:pPr>
      <w:r w:rsidRPr="002676DE">
        <w:rPr>
          <w:rFonts w:ascii="Arial" w:hAnsi="Arial" w:cs="Arial"/>
          <w:b/>
          <w:sz w:val="20"/>
        </w:rPr>
        <w:t>This PDF file includes:</w:t>
      </w:r>
    </w:p>
    <w:p w14:paraId="29C97022" w14:textId="77777777" w:rsidR="001B39D0" w:rsidRPr="002676DE" w:rsidRDefault="001B39D0" w:rsidP="001B39D0">
      <w:pPr>
        <w:rPr>
          <w:rFonts w:ascii="Arial" w:hAnsi="Arial" w:cs="Arial"/>
          <w:sz w:val="20"/>
        </w:rPr>
      </w:pPr>
    </w:p>
    <w:p w14:paraId="2FDF8F63" w14:textId="77777777" w:rsidR="001B39D0" w:rsidRPr="002676DE" w:rsidRDefault="001B39D0" w:rsidP="001B39D0">
      <w:pPr>
        <w:ind w:left="720"/>
        <w:rPr>
          <w:rFonts w:ascii="Arial" w:hAnsi="Arial" w:cs="Arial"/>
          <w:sz w:val="20"/>
        </w:rPr>
      </w:pPr>
      <w:r w:rsidRPr="002676DE">
        <w:rPr>
          <w:rFonts w:ascii="Arial" w:hAnsi="Arial" w:cs="Arial"/>
          <w:sz w:val="20"/>
        </w:rPr>
        <w:t>Supplementary Results</w:t>
      </w:r>
    </w:p>
    <w:p w14:paraId="5FAE3FCA" w14:textId="76831DC9" w:rsidR="001B39D0" w:rsidRPr="002676DE" w:rsidRDefault="001B39D0" w:rsidP="001B39D0">
      <w:pPr>
        <w:ind w:left="720"/>
        <w:rPr>
          <w:rFonts w:ascii="Arial" w:hAnsi="Arial" w:cs="Arial"/>
          <w:sz w:val="20"/>
        </w:rPr>
      </w:pPr>
      <w:r w:rsidRPr="002676DE">
        <w:rPr>
          <w:rFonts w:ascii="Arial" w:hAnsi="Arial" w:cs="Arial"/>
          <w:sz w:val="20"/>
        </w:rPr>
        <w:t>Figures S1 to S</w:t>
      </w:r>
      <w:r w:rsidR="00E906A1">
        <w:rPr>
          <w:rFonts w:ascii="Arial" w:hAnsi="Arial" w:cs="Arial"/>
          <w:sz w:val="20"/>
        </w:rPr>
        <w:t>9</w:t>
      </w:r>
    </w:p>
    <w:p w14:paraId="3AD20BAA" w14:textId="77777777" w:rsidR="001B39D0" w:rsidRPr="002676DE" w:rsidRDefault="001B39D0" w:rsidP="001B39D0">
      <w:pPr>
        <w:ind w:left="720"/>
        <w:rPr>
          <w:rFonts w:ascii="Arial" w:hAnsi="Arial" w:cs="Arial"/>
          <w:sz w:val="20"/>
        </w:rPr>
      </w:pPr>
      <w:r w:rsidRPr="002676DE">
        <w:rPr>
          <w:rFonts w:ascii="Arial" w:hAnsi="Arial" w:cs="Arial"/>
          <w:sz w:val="20"/>
        </w:rPr>
        <w:t>Tables S1 to S3</w:t>
      </w:r>
    </w:p>
    <w:p w14:paraId="27164616" w14:textId="77777777" w:rsidR="001B39D0" w:rsidRPr="002676DE" w:rsidRDefault="001B39D0" w:rsidP="001B39D0">
      <w:pPr>
        <w:ind w:left="720"/>
        <w:rPr>
          <w:rFonts w:ascii="Arial" w:hAnsi="Arial" w:cs="Arial"/>
          <w:sz w:val="20"/>
        </w:rPr>
      </w:pPr>
      <w:r w:rsidRPr="002676DE">
        <w:rPr>
          <w:rFonts w:ascii="Arial" w:hAnsi="Arial" w:cs="Arial"/>
          <w:sz w:val="20"/>
        </w:rPr>
        <w:t xml:space="preserve">Supplementary References </w:t>
      </w:r>
    </w:p>
    <w:p w14:paraId="1C8B7EDB" w14:textId="77777777" w:rsidR="001B39D0" w:rsidRPr="002676DE" w:rsidRDefault="001B39D0" w:rsidP="001B39D0">
      <w:pPr>
        <w:rPr>
          <w:rFonts w:ascii="Arial" w:hAnsi="Arial" w:cs="Arial"/>
          <w:sz w:val="20"/>
        </w:rPr>
      </w:pPr>
      <w:r w:rsidRPr="002676DE">
        <w:rPr>
          <w:rFonts w:ascii="Arial" w:hAnsi="Arial" w:cs="Arial"/>
          <w:sz w:val="20"/>
        </w:rPr>
        <w:br w:type="page"/>
      </w:r>
    </w:p>
    <w:p w14:paraId="2E8E4843" w14:textId="77777777" w:rsidR="001B39D0" w:rsidRPr="002676DE" w:rsidRDefault="001B39D0" w:rsidP="001B39D0">
      <w:pPr>
        <w:keepNext/>
        <w:spacing w:before="240" w:after="60"/>
        <w:outlineLvl w:val="0"/>
        <w:rPr>
          <w:rFonts w:ascii="Arial" w:hAnsi="Arial" w:cs="Arial"/>
          <w:b/>
          <w:bCs/>
          <w:color w:val="000000"/>
          <w:kern w:val="32"/>
          <w:szCs w:val="24"/>
        </w:rPr>
      </w:pPr>
      <w:bookmarkStart w:id="3" w:name="Tables"/>
      <w:bookmarkStart w:id="4" w:name="MaterialsMethods"/>
      <w:bookmarkEnd w:id="3"/>
      <w:bookmarkEnd w:id="4"/>
      <w:r w:rsidRPr="002676DE">
        <w:rPr>
          <w:rFonts w:ascii="Arial" w:hAnsi="Arial" w:cs="Arial"/>
          <w:b/>
          <w:bCs/>
          <w:color w:val="000000"/>
          <w:kern w:val="32"/>
          <w:szCs w:val="24"/>
        </w:rPr>
        <w:lastRenderedPageBreak/>
        <w:t>Supplementary Results</w:t>
      </w:r>
    </w:p>
    <w:p w14:paraId="23770EBA" w14:textId="77777777" w:rsidR="001B39D0" w:rsidRPr="002676DE" w:rsidRDefault="001B39D0" w:rsidP="001B39D0">
      <w:pPr>
        <w:keepNext/>
        <w:spacing w:before="240" w:after="60"/>
        <w:outlineLvl w:val="1"/>
        <w:rPr>
          <w:rFonts w:ascii="Arial" w:hAnsi="Arial" w:cs="Arial"/>
          <w:b/>
          <w:bCs/>
          <w:i/>
          <w:iCs/>
          <w:color w:val="000000"/>
          <w:sz w:val="20"/>
          <w:szCs w:val="28"/>
          <w:u w:val="single"/>
        </w:rPr>
      </w:pPr>
      <w:r w:rsidRPr="002676DE">
        <w:rPr>
          <w:rFonts w:ascii="Arial" w:hAnsi="Arial" w:cs="Arial"/>
          <w:b/>
          <w:bCs/>
          <w:i/>
          <w:iCs/>
          <w:color w:val="000000"/>
          <w:sz w:val="20"/>
          <w:szCs w:val="28"/>
          <w:u w:val="single"/>
        </w:rPr>
        <w:t>Solution NMR experiments on CSF fractions</w:t>
      </w:r>
    </w:p>
    <w:p w14:paraId="297CCDFD" w14:textId="49DCD277" w:rsidR="001B39D0" w:rsidRPr="002676DE" w:rsidRDefault="001B39D0" w:rsidP="001B39D0">
      <w:pPr>
        <w:pBdr>
          <w:top w:val="nil"/>
          <w:left w:val="nil"/>
          <w:bottom w:val="nil"/>
          <w:right w:val="nil"/>
          <w:between w:val="nil"/>
        </w:pBdr>
        <w:spacing w:after="200"/>
        <w:contextualSpacing/>
        <w:jc w:val="both"/>
        <w:rPr>
          <w:rFonts w:ascii="Arial" w:hAnsi="Arial" w:cs="Arial"/>
          <w:bCs/>
          <w:color w:val="000000"/>
          <w:sz w:val="20"/>
        </w:rPr>
      </w:pPr>
      <w:r w:rsidRPr="002676DE">
        <w:rPr>
          <w:rFonts w:ascii="Arial" w:hAnsi="Arial" w:cs="Arial"/>
          <w:bCs/>
          <w:color w:val="000000"/>
          <w:sz w:val="20"/>
        </w:rPr>
        <w:t xml:space="preserve">To clarify the molecular basis of the inhibition of α-syn aggregation by CSF, we titrated </w:t>
      </w:r>
      <w:r w:rsidRPr="002676DE">
        <w:rPr>
          <w:rFonts w:ascii="Arial" w:hAnsi="Arial" w:cs="Arial"/>
          <w:bCs/>
          <w:color w:val="000000"/>
          <w:sz w:val="20"/>
          <w:vertAlign w:val="superscript"/>
        </w:rPr>
        <w:t>15</w:t>
      </w:r>
      <w:r w:rsidRPr="002676DE">
        <w:rPr>
          <w:rFonts w:ascii="Arial" w:hAnsi="Arial" w:cs="Arial"/>
          <w:bCs/>
          <w:color w:val="000000"/>
          <w:sz w:val="20"/>
        </w:rPr>
        <w:t xml:space="preserve">N isotopically enriched monomeric α-syn (1.44 mg/mL, 100 μM) with all the CSF fractions and evaluated the intensity changes in α-syn amide resonances by 2D </w:t>
      </w:r>
      <w:r w:rsidRPr="002676DE">
        <w:rPr>
          <w:rFonts w:ascii="Arial" w:hAnsi="Arial" w:cs="Arial"/>
          <w:bCs/>
          <w:color w:val="000000"/>
          <w:sz w:val="20"/>
          <w:vertAlign w:val="superscript"/>
        </w:rPr>
        <w:t>1</w:t>
      </w:r>
      <w:r w:rsidRPr="002676DE">
        <w:rPr>
          <w:rFonts w:ascii="Arial" w:hAnsi="Arial" w:cs="Arial"/>
          <w:bCs/>
          <w:color w:val="000000"/>
          <w:sz w:val="20"/>
        </w:rPr>
        <w:t>H-</w:t>
      </w:r>
      <w:r w:rsidRPr="002676DE">
        <w:rPr>
          <w:rFonts w:ascii="Arial" w:hAnsi="Arial" w:cs="Arial"/>
          <w:bCs/>
          <w:color w:val="000000"/>
          <w:sz w:val="20"/>
          <w:vertAlign w:val="superscript"/>
        </w:rPr>
        <w:t>15</w:t>
      </w:r>
      <w:r w:rsidRPr="002676DE">
        <w:rPr>
          <w:rFonts w:ascii="Arial" w:hAnsi="Arial" w:cs="Arial"/>
          <w:bCs/>
          <w:color w:val="000000"/>
          <w:sz w:val="20"/>
        </w:rPr>
        <w:t>N HSQC solution NMR spectra. Relevant intensity decreases were observed by titrating α-syn with whole CSF and with the &lt;3 kDa fraction (Fig. S</w:t>
      </w:r>
      <w:r w:rsidR="00E906A1">
        <w:rPr>
          <w:rFonts w:ascii="Arial" w:hAnsi="Arial" w:cs="Arial"/>
          <w:bCs/>
          <w:color w:val="000000"/>
          <w:sz w:val="20"/>
        </w:rPr>
        <w:t>4</w:t>
      </w:r>
      <w:r w:rsidRPr="002676DE">
        <w:rPr>
          <w:rFonts w:ascii="Arial" w:hAnsi="Arial" w:cs="Arial"/>
          <w:bCs/>
          <w:color w:val="000000"/>
          <w:sz w:val="20"/>
        </w:rPr>
        <w:t>A and S</w:t>
      </w:r>
      <w:r w:rsidR="00E906A1">
        <w:rPr>
          <w:rFonts w:ascii="Arial" w:hAnsi="Arial" w:cs="Arial"/>
          <w:bCs/>
          <w:color w:val="000000"/>
          <w:sz w:val="20"/>
        </w:rPr>
        <w:t>4</w:t>
      </w:r>
      <w:r w:rsidRPr="002676DE">
        <w:rPr>
          <w:rFonts w:ascii="Arial" w:hAnsi="Arial" w:cs="Arial"/>
          <w:bCs/>
          <w:color w:val="000000"/>
          <w:sz w:val="20"/>
        </w:rPr>
        <w:t>B), while no relevant intensity decreases were detected for the other fractions (as an example, the results for the &gt;100 kDa fraction are shown in Fig. S</w:t>
      </w:r>
      <w:r w:rsidR="00E906A1">
        <w:rPr>
          <w:rFonts w:ascii="Arial" w:hAnsi="Arial" w:cs="Arial"/>
          <w:bCs/>
          <w:color w:val="000000"/>
          <w:sz w:val="20"/>
        </w:rPr>
        <w:t>4</w:t>
      </w:r>
      <w:r w:rsidRPr="002676DE">
        <w:rPr>
          <w:rFonts w:ascii="Arial" w:hAnsi="Arial" w:cs="Arial"/>
          <w:bCs/>
          <w:color w:val="000000"/>
          <w:sz w:val="20"/>
        </w:rPr>
        <w:t>C). However, the intensity decreases observed by titrating α-syn with whole CSF and with the &lt;3 kDa fraction were accompanied by a shift in the position of the amide-proton of histidine-50 (for whole CSF Δ</w:t>
      </w:r>
      <w:r w:rsidRPr="002676DE">
        <w:rPr>
          <w:rFonts w:ascii="Arial" w:hAnsi="Arial" w:cs="Arial"/>
          <w:bCs/>
          <w:color w:val="000000"/>
          <w:sz w:val="20"/>
          <w:vertAlign w:val="superscript"/>
        </w:rPr>
        <w:t>1</w:t>
      </w:r>
      <w:r w:rsidRPr="002676DE">
        <w:rPr>
          <w:rFonts w:ascii="Arial" w:hAnsi="Arial" w:cs="Arial"/>
          <w:bCs/>
          <w:color w:val="000000"/>
          <w:sz w:val="20"/>
        </w:rPr>
        <w:t>H = 0.042 ppm, Δ</w:t>
      </w:r>
      <w:r w:rsidRPr="002676DE">
        <w:rPr>
          <w:rFonts w:ascii="Arial" w:hAnsi="Arial" w:cs="Arial"/>
          <w:bCs/>
          <w:color w:val="000000"/>
          <w:sz w:val="20"/>
          <w:vertAlign w:val="superscript"/>
        </w:rPr>
        <w:t>15</w:t>
      </w:r>
      <w:r w:rsidRPr="002676DE">
        <w:rPr>
          <w:rFonts w:ascii="Arial" w:hAnsi="Arial" w:cs="Arial"/>
          <w:bCs/>
          <w:color w:val="000000"/>
          <w:sz w:val="20"/>
        </w:rPr>
        <w:t xml:space="preserve">N = 0.26 ppm). The resonance frequency of histidine-50 amide protons of α-syn is known to be particularly sensitive to pH changes, which also affect the chemical exchange between bulk water protons and amide protons, which in turn modulates the intensity of peaks in 2D </w:t>
      </w:r>
      <w:r w:rsidRPr="002676DE">
        <w:rPr>
          <w:rFonts w:ascii="Arial" w:hAnsi="Arial" w:cs="Arial"/>
          <w:bCs/>
          <w:color w:val="000000"/>
          <w:sz w:val="20"/>
          <w:vertAlign w:val="superscript"/>
        </w:rPr>
        <w:t>1</w:t>
      </w:r>
      <w:r w:rsidRPr="002676DE">
        <w:rPr>
          <w:rFonts w:ascii="Arial" w:hAnsi="Arial" w:cs="Arial"/>
          <w:bCs/>
          <w:color w:val="000000"/>
          <w:sz w:val="20"/>
        </w:rPr>
        <w:t>H-</w:t>
      </w:r>
      <w:r w:rsidRPr="002676DE">
        <w:rPr>
          <w:rFonts w:ascii="Arial" w:hAnsi="Arial" w:cs="Arial"/>
          <w:bCs/>
          <w:color w:val="000000"/>
          <w:sz w:val="20"/>
          <w:vertAlign w:val="superscript"/>
        </w:rPr>
        <w:t>15</w:t>
      </w:r>
      <w:r w:rsidRPr="002676DE">
        <w:rPr>
          <w:rFonts w:ascii="Arial" w:hAnsi="Arial" w:cs="Arial"/>
          <w:bCs/>
          <w:color w:val="000000"/>
          <w:sz w:val="20"/>
        </w:rPr>
        <w:t>N HSQC solution NMR spectra. To test whether CSF could produce such a pH change also in the presence of PBS, we performed pH measurements over-time on the whole CSF fraction (2/3 CSF + 1/3 PBS 3x) and in undiluted CSF. The results of these experiments are shown in Fig. S</w:t>
      </w:r>
      <w:r w:rsidR="00E906A1">
        <w:rPr>
          <w:rFonts w:ascii="Arial" w:hAnsi="Arial" w:cs="Arial"/>
          <w:bCs/>
          <w:color w:val="000000"/>
          <w:sz w:val="20"/>
        </w:rPr>
        <w:t>5</w:t>
      </w:r>
      <w:r w:rsidRPr="002676DE">
        <w:rPr>
          <w:rFonts w:ascii="Arial" w:hAnsi="Arial" w:cs="Arial"/>
          <w:bCs/>
          <w:color w:val="000000"/>
          <w:sz w:val="20"/>
        </w:rPr>
        <w:t xml:space="preserve">: exposing CSF to air upon vigorous shaking caused a significant increase in pH both in the presence and absence of PBS. This effect had been reported previously </w:t>
      </w:r>
      <w:r w:rsidRPr="002676DE">
        <w:rPr>
          <w:rFonts w:ascii="Arial" w:hAnsi="Arial" w:cs="Arial"/>
          <w:bCs/>
          <w:color w:val="000000"/>
          <w:sz w:val="20"/>
        </w:rPr>
        <w:fldChar w:fldCharType="begin"/>
      </w:r>
      <w:r w:rsidR="008D3877">
        <w:rPr>
          <w:rFonts w:ascii="Arial" w:hAnsi="Arial" w:cs="Arial"/>
          <w:bCs/>
          <w:color w:val="000000"/>
          <w:sz w:val="20"/>
        </w:rPr>
        <w:instrText xml:space="preserve"> ADDIN ZOTERO_ITEM CSL_CITATION {"citationID":"mm2CrPZe","properties":{"formattedCitation":"(1, 2)","plainCitation":"(1, 2)","noteIndex":0},"citationItems":[{"id":1772,"uris":["http://zotero.org/users/local/it4AD6cT/items/WXBQFJ3X"],"itemData":{"id":1772,"type":"article-journal","abstract":"AIMS: To determine the effect of pH changes occurring in cerebrospinal fluid (CSF) after sampling on the viability of meningitis causing bacteria, and on the performance of agglutination assays used for the rapid detection of bacterial antigens.\nMETHODS: The pH of CSF collected via lumbar puncture was measured by various methods, and the effects of the following different incubation conditions on subsequent changes were determined: air at 4 degrees C; air at room temperature (22 degrees C); air at 37 degrees C; and air with 5% CO2 at 37 degrees C. The growth/survival in pooled CSF of 15 bacterial isolates collected from 74 patients with meningitis was assessed in these incubation conditions over 24 hours. The effects of pH changes in the CSF on the sensitivity of two latex agglutination and one co-agglutination kits for detecting Haemophilus influenzae, Neisseria meningitidis groups B and C, and Streptococcus pneumoniae were determined.\nRESULTS: The measured pH of CSF was highly affected by the method used and particularly the time delay between patient sampling and assay. Measured pH values at the time of sampling (mean 7.5) increased rapidly within 60 seconds by about one unit. CSF pH continued to increase during incubation in all tested conditions (up to approximately pH 10), with the exception of in air with 5% CO2 at 37 degrees C where pH changes were reversible and near physiological values were attained. Bacterial survival for all species tested was poorest in CSF incubated in air at 37 degrees C and best following exposure to air with 5% CO2 at 37 degrees C. Agglutination in rapid antigen detection kits with CSF incubated in air as opposed to air with 5% CO2 generally took longer to occur and in some instances was less prominent. In one case a false negative result was obtained with CSF seeded with N meningitidis group B incubated in the former but not the latter conditions.\nCONCLUSIONS: CSF pH increases after patient sampling are minimised and/or mostly reversed by incubation in an atmosphere containing 5% CO2. CSF samples should ideally be placed in such an atmosphere as soon as possible after collection, and left there until laboratory processing occurs, to reduce the detrimental effects of pH stress on bacterial survival. pH increases may also reduce the likelihood of obtaining a positive result in rapid antigen detection assays.","container-title":"Journal of Clinical Pathology","DOI":"10.1136/jcp.49.3.249","ISSN":"0021-9746","issue":"3","journalAbbreviation":"J Clin Pathol","language":"eng","note":"PMID: 8675739\nPMCID: PMC500408","page":"249-253","source":"PubMed","title":"Effect of pH changes in cerebrospinal fluid specimens on bacterial survival and antigen test results","volume":"49","author":[{"family":"Cunniffe","given":"J. G."},{"family":"Whitby-Strevens","given":"S."},{"family":"Wilcox","given":"M. H."}],"issued":{"date-parts":[["1996",3]]}}},{"id":1812,"uris":["http://zotero.org/users/local/it4AD6cT/items/VZU57P7N"],"itemData":{"id":1812,"type":"article-journal","abstract":"The pH of ex vivo plasma, bile and urine was monitored at different times and temperatures of storage, and following different sample processing methods such as ultrafiltration, centrifugation, precipitation and evaporation. The results showed that the pH of ex vivo plasma, bile and urine increased upon storage, and following sample processing and could lead to significant degradation of pH-labile compounds. Several compounds were used to illustrate the impact of pH shifts on drug stability and interpretation of results obtained from in vivo studies. For example, after 1 h of incubation (37°C) in rat plasma (pH 8.3), about 60% of I was lost. However, in phosphate buffer, losses were about 12% at pH 7.4 and 40% at pH 8.0. Plasma pH also increased during ultrafiltration, centrifugation and extraction. After methanol precipitation of plasma proteins, and evaporation of the supernatant and redissolution of the residue, the resulting solution had a pH of 9.5. Under these conditions, II was degraded by 60% but was stable when phosphate buffer was used to maintain the pH at 7.4. The shift in plasma pH can yield misleading results from in vivo studies if the pH is not controlled. For example, the major circulating metabolite of II was also formed in plasma ex-vivo. This ex vivo degradation was prevented when blood samples were collected into tubes containing 0.1 volume of phosphate buffer (0.3 M, pH 5). The pH of ex vivo plasma can best be stabilized at physiological conditions using 10% CO2 atmosphere in a CO2 incubator. Changes in pH of ex vivo urine and bile samples can have similar adverse effect on pH-labile samples. Thus, processing of plasma samples under a 10% CO2 atmosphere is a method of choice for stability or protein binding studies in plasma, whereas citrate or phosphate buffers are suitable for stabilizing pH in bile and urine and for plasma samples requiring extensive preparations or long term storage.","container-title":"Journal of Pharmaceutical and Biomedical Analysis","DOI":"10.1016/S0731-7085(03)00159-6","ISSN":"0731-7085","issue":"3","journalAbbreviation":"Journal of Pharmaceutical and Biomedical Analysis","language":"en","page":"513-522","source":"ScienceDirect","title":"Shift in pH of biological fluids during storage and processing: effect on bioanalysis","title-short":"Shift in pH of biological fluids during storage and processing","volume":"32","author":[{"family":"Fura","given":"Aberra"},{"family":"Harper","given":"Timothy W"},{"family":"Zhang","given":"Hongjian"},{"family":"Fung","given":"Lawrence"},{"family":"Shyu","given":"Wen Chyi"}],"issued":{"date-parts":[["2003",7,14]]}}}],"schema":"https://github.com/citation-style-language/schema/raw/master/csl-citation.json"} </w:instrText>
      </w:r>
      <w:r w:rsidRPr="002676DE">
        <w:rPr>
          <w:rFonts w:ascii="Arial" w:hAnsi="Arial" w:cs="Arial"/>
          <w:bCs/>
          <w:color w:val="000000"/>
          <w:sz w:val="20"/>
        </w:rPr>
        <w:fldChar w:fldCharType="separate"/>
      </w:r>
      <w:r w:rsidR="008D3877" w:rsidRPr="008D3877">
        <w:rPr>
          <w:rFonts w:ascii="Arial" w:hAnsi="Arial" w:cs="Arial"/>
          <w:sz w:val="20"/>
        </w:rPr>
        <w:t>(1, 2)</w:t>
      </w:r>
      <w:r w:rsidRPr="002676DE">
        <w:rPr>
          <w:rFonts w:ascii="Arial" w:hAnsi="Arial" w:cs="Arial"/>
          <w:bCs/>
          <w:color w:val="000000"/>
          <w:sz w:val="20"/>
        </w:rPr>
        <w:fldChar w:fldCharType="end"/>
      </w:r>
      <w:r w:rsidRPr="002676DE">
        <w:rPr>
          <w:rFonts w:ascii="Arial" w:hAnsi="Arial" w:cs="Arial"/>
          <w:bCs/>
          <w:color w:val="000000"/>
          <w:sz w:val="20"/>
        </w:rPr>
        <w:t xml:space="preserve"> and is produced by the loss of carbon dioxide from CSF (and the consequent displacement of the CO</w:t>
      </w:r>
      <w:r w:rsidRPr="002676DE">
        <w:rPr>
          <w:rFonts w:ascii="Arial" w:hAnsi="Arial" w:cs="Arial"/>
          <w:bCs/>
          <w:color w:val="000000"/>
          <w:sz w:val="20"/>
          <w:vertAlign w:val="subscript"/>
        </w:rPr>
        <w:t>2</w:t>
      </w:r>
      <w:r w:rsidRPr="002676DE">
        <w:rPr>
          <w:rFonts w:ascii="Arial" w:hAnsi="Arial" w:cs="Arial"/>
          <w:bCs/>
          <w:color w:val="000000"/>
          <w:sz w:val="20"/>
        </w:rPr>
        <w:t>/HCO</w:t>
      </w:r>
      <w:r w:rsidRPr="002676DE">
        <w:rPr>
          <w:rFonts w:ascii="Arial" w:hAnsi="Arial" w:cs="Arial"/>
          <w:bCs/>
          <w:color w:val="000000"/>
          <w:sz w:val="20"/>
          <w:vertAlign w:val="subscript"/>
        </w:rPr>
        <w:t>3</w:t>
      </w:r>
      <w:r w:rsidRPr="002676DE">
        <w:rPr>
          <w:rFonts w:ascii="Arial" w:hAnsi="Arial" w:cs="Arial"/>
          <w:bCs/>
          <w:color w:val="000000"/>
          <w:sz w:val="20"/>
          <w:vertAlign w:val="superscript"/>
        </w:rPr>
        <w:t>–</w:t>
      </w:r>
      <w:r w:rsidRPr="002676DE">
        <w:rPr>
          <w:rFonts w:ascii="Arial" w:hAnsi="Arial" w:cs="Arial"/>
          <w:bCs/>
          <w:color w:val="000000"/>
          <w:sz w:val="20"/>
        </w:rPr>
        <w:t xml:space="preserve"> equilibrium). This effect is likely responsible for the intensity decreases observed in HSQC spectra while titrating α-syn with whole CSF and with the &lt;3 kDa fraction. </w:t>
      </w:r>
      <w:r w:rsidRPr="002676DE">
        <w:rPr>
          <w:rFonts w:ascii="Arial" w:hAnsi="Arial" w:cs="Arial"/>
          <w:b/>
          <w:bCs/>
          <w:color w:val="000000"/>
          <w:sz w:val="20"/>
        </w:rPr>
        <w:t xml:space="preserve"> </w:t>
      </w:r>
      <w:r w:rsidRPr="002676DE">
        <w:rPr>
          <w:rFonts w:ascii="Arial" w:hAnsi="Arial" w:cs="Arial"/>
          <w:bCs/>
          <w:color w:val="000000"/>
          <w:sz w:val="20"/>
        </w:rPr>
        <w:t xml:space="preserve">It is also well known that the aggregation propensity of α-syn is strongly dependent on pH </w:t>
      </w:r>
      <w:r w:rsidRPr="002676DE">
        <w:rPr>
          <w:rFonts w:ascii="Arial" w:hAnsi="Arial" w:cs="Arial"/>
          <w:bCs/>
          <w:color w:val="000000"/>
          <w:sz w:val="20"/>
        </w:rPr>
        <w:fldChar w:fldCharType="begin"/>
      </w:r>
      <w:r w:rsidR="008D3877">
        <w:rPr>
          <w:rFonts w:ascii="Arial" w:hAnsi="Arial" w:cs="Arial"/>
          <w:bCs/>
          <w:color w:val="000000"/>
          <w:sz w:val="20"/>
        </w:rPr>
        <w:instrText xml:space="preserve"> ADDIN ZOTERO_ITEM CSL_CITATION {"citationID":"3r55HGBz","properties":{"formattedCitation":"(3)","plainCitation":"(3)","noteIndex":0},"citationItems":[{"id":2446,"uris":["http://zotero.org/users/local/it4AD6cT/items/LZDCKTR6"],"itemData":{"id":2446,"type":"article-journal","abstract":"&lt;p&gt;Intracellular proteinaceous aggregates (Lewy bodies and Lewy neurites) of α-synuclein are hallmarks of neurodegenerative diseases such as Parkinson's disease, dementia with Lewy bodies, and multiple systemic atrophy. However, the molecular mechanisms underlying α-synuclein aggregation into such filamentous inclusions remain unknown. An intriguing aspect of this problem is that α-synuclein is a natively unfolded protein, with little or no ordered structure under physiological conditions. This raises the question of how an essentially disordered protein is transformed into highly organized fibrils. In the search for an answer to this question, we have investigated the effects of pH and temperature on the structural properties and fibrillation kinetics of human recombinant α-synuclein. Either a decrease in pH or an increase in temperature transformed α-synuclein into a partially folded conformation. The presence of this intermediate is strongly correlated with the enhanced formation of α-synuclein fibrils. We propose a model for the fibrillation of α-synuclein in which the first step is the conformational transformation of the natively unfolded protein into the aggregation-competent partially folded intermediate.&lt;/p&gt;","container-title":"Journal of Biological Chemistry","DOI":"10.1074/jbc.M010907200","ISSN":"0021-9258, 1083-351X","issue":"14","journalAbbreviation":"Journal of Biological Chemistry","language":"English","note":"publisher: Elsevier\nPMID: 11152691","page":"10737-10744","source":"www.jbc.org","title":"Evidence for a Partially Folded Intermediate in α-Synuclein Fibril Formation *","volume":"276","author":[{"family":"Uversky","given":"Vladimir N."},{"family":"Li","given":"Jie"},{"family":"Fink","given":"Anthony L."}],"issued":{"date-parts":[["2001",4,6]]}}}],"schema":"https://github.com/citation-style-language/schema/raw/master/csl-citation.json"} </w:instrText>
      </w:r>
      <w:r w:rsidRPr="002676DE">
        <w:rPr>
          <w:rFonts w:ascii="Arial" w:hAnsi="Arial" w:cs="Arial"/>
          <w:bCs/>
          <w:color w:val="000000"/>
          <w:sz w:val="20"/>
        </w:rPr>
        <w:fldChar w:fldCharType="separate"/>
      </w:r>
      <w:r w:rsidR="008D3877" w:rsidRPr="008D3877">
        <w:rPr>
          <w:rFonts w:ascii="Arial" w:hAnsi="Arial" w:cs="Arial"/>
          <w:sz w:val="20"/>
        </w:rPr>
        <w:t>(3)</w:t>
      </w:r>
      <w:r w:rsidRPr="002676DE">
        <w:rPr>
          <w:rFonts w:ascii="Arial" w:hAnsi="Arial" w:cs="Arial"/>
          <w:bCs/>
          <w:color w:val="000000"/>
          <w:sz w:val="20"/>
        </w:rPr>
        <w:fldChar w:fldCharType="end"/>
      </w:r>
      <w:r w:rsidRPr="002676DE">
        <w:rPr>
          <w:rFonts w:ascii="Arial" w:hAnsi="Arial" w:cs="Arial"/>
          <w:bCs/>
          <w:color w:val="000000"/>
          <w:sz w:val="20"/>
        </w:rPr>
        <w:t xml:space="preserve">. For this reason, we interpreted the slight decrease in the maximum fluorescence signal observed for the &lt;3 kDa fraction (main text Fig. </w:t>
      </w:r>
      <w:r w:rsidR="00240B86">
        <w:rPr>
          <w:rFonts w:ascii="Arial" w:hAnsi="Arial" w:cs="Arial"/>
          <w:bCs/>
          <w:color w:val="000000"/>
          <w:sz w:val="20"/>
        </w:rPr>
        <w:t>3</w:t>
      </w:r>
      <w:r w:rsidRPr="002676DE">
        <w:rPr>
          <w:rFonts w:ascii="Arial" w:hAnsi="Arial" w:cs="Arial"/>
          <w:bCs/>
          <w:color w:val="000000"/>
          <w:sz w:val="20"/>
        </w:rPr>
        <w:t>B), as a possible effect of the pH increase due to the loss of CO</w:t>
      </w:r>
      <w:r w:rsidRPr="002676DE">
        <w:rPr>
          <w:rFonts w:ascii="Arial" w:hAnsi="Arial" w:cs="Arial"/>
          <w:bCs/>
          <w:color w:val="000000"/>
          <w:sz w:val="20"/>
          <w:vertAlign w:val="subscript"/>
        </w:rPr>
        <w:t>2</w:t>
      </w:r>
      <w:r w:rsidRPr="002676DE">
        <w:rPr>
          <w:rFonts w:ascii="Arial" w:hAnsi="Arial" w:cs="Arial"/>
          <w:bCs/>
          <w:color w:val="000000"/>
          <w:sz w:val="20"/>
        </w:rPr>
        <w:t>, which could be significantly present both in this fraction and in the whole CSF sample (the other fractions were eluted multiple times with PBS).</w:t>
      </w:r>
    </w:p>
    <w:p w14:paraId="33F72346" w14:textId="77777777" w:rsidR="001B39D0" w:rsidRPr="002676DE" w:rsidRDefault="001B39D0" w:rsidP="001B39D0">
      <w:pPr>
        <w:rPr>
          <w:rFonts w:ascii="Arial" w:hAnsi="Arial" w:cs="Arial"/>
          <w:bCs/>
          <w:color w:val="000000"/>
          <w:sz w:val="20"/>
        </w:rPr>
      </w:pPr>
      <w:r w:rsidRPr="002676DE">
        <w:rPr>
          <w:rFonts w:ascii="Arial" w:hAnsi="Arial" w:cs="Arial"/>
          <w:bCs/>
          <w:color w:val="000000"/>
          <w:sz w:val="20"/>
        </w:rPr>
        <w:br w:type="page"/>
      </w:r>
    </w:p>
    <w:p w14:paraId="2B110F65" w14:textId="77777777" w:rsidR="001B39D0" w:rsidRPr="002676DE" w:rsidRDefault="001B39D0" w:rsidP="001B39D0">
      <w:pPr>
        <w:pBdr>
          <w:top w:val="nil"/>
          <w:left w:val="nil"/>
          <w:bottom w:val="nil"/>
          <w:right w:val="nil"/>
          <w:between w:val="nil"/>
        </w:pBdr>
        <w:spacing w:after="200"/>
        <w:contextualSpacing/>
        <w:jc w:val="both"/>
        <w:rPr>
          <w:rFonts w:ascii="Arial" w:hAnsi="Arial" w:cs="Arial"/>
          <w:b/>
          <w:bCs/>
          <w:color w:val="000000"/>
          <w:sz w:val="20"/>
        </w:rPr>
      </w:pPr>
    </w:p>
    <w:p w14:paraId="4BA2F96D" w14:textId="0360F9F0" w:rsidR="00A80D4F" w:rsidRDefault="001B39D0" w:rsidP="001B39D0">
      <w:pPr>
        <w:keepNext/>
        <w:spacing w:before="240" w:after="60"/>
        <w:outlineLvl w:val="0"/>
        <w:rPr>
          <w:rFonts w:ascii="Arial" w:hAnsi="Arial" w:cs="Arial"/>
          <w:b/>
          <w:bCs/>
          <w:kern w:val="32"/>
          <w:szCs w:val="24"/>
          <w:lang w:val="en-GB"/>
        </w:rPr>
      </w:pPr>
      <w:r w:rsidRPr="002676DE">
        <w:rPr>
          <w:rFonts w:ascii="Arial" w:hAnsi="Arial" w:cs="Arial"/>
          <w:b/>
          <w:bCs/>
          <w:kern w:val="32"/>
          <w:szCs w:val="24"/>
          <w:lang w:val="en-GB"/>
        </w:rPr>
        <w:t>Supplementary Figures</w:t>
      </w:r>
    </w:p>
    <w:p w14:paraId="3A613132" w14:textId="3DA9302B" w:rsidR="00A80D4F" w:rsidRDefault="00A80D4F" w:rsidP="00A80D4F">
      <w:pPr>
        <w:rPr>
          <w:rFonts w:ascii="Arial" w:hAnsi="Arial" w:cs="Arial"/>
          <w:b/>
          <w:bCs/>
          <w:kern w:val="32"/>
          <w:szCs w:val="24"/>
          <w:lang w:val="en-GB"/>
        </w:rPr>
      </w:pPr>
    </w:p>
    <w:p w14:paraId="1EA9B5C5" w14:textId="77777777" w:rsidR="00A80D4F" w:rsidRDefault="00A80D4F" w:rsidP="00A80D4F">
      <w:pPr>
        <w:rPr>
          <w:rFonts w:ascii="Arial" w:hAnsi="Arial" w:cs="Arial"/>
          <w:b/>
          <w:bCs/>
          <w:kern w:val="32"/>
          <w:szCs w:val="24"/>
          <w:lang w:val="en-GB"/>
        </w:rPr>
      </w:pPr>
    </w:p>
    <w:p w14:paraId="0E3BB4CB" w14:textId="77777777" w:rsidR="00A80D4F" w:rsidRPr="00A80D4F" w:rsidRDefault="00A80D4F" w:rsidP="00A80D4F">
      <w:pPr>
        <w:rPr>
          <w:rFonts w:ascii="Arial" w:hAnsi="Arial" w:cs="Arial"/>
          <w:b/>
          <w:bCs/>
          <w:kern w:val="32"/>
          <w:szCs w:val="24"/>
        </w:rPr>
      </w:pPr>
      <w:r w:rsidRPr="00A80D4F">
        <w:rPr>
          <w:rFonts w:ascii="Arial" w:hAnsi="Arial" w:cs="Arial"/>
          <w:b/>
          <w:bCs/>
          <w:kern w:val="32"/>
          <w:szCs w:val="24"/>
        </w:rPr>
        <w:drawing>
          <wp:inline distT="0" distB="0" distL="0" distR="0" wp14:anchorId="6F5719C5" wp14:editId="7B848FFA">
            <wp:extent cx="5040000" cy="2473361"/>
            <wp:effectExtent l="0" t="0" r="8255" b="3175"/>
            <wp:docPr id="10" name="Immagine 10"/>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0" name="Segnaposto contenuto 4"/>
                    <pic:cNvPicPr>
                      <a:picLocks noGrp="1"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0000" cy="2473361"/>
                    </a:xfrm>
                    <a:prstGeom prst="rect">
                      <a:avLst/>
                    </a:prstGeom>
                    <a:noFill/>
                    <a:ln>
                      <a:noFill/>
                    </a:ln>
                  </pic:spPr>
                </pic:pic>
              </a:graphicData>
            </a:graphic>
          </wp:inline>
        </w:drawing>
      </w:r>
    </w:p>
    <w:p w14:paraId="74936300" w14:textId="6618B132" w:rsidR="00A80D4F" w:rsidRPr="00A80D4F" w:rsidRDefault="00A80D4F" w:rsidP="00A80D4F">
      <w:pPr>
        <w:outlineLvl w:val="1"/>
        <w:rPr>
          <w:rFonts w:ascii="Arial" w:hAnsi="Arial" w:cs="Arial"/>
          <w:kern w:val="32"/>
          <w:sz w:val="20"/>
          <w:szCs w:val="24"/>
        </w:rPr>
      </w:pPr>
      <w:r w:rsidRPr="00A80D4F">
        <w:rPr>
          <w:rFonts w:ascii="Arial" w:hAnsi="Arial" w:cs="Arial"/>
          <w:b/>
          <w:bCs/>
          <w:kern w:val="32"/>
          <w:sz w:val="20"/>
          <w:szCs w:val="24"/>
        </w:rPr>
        <w:t>Fig. S</w:t>
      </w:r>
      <w:r w:rsidRPr="00A80D4F">
        <w:rPr>
          <w:rFonts w:ascii="Arial" w:hAnsi="Arial" w:cs="Arial"/>
          <w:b/>
          <w:bCs/>
          <w:kern w:val="32"/>
          <w:sz w:val="20"/>
          <w:szCs w:val="24"/>
        </w:rPr>
        <w:t>1</w:t>
      </w:r>
      <w:r w:rsidRPr="00A80D4F">
        <w:rPr>
          <w:rFonts w:ascii="Arial" w:hAnsi="Arial" w:cs="Arial"/>
          <w:b/>
          <w:bCs/>
          <w:kern w:val="32"/>
          <w:sz w:val="20"/>
          <w:szCs w:val="24"/>
        </w:rPr>
        <w:t xml:space="preserve">. Scheme of the CSF fractionation procedure. </w:t>
      </w:r>
      <w:r w:rsidRPr="00A80D4F">
        <w:rPr>
          <w:rFonts w:ascii="Arial" w:hAnsi="Arial" w:cs="Arial"/>
          <w:kern w:val="32"/>
          <w:sz w:val="20"/>
          <w:szCs w:val="24"/>
        </w:rPr>
        <w:t>From a starting aliquot of 4.5 mL of CSF in PBS 1x, we collected 6 aliquots containing compounds of different molecular weight and froze them in liquid nitrogen. After every filtration with centrifugal filters, the flow-through of the filtered fraction was passed to a filter with smaller cutoff. Aliquots 2, 3, 4 and 5 were washed 2 times with PBS before storage, to dilute as much as possible compounds smaller than the cutoff value. The aliquots collected in this way contained the different constituents of the starting 4.5 mL of CSF in PBS with different concentration factors. The volume and the relative concentration factors (with respect to sample 1) of the aliquots depicted are summarized in Table S1.</w:t>
      </w:r>
    </w:p>
    <w:p w14:paraId="14DF890E" w14:textId="77777777" w:rsidR="001B39D0" w:rsidRPr="002676DE" w:rsidRDefault="001B39D0" w:rsidP="001B39D0">
      <w:pPr>
        <w:keepNext/>
        <w:spacing w:before="240" w:after="60"/>
        <w:rPr>
          <w:rFonts w:ascii="Arial" w:hAnsi="Arial" w:cs="Arial"/>
          <w:b/>
          <w:bCs/>
          <w:kern w:val="32"/>
          <w:szCs w:val="24"/>
          <w:lang w:val="en-GB"/>
        </w:rPr>
      </w:pPr>
      <w:r w:rsidRPr="002676DE">
        <w:rPr>
          <w:rFonts w:ascii="Arial" w:hAnsi="Arial" w:cs="Arial"/>
          <w:b/>
          <w:bCs/>
          <w:noProof/>
          <w:kern w:val="32"/>
          <w:szCs w:val="24"/>
        </w:rPr>
        <w:lastRenderedPageBreak/>
        <w:drawing>
          <wp:inline distT="0" distB="0" distL="0" distR="0" wp14:anchorId="6984C6EB" wp14:editId="25D01D55">
            <wp:extent cx="3694430" cy="3576955"/>
            <wp:effectExtent l="0" t="0" r="1270" b="4445"/>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4430" cy="3576955"/>
                    </a:xfrm>
                    <a:prstGeom prst="rect">
                      <a:avLst/>
                    </a:prstGeom>
                    <a:noFill/>
                    <a:ln>
                      <a:noFill/>
                    </a:ln>
                  </pic:spPr>
                </pic:pic>
              </a:graphicData>
            </a:graphic>
          </wp:inline>
        </w:drawing>
      </w:r>
    </w:p>
    <w:p w14:paraId="5E999322" w14:textId="6B73D34E" w:rsidR="001B39D0" w:rsidRPr="002676DE" w:rsidRDefault="001B39D0" w:rsidP="00A80D4F">
      <w:pPr>
        <w:jc w:val="both"/>
        <w:outlineLvl w:val="1"/>
        <w:rPr>
          <w:rFonts w:ascii="Arial" w:hAnsi="Arial" w:cs="Arial"/>
          <w:kern w:val="32"/>
          <w:sz w:val="20"/>
          <w:szCs w:val="24"/>
        </w:rPr>
      </w:pPr>
      <w:r w:rsidRPr="002676DE">
        <w:rPr>
          <w:rFonts w:ascii="Arial" w:hAnsi="Arial" w:cs="Arial"/>
          <w:b/>
          <w:bCs/>
          <w:kern w:val="32"/>
          <w:sz w:val="20"/>
          <w:szCs w:val="24"/>
        </w:rPr>
        <w:t>Fig. S</w:t>
      </w:r>
      <w:r w:rsidR="00A80D4F">
        <w:rPr>
          <w:rFonts w:ascii="Arial" w:hAnsi="Arial" w:cs="Arial"/>
          <w:b/>
          <w:bCs/>
          <w:kern w:val="32"/>
          <w:sz w:val="20"/>
          <w:szCs w:val="24"/>
        </w:rPr>
        <w:t>2</w:t>
      </w:r>
      <w:r w:rsidRPr="002676DE">
        <w:rPr>
          <w:rFonts w:ascii="Arial" w:hAnsi="Arial" w:cs="Arial"/>
          <w:b/>
          <w:bCs/>
          <w:kern w:val="32"/>
          <w:sz w:val="20"/>
          <w:szCs w:val="24"/>
        </w:rPr>
        <w:t>.</w:t>
      </w:r>
      <w:r w:rsidRPr="002676DE">
        <w:rPr>
          <w:rFonts w:ascii="Arial" w:eastAsiaTheme="minorHAnsi" w:hAnsi="Arial" w:cs="Arial"/>
          <w:color w:val="000000"/>
          <w:sz w:val="20"/>
        </w:rPr>
        <w:t xml:space="preserve"> </w:t>
      </w:r>
      <w:r w:rsidRPr="002676DE">
        <w:rPr>
          <w:rFonts w:ascii="Arial" w:hAnsi="Arial" w:cs="Arial"/>
          <w:b/>
          <w:bCs/>
          <w:kern w:val="32"/>
          <w:sz w:val="20"/>
          <w:szCs w:val="24"/>
        </w:rPr>
        <w:t>T</w:t>
      </w:r>
      <w:r w:rsidRPr="002676DE">
        <w:rPr>
          <w:rFonts w:ascii="Arial" w:hAnsi="Arial" w:cs="Arial"/>
          <w:b/>
          <w:bCs/>
          <w:kern w:val="32"/>
          <w:sz w:val="20"/>
          <w:szCs w:val="24"/>
          <w:vertAlign w:val="subscript"/>
        </w:rPr>
        <w:t>50</w:t>
      </w:r>
      <w:r w:rsidRPr="002676DE">
        <w:rPr>
          <w:rFonts w:ascii="Arial" w:hAnsi="Arial" w:cs="Arial"/>
          <w:b/>
          <w:bCs/>
          <w:kern w:val="32"/>
          <w:sz w:val="20"/>
          <w:szCs w:val="24"/>
        </w:rPr>
        <w:t xml:space="preserve"> measured in Six different human CSF samples spiked with 20 fg of seeds. </w:t>
      </w:r>
      <w:r w:rsidRPr="002676DE">
        <w:rPr>
          <w:rFonts w:ascii="Arial" w:hAnsi="Arial" w:cs="Arial"/>
          <w:kern w:val="32"/>
          <w:sz w:val="20"/>
          <w:szCs w:val="24"/>
        </w:rPr>
        <w:t>The measured T</w:t>
      </w:r>
      <w:r w:rsidRPr="002676DE">
        <w:rPr>
          <w:rFonts w:ascii="Arial" w:hAnsi="Arial" w:cs="Arial"/>
          <w:kern w:val="32"/>
          <w:sz w:val="20"/>
          <w:szCs w:val="24"/>
          <w:vertAlign w:val="subscript"/>
        </w:rPr>
        <w:t xml:space="preserve">50 </w:t>
      </w:r>
      <w:r w:rsidRPr="002676DE">
        <w:rPr>
          <w:rFonts w:ascii="Arial" w:hAnsi="Arial" w:cs="Arial"/>
          <w:kern w:val="32"/>
          <w:sz w:val="20"/>
          <w:szCs w:val="24"/>
        </w:rPr>
        <w:t>parameters were globally different, as assessed by one-way analysis of variance (ANOVA) and Fisher’s LSD post-hoc test for mean comparisons. *0.01&lt;p&lt;0.05; **0.001&lt;p&lt;0.01: ***p&lt;0.001.</w:t>
      </w:r>
    </w:p>
    <w:p w14:paraId="28B3D43A" w14:textId="1100FD60" w:rsidR="001B39D0" w:rsidRPr="00EE544A" w:rsidRDefault="001B39D0" w:rsidP="001B39D0">
      <w:pPr>
        <w:rPr>
          <w:rFonts w:ascii="Arial" w:hAnsi="Arial" w:cs="Arial"/>
          <w:kern w:val="32"/>
          <w:sz w:val="20"/>
          <w:szCs w:val="24"/>
        </w:rPr>
      </w:pPr>
      <w:r w:rsidRPr="002676DE">
        <w:rPr>
          <w:rFonts w:ascii="Arial" w:hAnsi="Arial" w:cs="Arial"/>
          <w:b/>
          <w:bCs/>
        </w:rPr>
        <w:br w:type="page"/>
      </w:r>
    </w:p>
    <w:p w14:paraId="15E16C72" w14:textId="77777777" w:rsidR="001B39D0" w:rsidRPr="002676DE" w:rsidRDefault="001B39D0" w:rsidP="001B39D0">
      <w:pPr>
        <w:rPr>
          <w:rFonts w:ascii="Arial" w:hAnsi="Arial" w:cs="Arial"/>
        </w:rPr>
      </w:pPr>
    </w:p>
    <w:p w14:paraId="040A0DCF" w14:textId="77777777" w:rsidR="001B39D0" w:rsidRPr="002676DE" w:rsidRDefault="001B39D0" w:rsidP="001B39D0">
      <w:pPr>
        <w:keepNext/>
        <w:spacing w:before="240" w:after="60"/>
        <w:rPr>
          <w:rFonts w:ascii="Arial" w:hAnsi="Arial" w:cs="Arial"/>
          <w:b/>
          <w:bCs/>
          <w:kern w:val="32"/>
          <w:sz w:val="20"/>
          <w:szCs w:val="24"/>
        </w:rPr>
      </w:pPr>
      <w:r w:rsidRPr="002676DE">
        <w:rPr>
          <w:rFonts w:ascii="Arial" w:hAnsi="Arial" w:cs="Arial"/>
          <w:b/>
          <w:bCs/>
          <w:noProof/>
          <w:kern w:val="32"/>
          <w:sz w:val="20"/>
          <w:szCs w:val="24"/>
        </w:rPr>
        <w:drawing>
          <wp:inline distT="0" distB="0" distL="0" distR="0" wp14:anchorId="21F7592B" wp14:editId="2924961F">
            <wp:extent cx="4320000" cy="2799231"/>
            <wp:effectExtent l="0" t="0" r="4445" b="127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320000" cy="2799231"/>
                    </a:xfrm>
                    <a:prstGeom prst="rect">
                      <a:avLst/>
                    </a:prstGeom>
                  </pic:spPr>
                </pic:pic>
              </a:graphicData>
            </a:graphic>
          </wp:inline>
        </w:drawing>
      </w:r>
    </w:p>
    <w:p w14:paraId="10C0811D" w14:textId="6A9ADEC2" w:rsidR="001B39D0" w:rsidRPr="002676DE" w:rsidRDefault="001B39D0" w:rsidP="001B39D0">
      <w:pPr>
        <w:keepNext/>
        <w:spacing w:before="240" w:after="60"/>
        <w:jc w:val="both"/>
        <w:outlineLvl w:val="1"/>
        <w:rPr>
          <w:rFonts w:ascii="Arial" w:hAnsi="Arial" w:cs="Arial"/>
          <w:kern w:val="32"/>
          <w:sz w:val="20"/>
          <w:szCs w:val="24"/>
        </w:rPr>
      </w:pPr>
      <w:r w:rsidRPr="002676DE">
        <w:rPr>
          <w:rFonts w:ascii="Arial" w:hAnsi="Arial" w:cs="Arial"/>
          <w:b/>
          <w:bCs/>
          <w:kern w:val="32"/>
          <w:sz w:val="20"/>
          <w:szCs w:val="24"/>
        </w:rPr>
        <w:t>Fig. S</w:t>
      </w:r>
      <w:r w:rsidR="00A80D4F">
        <w:rPr>
          <w:rFonts w:ascii="Arial" w:hAnsi="Arial" w:cs="Arial"/>
          <w:b/>
          <w:bCs/>
          <w:kern w:val="32"/>
          <w:sz w:val="20"/>
          <w:szCs w:val="24"/>
        </w:rPr>
        <w:t>3</w:t>
      </w:r>
      <w:r w:rsidRPr="002676DE">
        <w:rPr>
          <w:rFonts w:ascii="Arial" w:hAnsi="Arial" w:cs="Arial"/>
          <w:b/>
          <w:bCs/>
          <w:kern w:val="32"/>
          <w:sz w:val="20"/>
          <w:szCs w:val="24"/>
        </w:rPr>
        <w:t xml:space="preserve">. Quantitative regression analysis of the seeded protein aggregation assay in the absence of human CSF. </w:t>
      </w:r>
      <w:r w:rsidRPr="002676DE">
        <w:rPr>
          <w:rFonts w:ascii="Arial" w:hAnsi="Arial" w:cs="Arial"/>
          <w:kern w:val="32"/>
          <w:sz w:val="20"/>
          <w:szCs w:val="24"/>
        </w:rPr>
        <w:t>Measured t2 parameters for the seeded experiment vs the quantity of seeds added; the horizontal axis is displayed in log10 scale. The t2 values displayed result from the average of three replicates, error bars reflect the standard deviation of the mean value. The data were fitted with a natural log function, the correlation between t2 and the added seed masses was assessed by means of Pearson’s correlation coefficient (r).</w:t>
      </w:r>
    </w:p>
    <w:p w14:paraId="03CA140F" w14:textId="6A33678E" w:rsidR="001B39D0" w:rsidRPr="00E906A1" w:rsidRDefault="001B39D0" w:rsidP="001B39D0">
      <w:pPr>
        <w:rPr>
          <w:rFonts w:ascii="Arial" w:hAnsi="Arial" w:cs="Arial"/>
          <w:kern w:val="32"/>
          <w:sz w:val="20"/>
          <w:szCs w:val="24"/>
        </w:rPr>
      </w:pPr>
      <w:r w:rsidRPr="002676DE">
        <w:rPr>
          <w:rFonts w:ascii="Arial" w:hAnsi="Arial" w:cs="Arial"/>
          <w:sz w:val="20"/>
          <w:lang w:val="en-GB"/>
        </w:rPr>
        <w:br w:type="page"/>
      </w:r>
    </w:p>
    <w:p w14:paraId="7A702397" w14:textId="77777777" w:rsidR="001B39D0" w:rsidRPr="002676DE" w:rsidRDefault="001B39D0" w:rsidP="001B39D0">
      <w:pPr>
        <w:keepNext/>
        <w:spacing w:before="240" w:after="60"/>
        <w:jc w:val="both"/>
        <w:rPr>
          <w:rFonts w:ascii="Arial" w:hAnsi="Arial" w:cs="Arial"/>
          <w:b/>
          <w:bCs/>
          <w:kern w:val="32"/>
          <w:sz w:val="20"/>
          <w:szCs w:val="24"/>
          <w:lang w:val="en-GB"/>
        </w:rPr>
      </w:pPr>
    </w:p>
    <w:p w14:paraId="3B125523" w14:textId="77777777" w:rsidR="001B39D0" w:rsidRPr="002676DE" w:rsidRDefault="001B39D0" w:rsidP="001B39D0">
      <w:pPr>
        <w:keepNext/>
        <w:spacing w:before="240" w:after="60"/>
        <w:rPr>
          <w:rFonts w:ascii="Arial" w:hAnsi="Arial" w:cs="Arial"/>
          <w:kern w:val="32"/>
          <w:sz w:val="20"/>
          <w:szCs w:val="24"/>
          <w:lang w:val="en-GB"/>
        </w:rPr>
      </w:pPr>
    </w:p>
    <w:p w14:paraId="7BB71DF0" w14:textId="77777777" w:rsidR="00A85F23" w:rsidRPr="002676DE" w:rsidRDefault="00A85F23" w:rsidP="00A85F23">
      <w:pPr>
        <w:rPr>
          <w:rFonts w:ascii="Arial" w:hAnsi="Arial" w:cs="Arial"/>
          <w:b/>
          <w:bCs/>
          <w:sz w:val="20"/>
        </w:rPr>
      </w:pPr>
      <w:r w:rsidRPr="002676DE">
        <w:rPr>
          <w:rFonts w:ascii="Arial" w:hAnsi="Arial" w:cs="Arial"/>
          <w:noProof/>
        </w:rPr>
        <w:drawing>
          <wp:inline distT="0" distB="0" distL="0" distR="0" wp14:anchorId="35C15975" wp14:editId="5591A8E1">
            <wp:extent cx="3600000" cy="2704085"/>
            <wp:effectExtent l="0" t="0" r="635" b="127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00000" cy="2704085"/>
                    </a:xfrm>
                    <a:prstGeom prst="rect">
                      <a:avLst/>
                    </a:prstGeom>
                    <a:noFill/>
                    <a:ln>
                      <a:noFill/>
                    </a:ln>
                  </pic:spPr>
                </pic:pic>
              </a:graphicData>
            </a:graphic>
          </wp:inline>
        </w:drawing>
      </w:r>
    </w:p>
    <w:p w14:paraId="3B0479CC" w14:textId="383CE756" w:rsidR="00A85F23" w:rsidRPr="002676DE" w:rsidRDefault="00A85F23" w:rsidP="00A85F23">
      <w:pPr>
        <w:pStyle w:val="Titolo2"/>
        <w:jc w:val="both"/>
        <w:rPr>
          <w:rFonts w:ascii="Arial" w:hAnsi="Arial" w:cs="Arial"/>
          <w:sz w:val="20"/>
        </w:rPr>
      </w:pPr>
      <w:r w:rsidRPr="006B54E4">
        <w:rPr>
          <w:rFonts w:ascii="Arial" w:hAnsi="Arial" w:cs="Arial"/>
          <w:sz w:val="20"/>
        </w:rPr>
        <w:t>Fig. S</w:t>
      </w:r>
      <w:r w:rsidR="00E906A1">
        <w:rPr>
          <w:rFonts w:ascii="Arial" w:hAnsi="Arial" w:cs="Arial"/>
          <w:sz w:val="20"/>
        </w:rPr>
        <w:t>4</w:t>
      </w:r>
      <w:r w:rsidRPr="006B54E4">
        <w:rPr>
          <w:rFonts w:ascii="Arial" w:hAnsi="Arial" w:cs="Arial"/>
          <w:sz w:val="20"/>
        </w:rPr>
        <w:t>. NMR titrations of α-syn with CSF fractions</w:t>
      </w:r>
      <w:r w:rsidRPr="006B54E4">
        <w:rPr>
          <w:rFonts w:ascii="Arial" w:hAnsi="Arial" w:cs="Arial"/>
          <w:b w:val="0"/>
          <w:bCs w:val="0"/>
          <w:sz w:val="20"/>
        </w:rPr>
        <w:t xml:space="preserve">. </w:t>
      </w:r>
      <w:r w:rsidRPr="006B54E4">
        <w:rPr>
          <w:rFonts w:ascii="Arial" w:hAnsi="Arial" w:cs="Arial"/>
          <w:b w:val="0"/>
          <w:bCs w:val="0"/>
          <w:i w:val="0"/>
          <w:iCs w:val="0"/>
          <w:sz w:val="20"/>
        </w:rPr>
        <w:t xml:space="preserve">Intensity decreases of the signals of two-dimensional (2D) </w:t>
      </w:r>
      <w:r w:rsidRPr="006B54E4">
        <w:rPr>
          <w:rFonts w:ascii="Arial" w:hAnsi="Arial" w:cs="Arial"/>
          <w:b w:val="0"/>
          <w:bCs w:val="0"/>
          <w:i w:val="0"/>
          <w:iCs w:val="0"/>
          <w:sz w:val="20"/>
          <w:vertAlign w:val="superscript"/>
        </w:rPr>
        <w:t>15</w:t>
      </w:r>
      <w:r w:rsidRPr="006B54E4">
        <w:rPr>
          <w:rFonts w:ascii="Arial" w:hAnsi="Arial" w:cs="Arial"/>
          <w:b w:val="0"/>
          <w:bCs w:val="0"/>
          <w:i w:val="0"/>
          <w:iCs w:val="0"/>
          <w:sz w:val="20"/>
        </w:rPr>
        <w:t>N–</w:t>
      </w:r>
      <w:r w:rsidRPr="006B54E4">
        <w:rPr>
          <w:rFonts w:ascii="Arial" w:hAnsi="Arial" w:cs="Arial"/>
          <w:b w:val="0"/>
          <w:bCs w:val="0"/>
          <w:i w:val="0"/>
          <w:iCs w:val="0"/>
          <w:sz w:val="20"/>
          <w:vertAlign w:val="superscript"/>
        </w:rPr>
        <w:t>1</w:t>
      </w:r>
      <w:r w:rsidRPr="006B54E4">
        <w:rPr>
          <w:rFonts w:ascii="Arial" w:hAnsi="Arial" w:cs="Arial"/>
          <w:b w:val="0"/>
          <w:bCs w:val="0"/>
          <w:i w:val="0"/>
          <w:iCs w:val="0"/>
          <w:sz w:val="20"/>
        </w:rPr>
        <w:t xml:space="preserve">H HSQC experiments acquired at 950 MHz at T = 283 K on </w:t>
      </w:r>
      <w:r w:rsidRPr="006B54E4">
        <w:rPr>
          <w:rFonts w:ascii="Arial" w:hAnsi="Arial" w:cs="Arial"/>
          <w:b w:val="0"/>
          <w:bCs w:val="0"/>
          <w:i w:val="0"/>
          <w:iCs w:val="0"/>
          <w:sz w:val="20"/>
          <w:vertAlign w:val="superscript"/>
        </w:rPr>
        <w:t>15</w:t>
      </w:r>
      <w:r w:rsidRPr="006B54E4">
        <w:rPr>
          <w:rFonts w:ascii="Arial" w:hAnsi="Arial" w:cs="Arial"/>
          <w:b w:val="0"/>
          <w:bCs w:val="0"/>
          <w:i w:val="0"/>
          <w:iCs w:val="0"/>
          <w:sz w:val="20"/>
        </w:rPr>
        <w:t>N labelled α-syn (100 μM) in PBS after the addition of: (A) whole pooled CSF in PBS, (B) &lt; 3 kDa CSF fraction in PBS and (C) &gt; 100 kDa CSF fraction in PBS. The residues experiencing the largest decreases in signal intensity (smaller by one or more standard deviations with respect to the average value) are highlighted in light blue. The intensity ratios corresponding to overlapping peaks are highlighted in red (their values were not considered in the calculation of the average decreases and standard deviations).</w:t>
      </w:r>
    </w:p>
    <w:p w14:paraId="1A1173FD" w14:textId="77777777" w:rsidR="001B39D0" w:rsidRPr="002676DE" w:rsidRDefault="001B39D0" w:rsidP="001B39D0">
      <w:pPr>
        <w:keepNext/>
        <w:jc w:val="center"/>
        <w:rPr>
          <w:rFonts w:ascii="Arial" w:hAnsi="Arial" w:cs="Arial"/>
          <w:kern w:val="32"/>
          <w:sz w:val="20"/>
          <w:szCs w:val="24"/>
        </w:rPr>
      </w:pPr>
      <w:r w:rsidRPr="002676DE">
        <w:rPr>
          <w:rFonts w:ascii="Arial" w:hAnsi="Arial" w:cs="Arial"/>
          <w:b/>
          <w:bCs/>
          <w:sz w:val="20"/>
        </w:rPr>
        <w:br w:type="page"/>
      </w:r>
    </w:p>
    <w:p w14:paraId="2A9B6CA1" w14:textId="77777777" w:rsidR="001B39D0" w:rsidRPr="002676DE" w:rsidRDefault="001B39D0" w:rsidP="001B39D0">
      <w:pPr>
        <w:keepNext/>
        <w:spacing w:before="240" w:after="60"/>
        <w:jc w:val="both"/>
        <w:rPr>
          <w:rFonts w:ascii="Arial" w:hAnsi="Arial" w:cs="Arial"/>
          <w:kern w:val="32"/>
          <w:sz w:val="20"/>
          <w:szCs w:val="24"/>
          <w:lang w:val="en-GB"/>
        </w:rPr>
      </w:pPr>
    </w:p>
    <w:p w14:paraId="27A32D6A" w14:textId="77777777" w:rsidR="001B39D0" w:rsidRPr="002676DE" w:rsidRDefault="001B39D0" w:rsidP="001B39D0">
      <w:pPr>
        <w:rPr>
          <w:rFonts w:ascii="Arial" w:hAnsi="Arial" w:cs="Arial"/>
          <w:b/>
          <w:bCs/>
          <w:sz w:val="20"/>
        </w:rPr>
      </w:pPr>
      <w:r w:rsidRPr="002676DE">
        <w:rPr>
          <w:rFonts w:ascii="Arial" w:hAnsi="Arial" w:cs="Arial"/>
          <w:b/>
          <w:bCs/>
          <w:noProof/>
          <w:sz w:val="20"/>
        </w:rPr>
        <w:drawing>
          <wp:inline distT="0" distB="0" distL="0" distR="0" wp14:anchorId="38A36111" wp14:editId="6ECFA171">
            <wp:extent cx="5756910" cy="2882265"/>
            <wp:effectExtent l="1905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srcRect/>
                    <a:stretch>
                      <a:fillRect/>
                    </a:stretch>
                  </pic:blipFill>
                  <pic:spPr bwMode="auto">
                    <a:xfrm>
                      <a:off x="0" y="0"/>
                      <a:ext cx="5756910" cy="2882265"/>
                    </a:xfrm>
                    <a:prstGeom prst="rect">
                      <a:avLst/>
                    </a:prstGeom>
                    <a:noFill/>
                    <a:ln w="9525">
                      <a:noFill/>
                      <a:miter lim="800000"/>
                      <a:headEnd/>
                      <a:tailEnd/>
                    </a:ln>
                  </pic:spPr>
                </pic:pic>
              </a:graphicData>
            </a:graphic>
          </wp:inline>
        </w:drawing>
      </w:r>
    </w:p>
    <w:p w14:paraId="3A11F594" w14:textId="3B97CD87" w:rsidR="001B39D0" w:rsidRPr="002676DE" w:rsidRDefault="001B39D0" w:rsidP="001B39D0">
      <w:pPr>
        <w:keepNext/>
        <w:spacing w:before="240" w:after="60"/>
        <w:jc w:val="both"/>
        <w:outlineLvl w:val="1"/>
        <w:rPr>
          <w:rFonts w:ascii="Arial" w:hAnsi="Arial" w:cs="Arial"/>
          <w:b/>
          <w:bCs/>
          <w:i/>
          <w:iCs/>
          <w:sz w:val="20"/>
          <w:szCs w:val="28"/>
        </w:rPr>
      </w:pPr>
      <w:r w:rsidRPr="002676DE">
        <w:rPr>
          <w:rFonts w:ascii="Arial" w:hAnsi="Arial" w:cs="Arial"/>
          <w:b/>
          <w:bCs/>
          <w:i/>
          <w:iCs/>
          <w:sz w:val="20"/>
          <w:szCs w:val="28"/>
        </w:rPr>
        <w:t>Fig. S</w:t>
      </w:r>
      <w:r w:rsidR="00E906A1">
        <w:rPr>
          <w:rFonts w:ascii="Arial" w:hAnsi="Arial" w:cs="Arial"/>
          <w:b/>
          <w:bCs/>
          <w:i/>
          <w:iCs/>
          <w:sz w:val="20"/>
          <w:szCs w:val="28"/>
        </w:rPr>
        <w:t>5</w:t>
      </w:r>
      <w:r w:rsidRPr="002676DE">
        <w:rPr>
          <w:rFonts w:ascii="Arial" w:hAnsi="Arial" w:cs="Arial"/>
          <w:b/>
          <w:bCs/>
          <w:i/>
          <w:iCs/>
          <w:sz w:val="20"/>
          <w:szCs w:val="28"/>
        </w:rPr>
        <w:t xml:space="preserve">. CSF pH drift. </w:t>
      </w:r>
      <w:r w:rsidRPr="002676DE">
        <w:rPr>
          <w:rFonts w:ascii="Arial" w:hAnsi="Arial" w:cs="Arial"/>
          <w:sz w:val="20"/>
          <w:szCs w:val="28"/>
        </w:rPr>
        <w:t xml:space="preserve">The pH change due to the exposure of CSF to air was monitored over time in 500 μL of undiluted pooled CSF (A) and in the presence of PBS (400 μL CSF + 200 μL PBS 3x) in polypropylene vials with a Thermo Scientific Orion pH-meter equipped with a glass 6 mm diameter </w:t>
      </w:r>
      <w:proofErr w:type="spellStart"/>
      <w:r w:rsidRPr="002676DE">
        <w:rPr>
          <w:rFonts w:ascii="Arial" w:hAnsi="Arial" w:cs="Arial"/>
          <w:sz w:val="20"/>
          <w:szCs w:val="28"/>
        </w:rPr>
        <w:t>pHenomenal</w:t>
      </w:r>
      <w:proofErr w:type="spellEnd"/>
      <w:r w:rsidRPr="002676DE">
        <w:rPr>
          <w:rFonts w:ascii="Arial" w:hAnsi="Arial" w:cs="Arial"/>
          <w:sz w:val="20"/>
          <w:szCs w:val="28"/>
        </w:rPr>
        <w:t xml:space="preserve"> MIC 220 Micro electrode. Right before each measurement, the sample was vortexed for 20 sec and left open to air for another 20 sec.</w:t>
      </w:r>
    </w:p>
    <w:p w14:paraId="5E06FFD6" w14:textId="77777777" w:rsidR="001B39D0" w:rsidRPr="002676DE" w:rsidRDefault="001B39D0" w:rsidP="001B39D0">
      <w:pPr>
        <w:rPr>
          <w:rFonts w:ascii="Arial" w:hAnsi="Arial" w:cs="Arial"/>
          <w:sz w:val="20"/>
        </w:rPr>
      </w:pPr>
      <w:r w:rsidRPr="002676DE">
        <w:rPr>
          <w:rFonts w:ascii="Arial" w:hAnsi="Arial" w:cs="Arial"/>
          <w:sz w:val="20"/>
        </w:rPr>
        <w:br w:type="page"/>
      </w:r>
    </w:p>
    <w:p w14:paraId="4D91A31C" w14:textId="77777777" w:rsidR="001B39D0" w:rsidRPr="002676DE" w:rsidRDefault="001B39D0" w:rsidP="001B39D0">
      <w:pPr>
        <w:rPr>
          <w:rFonts w:ascii="Arial" w:hAnsi="Arial" w:cs="Arial"/>
          <w:sz w:val="20"/>
        </w:rPr>
      </w:pPr>
    </w:p>
    <w:p w14:paraId="19E64412" w14:textId="77777777" w:rsidR="001B39D0" w:rsidRPr="002676DE" w:rsidRDefault="001B39D0" w:rsidP="001B39D0">
      <w:pPr>
        <w:rPr>
          <w:rFonts w:ascii="Arial" w:hAnsi="Arial" w:cs="Arial"/>
          <w:sz w:val="20"/>
        </w:rPr>
      </w:pPr>
      <w:r w:rsidRPr="002676DE">
        <w:rPr>
          <w:rFonts w:ascii="Arial" w:hAnsi="Arial" w:cs="Arial"/>
          <w:sz w:val="20"/>
        </w:rPr>
        <w:br w:type="page"/>
      </w:r>
      <w:r w:rsidRPr="002676DE">
        <w:rPr>
          <w:rFonts w:ascii="Arial" w:hAnsi="Arial" w:cs="Arial"/>
          <w:noProof/>
        </w:rPr>
        <w:lastRenderedPageBreak/>
        <w:drawing>
          <wp:inline distT="0" distB="0" distL="0" distR="0" wp14:anchorId="3D10F2DB" wp14:editId="4E418477">
            <wp:extent cx="3482340" cy="3665220"/>
            <wp:effectExtent l="0" t="0" r="3810" b="0"/>
            <wp:docPr id="26" name="Immagin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82340" cy="3665220"/>
                    </a:xfrm>
                    <a:prstGeom prst="rect">
                      <a:avLst/>
                    </a:prstGeom>
                    <a:noFill/>
                    <a:ln>
                      <a:noFill/>
                    </a:ln>
                  </pic:spPr>
                </pic:pic>
              </a:graphicData>
            </a:graphic>
          </wp:inline>
        </w:drawing>
      </w:r>
    </w:p>
    <w:p w14:paraId="31CE2C73" w14:textId="2D9475B5" w:rsidR="001B39D0" w:rsidRPr="002676DE" w:rsidRDefault="001B39D0" w:rsidP="001B39D0">
      <w:pPr>
        <w:keepNext/>
        <w:spacing w:before="240" w:after="60"/>
        <w:jc w:val="both"/>
        <w:outlineLvl w:val="1"/>
        <w:rPr>
          <w:rFonts w:ascii="Arial" w:hAnsi="Arial" w:cs="Arial"/>
          <w:i/>
          <w:iCs/>
          <w:color w:val="000000"/>
          <w:sz w:val="20"/>
          <w:szCs w:val="28"/>
        </w:rPr>
      </w:pPr>
      <w:r w:rsidRPr="002676DE">
        <w:rPr>
          <w:rFonts w:ascii="Arial" w:hAnsi="Arial" w:cs="Arial"/>
          <w:b/>
          <w:bCs/>
          <w:color w:val="000000"/>
          <w:sz w:val="20"/>
        </w:rPr>
        <w:t>Fig. S</w:t>
      </w:r>
      <w:r w:rsidR="00E906A1">
        <w:rPr>
          <w:rFonts w:ascii="Arial" w:hAnsi="Arial" w:cs="Arial"/>
          <w:b/>
          <w:bCs/>
          <w:color w:val="000000"/>
          <w:sz w:val="20"/>
        </w:rPr>
        <w:t>6</w:t>
      </w:r>
      <w:r w:rsidRPr="002676DE">
        <w:rPr>
          <w:rFonts w:ascii="Arial" w:hAnsi="Arial" w:cs="Arial"/>
          <w:b/>
          <w:bCs/>
          <w:color w:val="000000"/>
          <w:sz w:val="20"/>
        </w:rPr>
        <w:t xml:space="preserve">. </w:t>
      </w:r>
      <w:bookmarkStart w:id="5" w:name="_Hlk97117441"/>
      <w:bookmarkStart w:id="6" w:name="_Hlk68692291"/>
      <w:r w:rsidRPr="002676DE">
        <w:rPr>
          <w:rFonts w:ascii="Arial" w:hAnsi="Arial" w:cs="Arial"/>
          <w:b/>
          <w:bCs/>
          <w:color w:val="000000"/>
          <w:sz w:val="20"/>
        </w:rPr>
        <w:t>Different CSF fractions differently affect α-syn aggregation.</w:t>
      </w:r>
      <w:r w:rsidRPr="002676DE">
        <w:rPr>
          <w:rFonts w:ascii="Arial" w:eastAsiaTheme="minorHAnsi" w:hAnsi="Arial" w:cs="Arial"/>
          <w:color w:val="000000"/>
          <w:sz w:val="20"/>
        </w:rPr>
        <w:t xml:space="preserve"> </w:t>
      </w:r>
      <w:r w:rsidRPr="002676DE">
        <w:rPr>
          <w:rFonts w:ascii="Arial" w:hAnsi="Arial" w:cs="Arial"/>
          <w:color w:val="000000"/>
          <w:sz w:val="20"/>
        </w:rPr>
        <w:t>Mean fitted t2 parameters of samples with 40 μl of PBS/CSF fractions. The values displayed result from the average of three replicates with error bars reflecting the SEM.</w:t>
      </w:r>
      <w:r w:rsidRPr="002676DE">
        <w:rPr>
          <w:rFonts w:ascii="Arial" w:hAnsi="Arial" w:cs="Arial"/>
          <w:b/>
          <w:bCs/>
          <w:color w:val="000000"/>
          <w:sz w:val="20"/>
        </w:rPr>
        <w:t xml:space="preserve"> </w:t>
      </w:r>
      <w:r w:rsidRPr="002676DE">
        <w:rPr>
          <w:rFonts w:ascii="Arial" w:hAnsi="Arial" w:cs="Arial"/>
          <w:color w:val="000000"/>
          <w:sz w:val="20"/>
        </w:rPr>
        <w:t>For whole CSF and the &gt;100 kDa fraction the total duration of the experiment is shown due to the absence of appreciable aggregation.</w:t>
      </w:r>
      <w:r w:rsidRPr="002676DE">
        <w:rPr>
          <w:rFonts w:ascii="Arial" w:hAnsi="Arial" w:cs="Arial"/>
          <w:i/>
          <w:iCs/>
          <w:color w:val="000000"/>
          <w:sz w:val="20"/>
        </w:rPr>
        <w:t xml:space="preserve"> </w:t>
      </w:r>
      <w:r w:rsidRPr="002676DE">
        <w:rPr>
          <w:rFonts w:ascii="Arial" w:hAnsi="Arial" w:cs="Arial"/>
          <w:b/>
          <w:bCs/>
          <w:i/>
          <w:iCs/>
          <w:color w:val="000000"/>
          <w:sz w:val="20"/>
          <w:szCs w:val="28"/>
        </w:rPr>
        <w:br w:type="page"/>
      </w:r>
      <w:bookmarkEnd w:id="5"/>
      <w:r w:rsidRPr="002676DE">
        <w:rPr>
          <w:rFonts w:ascii="Arial" w:hAnsi="Arial" w:cs="Arial"/>
          <w:i/>
          <w:iCs/>
          <w:noProof/>
          <w:color w:val="000000"/>
          <w:sz w:val="20"/>
          <w:szCs w:val="28"/>
        </w:rPr>
        <w:lastRenderedPageBreak/>
        <w:drawing>
          <wp:inline distT="0" distB="0" distL="0" distR="0" wp14:anchorId="428398F4" wp14:editId="4D8FACAB">
            <wp:extent cx="5756910" cy="3584575"/>
            <wp:effectExtent l="19050" t="0" r="0" b="0"/>
            <wp:docPr id="7" name="Immagine 3"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magine 3" descr="Immagine che contiene testo&#10;&#10;Descrizione generata automaticamente"/>
                    <pic:cNvPicPr>
                      <a:picLocks noChangeAspect="1" noChangeArrowheads="1"/>
                    </pic:cNvPicPr>
                  </pic:nvPicPr>
                  <pic:blipFill>
                    <a:blip r:embed="rId16"/>
                    <a:srcRect/>
                    <a:stretch>
                      <a:fillRect/>
                    </a:stretch>
                  </pic:blipFill>
                  <pic:spPr bwMode="auto">
                    <a:xfrm>
                      <a:off x="0" y="0"/>
                      <a:ext cx="5756910" cy="3584575"/>
                    </a:xfrm>
                    <a:prstGeom prst="rect">
                      <a:avLst/>
                    </a:prstGeom>
                    <a:noFill/>
                    <a:ln w="9525">
                      <a:noFill/>
                      <a:miter lim="800000"/>
                      <a:headEnd/>
                      <a:tailEnd/>
                    </a:ln>
                  </pic:spPr>
                </pic:pic>
              </a:graphicData>
            </a:graphic>
          </wp:inline>
        </w:drawing>
      </w:r>
    </w:p>
    <w:p w14:paraId="4D8BFD4F" w14:textId="15033CBE" w:rsidR="001B39D0" w:rsidRPr="002676DE" w:rsidRDefault="001B39D0" w:rsidP="001B39D0">
      <w:pPr>
        <w:keepNext/>
        <w:spacing w:before="240" w:after="60"/>
        <w:jc w:val="both"/>
        <w:outlineLvl w:val="1"/>
        <w:rPr>
          <w:rFonts w:ascii="Arial" w:hAnsi="Arial" w:cs="Arial"/>
          <w:color w:val="000000"/>
          <w:sz w:val="20"/>
          <w:szCs w:val="28"/>
        </w:rPr>
      </w:pPr>
      <w:r w:rsidRPr="002676DE">
        <w:rPr>
          <w:rFonts w:ascii="Arial" w:hAnsi="Arial" w:cs="Arial"/>
          <w:b/>
          <w:bCs/>
          <w:i/>
          <w:iCs/>
          <w:color w:val="000000"/>
          <w:sz w:val="20"/>
          <w:szCs w:val="28"/>
        </w:rPr>
        <w:t>Fig. S</w:t>
      </w:r>
      <w:r w:rsidR="00E906A1">
        <w:rPr>
          <w:rFonts w:ascii="Arial" w:hAnsi="Arial" w:cs="Arial"/>
          <w:b/>
          <w:bCs/>
          <w:i/>
          <w:iCs/>
          <w:color w:val="000000"/>
          <w:sz w:val="20"/>
          <w:szCs w:val="28"/>
        </w:rPr>
        <w:t>7</w:t>
      </w:r>
      <w:r w:rsidRPr="002676DE">
        <w:rPr>
          <w:rFonts w:ascii="Arial" w:hAnsi="Arial" w:cs="Arial"/>
          <w:b/>
          <w:bCs/>
          <w:i/>
          <w:iCs/>
          <w:color w:val="000000"/>
          <w:sz w:val="20"/>
          <w:szCs w:val="28"/>
        </w:rPr>
        <w:t xml:space="preserve">. Native image of the dot-blot assay. </w:t>
      </w:r>
      <w:r w:rsidRPr="002676DE">
        <w:rPr>
          <w:rFonts w:ascii="Arial" w:hAnsi="Arial" w:cs="Arial"/>
          <w:color w:val="000000"/>
          <w:sz w:val="20"/>
          <w:szCs w:val="28"/>
        </w:rPr>
        <w:t>Native image of the dot-blot assay performed on the HSA and HDL containing samples with OC (detection of fibrillary oligomers) and A11 (detection of amorphous oligomers) conformational antibodies.</w:t>
      </w:r>
    </w:p>
    <w:p w14:paraId="0E81AF1F" w14:textId="77777777" w:rsidR="001B39D0" w:rsidRPr="002676DE" w:rsidRDefault="001B39D0" w:rsidP="001B39D0">
      <w:pPr>
        <w:rPr>
          <w:rFonts w:ascii="Arial" w:hAnsi="Arial" w:cs="Arial"/>
          <w:color w:val="000000"/>
          <w:sz w:val="20"/>
        </w:rPr>
      </w:pPr>
    </w:p>
    <w:bookmarkEnd w:id="6"/>
    <w:p w14:paraId="2027EF90" w14:textId="77777777" w:rsidR="001B39D0" w:rsidRPr="002676DE" w:rsidRDefault="001B39D0" w:rsidP="001B39D0">
      <w:pPr>
        <w:rPr>
          <w:rFonts w:ascii="Arial" w:hAnsi="Arial" w:cs="Arial"/>
          <w:kern w:val="32"/>
          <w:sz w:val="20"/>
          <w:szCs w:val="24"/>
        </w:rPr>
      </w:pPr>
      <w:r w:rsidRPr="002676DE">
        <w:rPr>
          <w:rFonts w:ascii="Arial" w:hAnsi="Arial" w:cs="Arial"/>
          <w:kern w:val="32"/>
          <w:sz w:val="20"/>
          <w:szCs w:val="24"/>
        </w:rPr>
        <w:br w:type="page"/>
      </w:r>
    </w:p>
    <w:p w14:paraId="371E1CBD" w14:textId="77777777" w:rsidR="001B39D0" w:rsidRPr="002676DE" w:rsidRDefault="001B39D0" w:rsidP="001B39D0">
      <w:pPr>
        <w:jc w:val="both"/>
        <w:rPr>
          <w:rFonts w:ascii="Arial" w:hAnsi="Arial" w:cs="Arial"/>
          <w:b/>
          <w:bCs/>
          <w:kern w:val="32"/>
          <w:sz w:val="20"/>
          <w:szCs w:val="24"/>
        </w:rPr>
      </w:pPr>
    </w:p>
    <w:p w14:paraId="194145B2" w14:textId="77777777" w:rsidR="001B39D0" w:rsidRPr="002676DE" w:rsidRDefault="001B39D0" w:rsidP="001B39D0">
      <w:pPr>
        <w:rPr>
          <w:rFonts w:ascii="Arial" w:hAnsi="Arial" w:cs="Arial"/>
          <w:b/>
          <w:bCs/>
          <w:kern w:val="32"/>
          <w:sz w:val="20"/>
          <w:szCs w:val="24"/>
        </w:rPr>
      </w:pPr>
    </w:p>
    <w:p w14:paraId="781B78A1" w14:textId="77777777" w:rsidR="001B39D0" w:rsidRPr="002676DE" w:rsidRDefault="001B39D0" w:rsidP="001B39D0">
      <w:pPr>
        <w:rPr>
          <w:rFonts w:ascii="Arial" w:hAnsi="Arial" w:cs="Arial"/>
          <w:b/>
          <w:bCs/>
          <w:kern w:val="32"/>
          <w:sz w:val="20"/>
          <w:szCs w:val="24"/>
        </w:rPr>
      </w:pPr>
      <w:r w:rsidRPr="002676DE">
        <w:rPr>
          <w:rFonts w:ascii="Arial" w:hAnsi="Arial" w:cs="Arial"/>
          <w:b/>
          <w:bCs/>
          <w:noProof/>
          <w:kern w:val="32"/>
          <w:sz w:val="20"/>
          <w:szCs w:val="24"/>
        </w:rPr>
        <w:drawing>
          <wp:inline distT="0" distB="0" distL="0" distR="0" wp14:anchorId="1BE008C5" wp14:editId="7CBD2F93">
            <wp:extent cx="2602598" cy="1962080"/>
            <wp:effectExtent l="0" t="0" r="7620" b="635"/>
            <wp:docPr id="9"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7"/>
                    <pic:cNvPicPr>
                      <a:picLocks noChangeAspect="1" noChangeArrowheads="1"/>
                    </pic:cNvPicPr>
                  </pic:nvPicPr>
                  <pic:blipFill rotWithShape="1">
                    <a:blip r:embed="rId17"/>
                    <a:srcRect l="66483" t="18726" r="1154" b="5066"/>
                    <a:stretch/>
                  </pic:blipFill>
                  <pic:spPr bwMode="auto">
                    <a:xfrm>
                      <a:off x="0" y="0"/>
                      <a:ext cx="2603477" cy="1962742"/>
                    </a:xfrm>
                    <a:prstGeom prst="rect">
                      <a:avLst/>
                    </a:prstGeom>
                    <a:noFill/>
                    <a:ln>
                      <a:noFill/>
                    </a:ln>
                    <a:extLst>
                      <a:ext uri="{53640926-AAD7-44D8-BBD7-CCE9431645EC}">
                        <a14:shadowObscured xmlns:a14="http://schemas.microsoft.com/office/drawing/2010/main"/>
                      </a:ext>
                    </a:extLst>
                  </pic:spPr>
                </pic:pic>
              </a:graphicData>
            </a:graphic>
          </wp:inline>
        </w:drawing>
      </w:r>
      <w:r w:rsidRPr="002676DE">
        <w:rPr>
          <w:rFonts w:ascii="Arial" w:hAnsi="Arial" w:cs="Arial"/>
        </w:rPr>
        <w:t xml:space="preserve"> </w:t>
      </w:r>
      <w:r w:rsidRPr="002676DE">
        <w:rPr>
          <w:rFonts w:ascii="Arial" w:hAnsi="Arial" w:cs="Arial"/>
          <w:noProof/>
        </w:rPr>
        <w:drawing>
          <wp:inline distT="0" distB="0" distL="0" distR="0" wp14:anchorId="00D71B95" wp14:editId="5749DC4C">
            <wp:extent cx="2523698" cy="1962000"/>
            <wp:effectExtent l="0" t="0" r="0" b="635"/>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3698" cy="1962000"/>
                    </a:xfrm>
                    <a:prstGeom prst="rect">
                      <a:avLst/>
                    </a:prstGeom>
                    <a:noFill/>
                    <a:ln>
                      <a:noFill/>
                    </a:ln>
                  </pic:spPr>
                </pic:pic>
              </a:graphicData>
            </a:graphic>
          </wp:inline>
        </w:drawing>
      </w:r>
    </w:p>
    <w:p w14:paraId="50EFB6D1" w14:textId="3B5F2496" w:rsidR="001B39D0" w:rsidRPr="002676DE" w:rsidRDefault="001B39D0" w:rsidP="001B39D0">
      <w:pPr>
        <w:keepNext/>
        <w:spacing w:before="240" w:after="60"/>
        <w:jc w:val="both"/>
        <w:outlineLvl w:val="1"/>
        <w:rPr>
          <w:rFonts w:ascii="Arial" w:hAnsi="Arial" w:cs="Arial"/>
          <w:kern w:val="32"/>
          <w:sz w:val="20"/>
          <w:szCs w:val="24"/>
        </w:rPr>
      </w:pPr>
      <w:r w:rsidRPr="002676DE">
        <w:rPr>
          <w:rFonts w:ascii="Arial" w:hAnsi="Arial" w:cs="Arial"/>
          <w:b/>
          <w:bCs/>
          <w:kern w:val="32"/>
          <w:sz w:val="20"/>
          <w:szCs w:val="24"/>
        </w:rPr>
        <w:t>Fig. S</w:t>
      </w:r>
      <w:r w:rsidR="00E906A1">
        <w:rPr>
          <w:rFonts w:ascii="Arial" w:hAnsi="Arial" w:cs="Arial"/>
          <w:b/>
          <w:bCs/>
          <w:kern w:val="32"/>
          <w:sz w:val="20"/>
          <w:szCs w:val="24"/>
        </w:rPr>
        <w:t>8</w:t>
      </w:r>
      <w:r w:rsidRPr="002676DE">
        <w:rPr>
          <w:rFonts w:ascii="Arial" w:hAnsi="Arial" w:cs="Arial"/>
          <w:b/>
          <w:bCs/>
          <w:kern w:val="32"/>
          <w:sz w:val="20"/>
          <w:szCs w:val="24"/>
        </w:rPr>
        <w:t xml:space="preserve">. Representative TEM images of α-syn incubated with CSF. </w:t>
      </w:r>
      <w:r w:rsidRPr="002676DE">
        <w:rPr>
          <w:rFonts w:ascii="Arial" w:hAnsi="Arial" w:cs="Arial"/>
          <w:kern w:val="32"/>
          <w:sz w:val="20"/>
          <w:szCs w:val="24"/>
        </w:rPr>
        <w:t>Representative TEM images obtained by analyzing samples obtained by the co-incubation of α-syn 0.7 mg/mL at 37 °C with pooled human CSF (1:5 ratio with respect to total reaction volume). Samples were subjected to cycles of incubation (13 min) and shaking (double-orbital, 2 min) at 500 rpm.</w:t>
      </w:r>
    </w:p>
    <w:p w14:paraId="1745535C" w14:textId="77777777" w:rsidR="001B39D0" w:rsidRPr="002676DE" w:rsidRDefault="001B39D0" w:rsidP="001B39D0">
      <w:pPr>
        <w:rPr>
          <w:rFonts w:ascii="Arial" w:hAnsi="Arial" w:cs="Arial"/>
          <w:b/>
          <w:bCs/>
          <w:kern w:val="32"/>
          <w:sz w:val="20"/>
          <w:szCs w:val="24"/>
        </w:rPr>
      </w:pPr>
      <w:r w:rsidRPr="002676DE">
        <w:rPr>
          <w:rFonts w:ascii="Arial" w:hAnsi="Arial" w:cs="Arial"/>
          <w:b/>
          <w:bCs/>
          <w:kern w:val="32"/>
          <w:sz w:val="20"/>
          <w:szCs w:val="24"/>
        </w:rPr>
        <w:br w:type="page"/>
      </w:r>
      <w:r w:rsidRPr="002676DE">
        <w:rPr>
          <w:rFonts w:ascii="Arial" w:hAnsi="Arial" w:cs="Arial"/>
          <w:b/>
          <w:bCs/>
          <w:noProof/>
          <w:kern w:val="32"/>
          <w:sz w:val="20"/>
          <w:szCs w:val="24"/>
        </w:rPr>
        <w:lastRenderedPageBreak/>
        <w:drawing>
          <wp:inline distT="0" distB="0" distL="0" distR="0" wp14:anchorId="47954027" wp14:editId="43CAF6BA">
            <wp:extent cx="5040000" cy="4122828"/>
            <wp:effectExtent l="0" t="0" r="8255"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40000" cy="4122828"/>
                    </a:xfrm>
                    <a:prstGeom prst="rect">
                      <a:avLst/>
                    </a:prstGeom>
                    <a:noFill/>
                    <a:ln>
                      <a:noFill/>
                    </a:ln>
                  </pic:spPr>
                </pic:pic>
              </a:graphicData>
            </a:graphic>
          </wp:inline>
        </w:drawing>
      </w:r>
    </w:p>
    <w:p w14:paraId="599BA552" w14:textId="6E6902A2" w:rsidR="001B39D0" w:rsidRPr="002676DE" w:rsidRDefault="001B39D0" w:rsidP="001B39D0">
      <w:pPr>
        <w:keepNext/>
        <w:spacing w:before="240" w:after="60"/>
        <w:jc w:val="both"/>
        <w:outlineLvl w:val="1"/>
        <w:rPr>
          <w:rFonts w:ascii="Arial" w:hAnsi="Arial" w:cs="Arial"/>
          <w:i/>
          <w:iCs/>
          <w:kern w:val="32"/>
          <w:sz w:val="20"/>
          <w:szCs w:val="24"/>
        </w:rPr>
      </w:pPr>
      <w:r w:rsidRPr="002676DE">
        <w:rPr>
          <w:rFonts w:ascii="Arial" w:hAnsi="Arial" w:cs="Arial"/>
          <w:b/>
          <w:bCs/>
          <w:kern w:val="32"/>
          <w:sz w:val="20"/>
          <w:szCs w:val="24"/>
        </w:rPr>
        <w:t>Fig. S</w:t>
      </w:r>
      <w:r w:rsidR="00E906A1">
        <w:rPr>
          <w:rFonts w:ascii="Arial" w:hAnsi="Arial" w:cs="Arial"/>
          <w:b/>
          <w:bCs/>
          <w:kern w:val="32"/>
          <w:sz w:val="20"/>
          <w:szCs w:val="24"/>
        </w:rPr>
        <w:t>9</w:t>
      </w:r>
      <w:r w:rsidRPr="002676DE">
        <w:rPr>
          <w:rFonts w:ascii="Arial" w:hAnsi="Arial" w:cs="Arial"/>
          <w:b/>
          <w:bCs/>
          <w:kern w:val="32"/>
          <w:sz w:val="20"/>
          <w:szCs w:val="24"/>
        </w:rPr>
        <w:t xml:space="preserve">. NMR titrations of α-syn with HDL, LDL and TTR. A) Intensity decreases of the signals of two-dimensional (2D) </w:t>
      </w:r>
      <w:r w:rsidRPr="002676DE">
        <w:rPr>
          <w:rFonts w:ascii="Arial" w:hAnsi="Arial" w:cs="Arial"/>
          <w:b/>
          <w:bCs/>
          <w:kern w:val="32"/>
          <w:sz w:val="20"/>
          <w:szCs w:val="24"/>
          <w:vertAlign w:val="superscript"/>
        </w:rPr>
        <w:t>15</w:t>
      </w:r>
      <w:r w:rsidRPr="002676DE">
        <w:rPr>
          <w:rFonts w:ascii="Arial" w:hAnsi="Arial" w:cs="Arial"/>
          <w:b/>
          <w:bCs/>
          <w:kern w:val="32"/>
          <w:sz w:val="20"/>
          <w:szCs w:val="24"/>
        </w:rPr>
        <w:t>N–</w:t>
      </w:r>
      <w:r w:rsidRPr="002676DE">
        <w:rPr>
          <w:rFonts w:ascii="Arial" w:hAnsi="Arial" w:cs="Arial"/>
          <w:b/>
          <w:bCs/>
          <w:kern w:val="32"/>
          <w:sz w:val="20"/>
          <w:szCs w:val="24"/>
          <w:vertAlign w:val="superscript"/>
        </w:rPr>
        <w:t>1</w:t>
      </w:r>
      <w:r w:rsidRPr="002676DE">
        <w:rPr>
          <w:rFonts w:ascii="Arial" w:hAnsi="Arial" w:cs="Arial"/>
          <w:b/>
          <w:bCs/>
          <w:kern w:val="32"/>
          <w:sz w:val="20"/>
          <w:szCs w:val="24"/>
        </w:rPr>
        <w:t xml:space="preserve">H HSQC </w:t>
      </w:r>
      <w:r w:rsidRPr="002676DE">
        <w:rPr>
          <w:rFonts w:ascii="Arial" w:hAnsi="Arial" w:cs="Arial"/>
          <w:kern w:val="32"/>
          <w:sz w:val="20"/>
          <w:szCs w:val="24"/>
        </w:rPr>
        <w:t xml:space="preserve">experiments acquired at 950 MHz at T = 283 K on </w:t>
      </w:r>
      <w:r w:rsidRPr="002676DE">
        <w:rPr>
          <w:rFonts w:ascii="Arial" w:hAnsi="Arial" w:cs="Arial"/>
          <w:kern w:val="32"/>
          <w:sz w:val="20"/>
          <w:szCs w:val="24"/>
          <w:vertAlign w:val="superscript"/>
        </w:rPr>
        <w:t>15</w:t>
      </w:r>
      <w:r w:rsidRPr="002676DE">
        <w:rPr>
          <w:rFonts w:ascii="Arial" w:hAnsi="Arial" w:cs="Arial"/>
          <w:kern w:val="32"/>
          <w:sz w:val="20"/>
          <w:szCs w:val="24"/>
        </w:rPr>
        <w:t xml:space="preserve">N labelled α-syn (100 μM) in PBS after the addition of 0.57 mg/mL serum-derived HDL. The intensity ratios corresponding to overlapping peaks are highlighted in red. B) Intensity decreases of the signals of two-dimensional (2D) </w:t>
      </w:r>
      <w:r w:rsidRPr="002676DE">
        <w:rPr>
          <w:rFonts w:ascii="Arial" w:hAnsi="Arial" w:cs="Arial"/>
          <w:kern w:val="32"/>
          <w:sz w:val="20"/>
          <w:szCs w:val="24"/>
          <w:vertAlign w:val="superscript"/>
        </w:rPr>
        <w:t>15</w:t>
      </w:r>
      <w:r w:rsidRPr="002676DE">
        <w:rPr>
          <w:rFonts w:ascii="Arial" w:hAnsi="Arial" w:cs="Arial"/>
          <w:kern w:val="32"/>
          <w:sz w:val="20"/>
          <w:szCs w:val="24"/>
        </w:rPr>
        <w:t>N–</w:t>
      </w:r>
      <w:r w:rsidRPr="002676DE">
        <w:rPr>
          <w:rFonts w:ascii="Arial" w:hAnsi="Arial" w:cs="Arial"/>
          <w:kern w:val="32"/>
          <w:sz w:val="20"/>
          <w:szCs w:val="24"/>
          <w:vertAlign w:val="superscript"/>
        </w:rPr>
        <w:t>1</w:t>
      </w:r>
      <w:r w:rsidRPr="002676DE">
        <w:rPr>
          <w:rFonts w:ascii="Arial" w:hAnsi="Arial" w:cs="Arial"/>
          <w:kern w:val="32"/>
          <w:sz w:val="20"/>
          <w:szCs w:val="24"/>
        </w:rPr>
        <w:t xml:space="preserve">H HSQC experiments acquired at 950 MHz at T = 283 K on </w:t>
      </w:r>
      <w:r w:rsidRPr="002676DE">
        <w:rPr>
          <w:rFonts w:ascii="Arial" w:hAnsi="Arial" w:cs="Arial"/>
          <w:kern w:val="32"/>
          <w:sz w:val="20"/>
          <w:szCs w:val="24"/>
          <w:vertAlign w:val="superscript"/>
        </w:rPr>
        <w:t>15</w:t>
      </w:r>
      <w:r w:rsidRPr="002676DE">
        <w:rPr>
          <w:rFonts w:ascii="Arial" w:hAnsi="Arial" w:cs="Arial"/>
          <w:kern w:val="32"/>
          <w:sz w:val="20"/>
          <w:szCs w:val="24"/>
        </w:rPr>
        <w:t xml:space="preserve">N labelled α-syn (100 μM) in PBS after the addition of 1 mg/mL serum-derived LDL. C) Intensity decreases of the signals of two-dimensional (2D) </w:t>
      </w:r>
      <w:r w:rsidRPr="002676DE">
        <w:rPr>
          <w:rFonts w:ascii="Arial" w:hAnsi="Arial" w:cs="Arial"/>
          <w:kern w:val="32"/>
          <w:sz w:val="20"/>
          <w:szCs w:val="24"/>
          <w:vertAlign w:val="superscript"/>
        </w:rPr>
        <w:t>15</w:t>
      </w:r>
      <w:r w:rsidRPr="002676DE">
        <w:rPr>
          <w:rFonts w:ascii="Arial" w:hAnsi="Arial" w:cs="Arial"/>
          <w:kern w:val="32"/>
          <w:sz w:val="20"/>
          <w:szCs w:val="24"/>
        </w:rPr>
        <w:t>N–</w:t>
      </w:r>
      <w:r w:rsidRPr="002676DE">
        <w:rPr>
          <w:rFonts w:ascii="Arial" w:hAnsi="Arial" w:cs="Arial"/>
          <w:kern w:val="32"/>
          <w:sz w:val="20"/>
          <w:szCs w:val="24"/>
          <w:vertAlign w:val="superscript"/>
        </w:rPr>
        <w:t>1</w:t>
      </w:r>
      <w:r w:rsidRPr="002676DE">
        <w:rPr>
          <w:rFonts w:ascii="Arial" w:hAnsi="Arial" w:cs="Arial"/>
          <w:kern w:val="32"/>
          <w:sz w:val="20"/>
          <w:szCs w:val="24"/>
        </w:rPr>
        <w:t xml:space="preserve">H HSQC experiments acquired at 950 MHz at T = 283 K on </w:t>
      </w:r>
      <w:r w:rsidRPr="002676DE">
        <w:rPr>
          <w:rFonts w:ascii="Arial" w:hAnsi="Arial" w:cs="Arial"/>
          <w:kern w:val="32"/>
          <w:sz w:val="20"/>
          <w:szCs w:val="24"/>
          <w:vertAlign w:val="superscript"/>
        </w:rPr>
        <w:t>15</w:t>
      </w:r>
      <w:r w:rsidRPr="002676DE">
        <w:rPr>
          <w:rFonts w:ascii="Arial" w:hAnsi="Arial" w:cs="Arial"/>
          <w:kern w:val="32"/>
          <w:sz w:val="20"/>
          <w:szCs w:val="24"/>
        </w:rPr>
        <w:t>N labelled α-syn (100 μM) in PBS after the addition of 3 mg/mL TTR.</w:t>
      </w:r>
    </w:p>
    <w:p w14:paraId="43221DC5" w14:textId="77777777" w:rsidR="001B39D0" w:rsidRPr="002676DE" w:rsidRDefault="001B39D0" w:rsidP="001B39D0">
      <w:pPr>
        <w:rPr>
          <w:rFonts w:ascii="Arial" w:hAnsi="Arial" w:cs="Arial"/>
          <w:kern w:val="32"/>
          <w:sz w:val="20"/>
          <w:szCs w:val="24"/>
        </w:rPr>
      </w:pPr>
      <w:r w:rsidRPr="002676DE">
        <w:rPr>
          <w:rFonts w:ascii="Arial" w:hAnsi="Arial" w:cs="Arial"/>
          <w:b/>
          <w:bCs/>
          <w:color w:val="000000"/>
          <w:sz w:val="20"/>
        </w:rPr>
        <w:br w:type="page"/>
      </w:r>
    </w:p>
    <w:p w14:paraId="0EDCE663" w14:textId="77777777" w:rsidR="001B39D0" w:rsidRPr="002676DE" w:rsidRDefault="001B39D0" w:rsidP="001B39D0">
      <w:pPr>
        <w:pBdr>
          <w:top w:val="nil"/>
          <w:left w:val="nil"/>
          <w:bottom w:val="nil"/>
          <w:right w:val="nil"/>
          <w:between w:val="nil"/>
        </w:pBdr>
        <w:spacing w:after="200"/>
        <w:contextualSpacing/>
        <w:jc w:val="both"/>
        <w:rPr>
          <w:rFonts w:ascii="Arial" w:hAnsi="Arial" w:cs="Arial"/>
          <w:b/>
          <w:bCs/>
          <w:color w:val="000000"/>
          <w:sz w:val="20"/>
        </w:rPr>
      </w:pPr>
    </w:p>
    <w:p w14:paraId="4B7F12F2" w14:textId="77777777" w:rsidR="001B39D0" w:rsidRPr="002676DE" w:rsidRDefault="001B39D0" w:rsidP="001B39D0">
      <w:pPr>
        <w:keepNext/>
        <w:spacing w:before="240" w:after="60"/>
        <w:outlineLvl w:val="0"/>
        <w:rPr>
          <w:rFonts w:ascii="Arial" w:hAnsi="Arial" w:cs="Arial"/>
          <w:b/>
          <w:bCs/>
          <w:color w:val="000000"/>
          <w:kern w:val="32"/>
          <w:szCs w:val="24"/>
          <w:lang w:val="en-GB"/>
        </w:rPr>
      </w:pPr>
      <w:r w:rsidRPr="002676DE">
        <w:rPr>
          <w:rFonts w:ascii="Arial" w:hAnsi="Arial" w:cs="Arial"/>
          <w:b/>
          <w:bCs/>
          <w:color w:val="000000"/>
          <w:kern w:val="32"/>
          <w:szCs w:val="24"/>
          <w:lang w:val="en-GB"/>
        </w:rPr>
        <w:t>Supplementary Tables</w:t>
      </w:r>
    </w:p>
    <w:p w14:paraId="6506A37B" w14:textId="77777777" w:rsidR="001B39D0" w:rsidRPr="002676DE" w:rsidRDefault="001B39D0" w:rsidP="001B39D0">
      <w:pPr>
        <w:keepNext/>
        <w:spacing w:before="240" w:after="60"/>
        <w:outlineLvl w:val="1"/>
        <w:rPr>
          <w:rFonts w:ascii="Arial" w:hAnsi="Arial" w:cs="Arial"/>
          <w:b/>
          <w:bCs/>
          <w:color w:val="000000"/>
          <w:sz w:val="20"/>
          <w:szCs w:val="28"/>
          <w:lang w:val="en-GB"/>
        </w:rPr>
      </w:pPr>
      <w:r w:rsidRPr="002676DE">
        <w:rPr>
          <w:rFonts w:ascii="Arial" w:hAnsi="Arial" w:cs="Arial"/>
          <w:b/>
          <w:bCs/>
          <w:color w:val="000000"/>
          <w:sz w:val="20"/>
          <w:szCs w:val="28"/>
          <w:lang w:val="en-GB"/>
        </w:rPr>
        <w:t>Table S1. Concentration factors and final volumes of the CSF fractions.</w:t>
      </w:r>
    </w:p>
    <w:tbl>
      <w:tblPr>
        <w:tblW w:w="0" w:type="auto"/>
        <w:jc w:val="center"/>
        <w:tblCellMar>
          <w:left w:w="0" w:type="dxa"/>
          <w:right w:w="0" w:type="dxa"/>
        </w:tblCellMar>
        <w:tblLook w:val="0600" w:firstRow="0" w:lastRow="0" w:firstColumn="0" w:lastColumn="0" w:noHBand="1" w:noVBand="1"/>
      </w:tblPr>
      <w:tblGrid>
        <w:gridCol w:w="1600"/>
        <w:gridCol w:w="1344"/>
        <w:gridCol w:w="1382"/>
        <w:gridCol w:w="2177"/>
        <w:gridCol w:w="2117"/>
      </w:tblGrid>
      <w:tr w:rsidR="001B39D0" w:rsidRPr="002676DE" w14:paraId="6BB2DB2D" w14:textId="77777777" w:rsidTr="00794846">
        <w:trPr>
          <w:trHeight w:hRule="exact" w:val="578"/>
          <w:jc w:val="center"/>
        </w:trPr>
        <w:tc>
          <w:tcPr>
            <w:tcW w:w="1767"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vAlign w:val="center"/>
            <w:hideMark/>
          </w:tcPr>
          <w:p w14:paraId="4ABA9028"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b/>
                <w:bCs/>
                <w:color w:val="000000"/>
                <w:sz w:val="20"/>
                <w:lang w:val="en-GB"/>
              </w:rPr>
            </w:pPr>
            <w:r w:rsidRPr="002676DE">
              <w:rPr>
                <w:rFonts w:ascii="Arial" w:hAnsi="Arial" w:cs="Arial"/>
                <w:b/>
                <w:bCs/>
                <w:color w:val="000000"/>
                <w:sz w:val="20"/>
                <w:lang w:val="en-GB"/>
              </w:rPr>
              <w:t>Sample number</w:t>
            </w:r>
          </w:p>
        </w:tc>
        <w:tc>
          <w:tcPr>
            <w:tcW w:w="1497"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vAlign w:val="center"/>
          </w:tcPr>
          <w:p w14:paraId="72392CA3"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b/>
                <w:bCs/>
                <w:color w:val="000000"/>
                <w:sz w:val="20"/>
                <w:lang w:val="en-GB"/>
              </w:rPr>
            </w:pPr>
            <w:r w:rsidRPr="002676DE">
              <w:rPr>
                <w:rFonts w:ascii="Arial" w:hAnsi="Arial" w:cs="Arial"/>
                <w:b/>
                <w:bCs/>
                <w:color w:val="000000"/>
                <w:sz w:val="20"/>
                <w:lang w:val="en-GB"/>
              </w:rPr>
              <w:t>MW range</w:t>
            </w:r>
          </w:p>
        </w:tc>
        <w:tc>
          <w:tcPr>
            <w:tcW w:w="1508"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vAlign w:val="center"/>
            <w:hideMark/>
          </w:tcPr>
          <w:p w14:paraId="16726ED1"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b/>
                <w:bCs/>
                <w:color w:val="000000"/>
                <w:sz w:val="20"/>
                <w:lang w:val="en-GB"/>
              </w:rPr>
            </w:pPr>
            <w:r w:rsidRPr="002676DE">
              <w:rPr>
                <w:rFonts w:ascii="Arial" w:hAnsi="Arial" w:cs="Arial"/>
                <w:b/>
                <w:bCs/>
                <w:color w:val="000000"/>
                <w:sz w:val="20"/>
                <w:lang w:val="en-GB"/>
              </w:rPr>
              <w:t>Volume (mL)</w:t>
            </w:r>
          </w:p>
        </w:tc>
        <w:tc>
          <w:tcPr>
            <w:tcW w:w="2342" w:type="dxa"/>
            <w:tcBorders>
              <w:top w:val="single" w:sz="8" w:space="0" w:color="000000"/>
              <w:left w:val="single" w:sz="8" w:space="0" w:color="000000"/>
              <w:bottom w:val="single" w:sz="8" w:space="0" w:color="000000"/>
              <w:right w:val="single" w:sz="8" w:space="0" w:color="000000"/>
            </w:tcBorders>
            <w:shd w:val="clear" w:color="auto" w:fill="E9EBF5"/>
            <w:tcMar>
              <w:top w:w="12" w:type="dxa"/>
              <w:left w:w="12" w:type="dxa"/>
              <w:bottom w:w="0" w:type="dxa"/>
              <w:right w:w="12" w:type="dxa"/>
            </w:tcMar>
            <w:vAlign w:val="center"/>
            <w:hideMark/>
          </w:tcPr>
          <w:p w14:paraId="3F11F64F"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b/>
                <w:bCs/>
                <w:color w:val="000000"/>
                <w:sz w:val="20"/>
                <w:lang w:val="en-GB"/>
              </w:rPr>
            </w:pPr>
            <w:r w:rsidRPr="002676DE">
              <w:rPr>
                <w:rFonts w:ascii="Arial" w:hAnsi="Arial" w:cs="Arial"/>
                <w:b/>
                <w:bCs/>
                <w:color w:val="000000"/>
                <w:sz w:val="20"/>
                <w:lang w:val="en-GB"/>
              </w:rPr>
              <w:t>Native concentration factor</w:t>
            </w:r>
          </w:p>
        </w:tc>
        <w:tc>
          <w:tcPr>
            <w:tcW w:w="2270" w:type="dxa"/>
            <w:tcBorders>
              <w:top w:val="single" w:sz="8" w:space="0" w:color="000000"/>
              <w:left w:val="single" w:sz="8" w:space="0" w:color="000000"/>
              <w:bottom w:val="single" w:sz="8" w:space="0" w:color="000000"/>
              <w:right w:val="single" w:sz="8" w:space="0" w:color="000000"/>
            </w:tcBorders>
            <w:shd w:val="clear" w:color="auto" w:fill="E9EBF5"/>
            <w:vAlign w:val="center"/>
          </w:tcPr>
          <w:p w14:paraId="2F22F8E3" w14:textId="77777777" w:rsidR="001B39D0" w:rsidRPr="002676DE" w:rsidDel="00397182" w:rsidRDefault="001B39D0" w:rsidP="001B39D0">
            <w:pPr>
              <w:pBdr>
                <w:top w:val="nil"/>
                <w:left w:val="nil"/>
                <w:bottom w:val="nil"/>
                <w:right w:val="nil"/>
                <w:between w:val="nil"/>
              </w:pBdr>
              <w:spacing w:after="200"/>
              <w:contextualSpacing/>
              <w:jc w:val="center"/>
              <w:rPr>
                <w:rFonts w:ascii="Arial" w:hAnsi="Arial" w:cs="Arial"/>
                <w:b/>
                <w:bCs/>
                <w:color w:val="000000"/>
                <w:sz w:val="20"/>
                <w:lang w:val="en-GB"/>
              </w:rPr>
            </w:pPr>
            <w:r w:rsidRPr="002676DE">
              <w:rPr>
                <w:rFonts w:ascii="Arial" w:hAnsi="Arial" w:cs="Arial"/>
                <w:b/>
                <w:bCs/>
                <w:color w:val="000000"/>
                <w:sz w:val="20"/>
                <w:lang w:val="en-GB"/>
              </w:rPr>
              <w:t>Final concentration factor</w:t>
            </w:r>
          </w:p>
        </w:tc>
      </w:tr>
      <w:tr w:rsidR="001B39D0" w:rsidRPr="002676DE" w14:paraId="2B9ABDF3" w14:textId="77777777" w:rsidTr="00794846">
        <w:trPr>
          <w:trHeight w:hRule="exact" w:val="284"/>
          <w:jc w:val="center"/>
        </w:trPr>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478F4ED3"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1</w:t>
            </w:r>
          </w:p>
        </w:tc>
        <w:tc>
          <w:tcPr>
            <w:tcW w:w="1497"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tcPr>
          <w:p w14:paraId="5FCFC9B2"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whole CSF</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417991B9"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0.5</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6FD83ACC"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1</w:t>
            </w:r>
          </w:p>
        </w:tc>
        <w:tc>
          <w:tcPr>
            <w:tcW w:w="227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5554A715"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1</w:t>
            </w:r>
          </w:p>
        </w:tc>
      </w:tr>
      <w:tr w:rsidR="001B39D0" w:rsidRPr="002676DE" w14:paraId="49DD3612" w14:textId="77777777" w:rsidTr="00794846">
        <w:trPr>
          <w:trHeight w:hRule="exact" w:val="284"/>
          <w:jc w:val="center"/>
        </w:trPr>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6A75EDA3"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2</w:t>
            </w:r>
          </w:p>
        </w:tc>
        <w:tc>
          <w:tcPr>
            <w:tcW w:w="1497"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tcPr>
          <w:p w14:paraId="492A88AA"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&gt;100 kDa</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7FC9C4A9"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0.5</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7A8A7E9A"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8</w:t>
            </w:r>
          </w:p>
        </w:tc>
        <w:tc>
          <w:tcPr>
            <w:tcW w:w="227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2E27D9D9"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5</w:t>
            </w:r>
          </w:p>
        </w:tc>
      </w:tr>
      <w:tr w:rsidR="001B39D0" w:rsidRPr="002676DE" w14:paraId="675CD8FC" w14:textId="77777777" w:rsidTr="00794846">
        <w:trPr>
          <w:trHeight w:hRule="exact" w:val="284"/>
          <w:jc w:val="center"/>
        </w:trPr>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46701B05"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3</w:t>
            </w:r>
          </w:p>
        </w:tc>
        <w:tc>
          <w:tcPr>
            <w:tcW w:w="1497"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tcPr>
          <w:p w14:paraId="55C9576C"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50-100 kDa</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282BA473"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0.5</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2D509DEE"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7</w:t>
            </w:r>
          </w:p>
        </w:tc>
        <w:tc>
          <w:tcPr>
            <w:tcW w:w="227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08C77840"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5</w:t>
            </w:r>
          </w:p>
        </w:tc>
      </w:tr>
      <w:tr w:rsidR="001B39D0" w:rsidRPr="002676DE" w14:paraId="41810888" w14:textId="77777777" w:rsidTr="00794846">
        <w:trPr>
          <w:trHeight w:hRule="exact" w:val="284"/>
          <w:jc w:val="center"/>
        </w:trPr>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6FFD1C0D"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4</w:t>
            </w:r>
          </w:p>
        </w:tc>
        <w:tc>
          <w:tcPr>
            <w:tcW w:w="1497"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tcPr>
          <w:p w14:paraId="5C2A1D20"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10-50 kDa</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56AC3EF2"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0.5</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28F7C074"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6</w:t>
            </w:r>
          </w:p>
        </w:tc>
        <w:tc>
          <w:tcPr>
            <w:tcW w:w="227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439EE341"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5</w:t>
            </w:r>
          </w:p>
        </w:tc>
      </w:tr>
      <w:tr w:rsidR="001B39D0" w:rsidRPr="002676DE" w14:paraId="6408655F" w14:textId="77777777" w:rsidTr="00794846">
        <w:trPr>
          <w:trHeight w:hRule="exact" w:val="284"/>
          <w:jc w:val="center"/>
        </w:trPr>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0E313408"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5</w:t>
            </w:r>
          </w:p>
        </w:tc>
        <w:tc>
          <w:tcPr>
            <w:tcW w:w="1497"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tcPr>
          <w:p w14:paraId="10A5DC98"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3-10 kDa</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460C63D9"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0.5</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645F5140"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5</w:t>
            </w:r>
          </w:p>
        </w:tc>
        <w:tc>
          <w:tcPr>
            <w:tcW w:w="227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37BCE0CA"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5</w:t>
            </w:r>
          </w:p>
        </w:tc>
      </w:tr>
      <w:tr w:rsidR="001B39D0" w:rsidRPr="002676DE" w14:paraId="7DABCF85" w14:textId="77777777" w:rsidTr="00794846">
        <w:trPr>
          <w:trHeight w:hRule="exact" w:val="284"/>
          <w:jc w:val="center"/>
        </w:trPr>
        <w:tc>
          <w:tcPr>
            <w:tcW w:w="1767"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3125CBFF"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6</w:t>
            </w:r>
          </w:p>
        </w:tc>
        <w:tc>
          <w:tcPr>
            <w:tcW w:w="1497"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tcPr>
          <w:p w14:paraId="120FD15A"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&lt;3 kDa</w:t>
            </w:r>
          </w:p>
        </w:tc>
        <w:tc>
          <w:tcPr>
            <w:tcW w:w="1508"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03DF29C3"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2</w:t>
            </w:r>
          </w:p>
        </w:tc>
        <w:tc>
          <w:tcPr>
            <w:tcW w:w="2342" w:type="dxa"/>
            <w:tcBorders>
              <w:top w:val="single" w:sz="8" w:space="0" w:color="000000"/>
              <w:left w:val="single" w:sz="8" w:space="0" w:color="000000"/>
              <w:bottom w:val="single" w:sz="8" w:space="0" w:color="000000"/>
              <w:right w:val="single" w:sz="8" w:space="0" w:color="000000"/>
            </w:tcBorders>
            <w:shd w:val="clear" w:color="auto" w:fill="FFFFFF"/>
            <w:tcMar>
              <w:top w:w="12" w:type="dxa"/>
              <w:left w:w="12" w:type="dxa"/>
              <w:bottom w:w="0" w:type="dxa"/>
              <w:right w:w="12" w:type="dxa"/>
            </w:tcMar>
            <w:vAlign w:val="center"/>
            <w:hideMark/>
          </w:tcPr>
          <w:p w14:paraId="2351DCEE"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1</w:t>
            </w:r>
          </w:p>
        </w:tc>
        <w:tc>
          <w:tcPr>
            <w:tcW w:w="2270" w:type="dxa"/>
            <w:tcBorders>
              <w:top w:val="single" w:sz="8" w:space="0" w:color="000000"/>
              <w:left w:val="single" w:sz="8" w:space="0" w:color="000000"/>
              <w:bottom w:val="single" w:sz="8" w:space="0" w:color="000000"/>
              <w:right w:val="single" w:sz="8" w:space="0" w:color="000000"/>
            </w:tcBorders>
            <w:shd w:val="clear" w:color="auto" w:fill="FFFFFF"/>
            <w:vAlign w:val="center"/>
          </w:tcPr>
          <w:p w14:paraId="16956E0E" w14:textId="77777777" w:rsidR="001B39D0" w:rsidRPr="002676DE" w:rsidRDefault="001B39D0" w:rsidP="001B39D0">
            <w:pPr>
              <w:pBdr>
                <w:top w:val="nil"/>
                <w:left w:val="nil"/>
                <w:bottom w:val="nil"/>
                <w:right w:val="nil"/>
                <w:between w:val="nil"/>
              </w:pBdr>
              <w:spacing w:after="200"/>
              <w:contextualSpacing/>
              <w:jc w:val="center"/>
              <w:rPr>
                <w:rFonts w:ascii="Arial" w:hAnsi="Arial" w:cs="Arial"/>
                <w:color w:val="000000"/>
                <w:sz w:val="20"/>
                <w:lang w:val="en-GB"/>
              </w:rPr>
            </w:pPr>
            <w:r w:rsidRPr="002676DE">
              <w:rPr>
                <w:rFonts w:ascii="Arial" w:hAnsi="Arial" w:cs="Arial"/>
                <w:color w:val="000000"/>
                <w:sz w:val="20"/>
                <w:lang w:val="en-GB"/>
              </w:rPr>
              <w:t>1</w:t>
            </w:r>
          </w:p>
        </w:tc>
      </w:tr>
    </w:tbl>
    <w:p w14:paraId="4345299C" w14:textId="77777777" w:rsidR="001B39D0" w:rsidRPr="002676DE" w:rsidRDefault="001B39D0" w:rsidP="001B39D0">
      <w:pPr>
        <w:pBdr>
          <w:top w:val="nil"/>
          <w:left w:val="nil"/>
          <w:bottom w:val="nil"/>
          <w:right w:val="nil"/>
          <w:between w:val="nil"/>
        </w:pBdr>
        <w:spacing w:after="200"/>
        <w:contextualSpacing/>
        <w:jc w:val="both"/>
        <w:rPr>
          <w:rFonts w:ascii="Arial" w:hAnsi="Arial" w:cs="Arial"/>
          <w:color w:val="000000"/>
          <w:sz w:val="20"/>
        </w:rPr>
      </w:pPr>
    </w:p>
    <w:p w14:paraId="4F5A2F18" w14:textId="77777777" w:rsidR="001B39D0" w:rsidRPr="002676DE" w:rsidRDefault="001B39D0" w:rsidP="001B39D0">
      <w:pPr>
        <w:rPr>
          <w:rFonts w:ascii="Arial" w:hAnsi="Arial" w:cs="Arial"/>
          <w:b/>
          <w:bCs/>
          <w:color w:val="000000"/>
          <w:sz w:val="20"/>
        </w:rPr>
      </w:pPr>
      <w:r w:rsidRPr="002676DE">
        <w:rPr>
          <w:rFonts w:ascii="Arial" w:hAnsi="Arial" w:cs="Arial"/>
          <w:b/>
          <w:bCs/>
          <w:color w:val="000000"/>
          <w:sz w:val="20"/>
        </w:rPr>
        <w:br w:type="page"/>
      </w:r>
    </w:p>
    <w:p w14:paraId="51CD9B5C" w14:textId="224C6B9C" w:rsidR="001B39D0" w:rsidRPr="002676DE" w:rsidRDefault="001B39D0" w:rsidP="001B39D0">
      <w:pPr>
        <w:keepNext/>
        <w:spacing w:before="240" w:after="60"/>
        <w:jc w:val="both"/>
        <w:outlineLvl w:val="1"/>
        <w:rPr>
          <w:rFonts w:ascii="Arial" w:hAnsi="Arial" w:cs="Arial"/>
          <w:bCs/>
          <w:color w:val="000000"/>
          <w:sz w:val="20"/>
          <w:szCs w:val="28"/>
        </w:rPr>
      </w:pPr>
      <w:r w:rsidRPr="002676DE">
        <w:rPr>
          <w:rFonts w:ascii="Arial" w:hAnsi="Arial" w:cs="Arial"/>
          <w:b/>
          <w:bCs/>
          <w:color w:val="000000"/>
          <w:sz w:val="20"/>
        </w:rPr>
        <w:lastRenderedPageBreak/>
        <w:t xml:space="preserve">Table </w:t>
      </w:r>
      <w:r w:rsidRPr="002676DE">
        <w:rPr>
          <w:rFonts w:ascii="Arial" w:hAnsi="Arial" w:cs="Arial"/>
          <w:b/>
          <w:bCs/>
          <w:color w:val="000000"/>
          <w:sz w:val="20"/>
          <w:szCs w:val="28"/>
        </w:rPr>
        <w:t>S2</w:t>
      </w:r>
      <w:r w:rsidRPr="002676DE">
        <w:rPr>
          <w:rFonts w:ascii="Arial" w:hAnsi="Arial" w:cs="Arial"/>
          <w:b/>
          <w:bCs/>
          <w:color w:val="000000"/>
          <w:sz w:val="20"/>
        </w:rPr>
        <w:t xml:space="preserve">. Measured levels of the most abundant macromolecular CSF constituents by </w:t>
      </w:r>
      <w:proofErr w:type="spellStart"/>
      <w:r w:rsidRPr="002676DE">
        <w:rPr>
          <w:rFonts w:ascii="Arial" w:hAnsi="Arial" w:cs="Arial"/>
          <w:b/>
          <w:bCs/>
          <w:color w:val="000000"/>
          <w:sz w:val="20"/>
        </w:rPr>
        <w:t>nLC-nESI</w:t>
      </w:r>
      <w:proofErr w:type="spellEnd"/>
      <w:r w:rsidRPr="002676DE">
        <w:rPr>
          <w:rFonts w:ascii="Arial" w:hAnsi="Arial" w:cs="Arial"/>
          <w:b/>
          <w:bCs/>
          <w:color w:val="000000"/>
          <w:sz w:val="20"/>
        </w:rPr>
        <w:t xml:space="preserve"> HRMS/MS. </w:t>
      </w:r>
      <w:r w:rsidRPr="002676DE">
        <w:rPr>
          <w:rFonts w:ascii="Arial" w:hAnsi="Arial" w:cs="Arial"/>
          <w:bCs/>
          <w:color w:val="000000"/>
          <w:sz w:val="20"/>
        </w:rPr>
        <w:t xml:space="preserve">Albumin was the most abundant protein in whole CSF at its native concentration and in all concentrated fractions, although its level was </w:t>
      </w:r>
      <w:proofErr w:type="gramStart"/>
      <w:r w:rsidRPr="002676DE">
        <w:rPr>
          <w:rFonts w:ascii="Arial" w:hAnsi="Arial" w:cs="Arial"/>
          <w:bCs/>
          <w:color w:val="000000"/>
          <w:sz w:val="20"/>
        </w:rPr>
        <w:t>similar to</w:t>
      </w:r>
      <w:proofErr w:type="gramEnd"/>
      <w:r w:rsidRPr="002676DE">
        <w:rPr>
          <w:rFonts w:ascii="Arial" w:hAnsi="Arial" w:cs="Arial"/>
          <w:bCs/>
          <w:color w:val="000000"/>
          <w:sz w:val="20"/>
        </w:rPr>
        <w:t xml:space="preserve"> the one of apolipoproteins (</w:t>
      </w:r>
      <w:proofErr w:type="spellStart"/>
      <w:r w:rsidRPr="002676DE">
        <w:rPr>
          <w:rFonts w:ascii="Arial" w:hAnsi="Arial" w:cs="Arial"/>
          <w:bCs/>
          <w:color w:val="000000"/>
          <w:sz w:val="20"/>
        </w:rPr>
        <w:t>apolip</w:t>
      </w:r>
      <w:proofErr w:type="spellEnd"/>
      <w:r w:rsidRPr="002676DE">
        <w:rPr>
          <w:rFonts w:ascii="Arial" w:hAnsi="Arial" w:cs="Arial"/>
          <w:bCs/>
          <w:color w:val="000000"/>
          <w:sz w:val="20"/>
        </w:rPr>
        <w:t xml:space="preserve">.) in the &gt; 100 </w:t>
      </w:r>
      <w:proofErr w:type="spellStart"/>
      <w:r w:rsidRPr="002676DE">
        <w:rPr>
          <w:rFonts w:ascii="Arial" w:hAnsi="Arial" w:cs="Arial"/>
          <w:bCs/>
          <w:color w:val="000000"/>
          <w:sz w:val="20"/>
        </w:rPr>
        <w:t>kDA</w:t>
      </w:r>
      <w:proofErr w:type="spellEnd"/>
      <w:r w:rsidRPr="002676DE">
        <w:rPr>
          <w:rFonts w:ascii="Arial" w:hAnsi="Arial" w:cs="Arial"/>
          <w:bCs/>
          <w:color w:val="000000"/>
          <w:sz w:val="20"/>
        </w:rPr>
        <w:t xml:space="preserve"> fraction. TTR was abundant in the 100-50 kDa fraction. Apolipoproteins were mostly present in the &gt;100 kDa fraction but relevant quantities were also detected in the 100-50 kDa and 50-10 kDa fractions while PG</w:t>
      </w:r>
      <w:r w:rsidR="00680EA1">
        <w:rPr>
          <w:rFonts w:ascii="Arial" w:hAnsi="Arial" w:cs="Arial"/>
          <w:bCs/>
          <w:color w:val="000000"/>
          <w:sz w:val="20"/>
        </w:rPr>
        <w:t>DS</w:t>
      </w:r>
      <w:r w:rsidRPr="002676DE">
        <w:rPr>
          <w:rFonts w:ascii="Arial" w:hAnsi="Arial" w:cs="Arial"/>
          <w:bCs/>
          <w:color w:val="000000"/>
          <w:sz w:val="20"/>
        </w:rPr>
        <w:t xml:space="preserve"> was mostly present in the 50-10 kDa fraction. Table cells are colored according to the relative concentration (</w:t>
      </w:r>
      <w:proofErr w:type="spellStart"/>
      <w:r w:rsidRPr="002676DE">
        <w:rPr>
          <w:rFonts w:ascii="Arial" w:hAnsi="Arial" w:cs="Arial"/>
          <w:bCs/>
          <w:color w:val="000000"/>
          <w:sz w:val="20"/>
        </w:rPr>
        <w:t>emPAI</w:t>
      </w:r>
      <w:proofErr w:type="spellEnd"/>
      <w:r w:rsidRPr="002676DE">
        <w:rPr>
          <w:rFonts w:ascii="Arial" w:hAnsi="Arial" w:cs="Arial"/>
          <w:bCs/>
          <w:color w:val="000000"/>
          <w:sz w:val="20"/>
        </w:rPr>
        <w:t xml:space="preserve"> x MW, proportional to the protein concentration in mg/mL) of each analyte in each concentrated CSF fraction, from blue (most abundant), to white (low levels or not detected, n.d.), the highest value of each analyte is highlighted in bold. The overall dilution/concentration factors (with respect to whole CSF) of the samples depicted are summarized in Table 3 in the Materials and Methods section.</w:t>
      </w:r>
    </w:p>
    <w:p w14:paraId="57CE0AFC" w14:textId="77777777" w:rsidR="001B39D0" w:rsidRPr="002676DE" w:rsidRDefault="001B39D0" w:rsidP="001B39D0">
      <w:pPr>
        <w:pBdr>
          <w:top w:val="nil"/>
          <w:left w:val="nil"/>
          <w:bottom w:val="nil"/>
          <w:right w:val="nil"/>
          <w:between w:val="nil"/>
        </w:pBdr>
        <w:spacing w:after="200"/>
        <w:contextualSpacing/>
        <w:jc w:val="both"/>
        <w:rPr>
          <w:rFonts w:ascii="Arial" w:hAnsi="Arial" w:cs="Arial"/>
          <w:bCs/>
          <w:color w:val="000000"/>
          <w:sz w:val="20"/>
        </w:rPr>
      </w:pPr>
    </w:p>
    <w:tbl>
      <w:tblPr>
        <w:tblW w:w="0" w:type="auto"/>
        <w:tblInd w:w="70" w:type="dxa"/>
        <w:tblCellMar>
          <w:left w:w="70" w:type="dxa"/>
          <w:right w:w="70" w:type="dxa"/>
        </w:tblCellMar>
        <w:tblLook w:val="04A0" w:firstRow="1" w:lastRow="0" w:firstColumn="1" w:lastColumn="0" w:noHBand="0" w:noVBand="1"/>
      </w:tblPr>
      <w:tblGrid>
        <w:gridCol w:w="1892"/>
        <w:gridCol w:w="1108"/>
        <w:gridCol w:w="1108"/>
        <w:gridCol w:w="1264"/>
        <w:gridCol w:w="1186"/>
        <w:gridCol w:w="1108"/>
        <w:gridCol w:w="616"/>
      </w:tblGrid>
      <w:tr w:rsidR="001B39D0" w:rsidRPr="002676DE" w14:paraId="2903E1FF" w14:textId="77777777" w:rsidTr="00794846">
        <w:trPr>
          <w:trHeight w:val="300"/>
        </w:trPr>
        <w:tc>
          <w:tcPr>
            <w:tcW w:w="0" w:type="auto"/>
            <w:tcBorders>
              <w:top w:val="single" w:sz="4" w:space="0" w:color="000000"/>
              <w:left w:val="nil"/>
              <w:bottom w:val="single" w:sz="8" w:space="0" w:color="000000"/>
              <w:right w:val="double" w:sz="6" w:space="0" w:color="000000"/>
            </w:tcBorders>
            <w:shd w:val="clear" w:color="auto" w:fill="auto"/>
            <w:noWrap/>
            <w:vAlign w:val="center"/>
            <w:hideMark/>
          </w:tcPr>
          <w:p w14:paraId="16885B56" w14:textId="77777777" w:rsidR="001B39D0" w:rsidRPr="002676DE" w:rsidRDefault="001B39D0" w:rsidP="001B39D0">
            <w:pPr>
              <w:pBdr>
                <w:top w:val="nil"/>
                <w:left w:val="nil"/>
                <w:bottom w:val="nil"/>
                <w:right w:val="nil"/>
                <w:between w:val="nil"/>
              </w:pBdr>
              <w:spacing w:after="200"/>
              <w:contextualSpacing/>
              <w:rPr>
                <w:rFonts w:ascii="Arial" w:hAnsi="Arial" w:cs="Arial"/>
                <w:b/>
                <w:bCs/>
                <w:color w:val="000000"/>
                <w:sz w:val="16"/>
                <w:szCs w:val="16"/>
                <w:lang w:val="it-IT"/>
              </w:rPr>
            </w:pPr>
            <w:r w:rsidRPr="002676DE">
              <w:rPr>
                <w:rFonts w:ascii="Arial" w:hAnsi="Arial" w:cs="Arial"/>
                <w:b/>
                <w:bCs/>
                <w:color w:val="000000"/>
                <w:sz w:val="16"/>
                <w:szCs w:val="16"/>
                <w:lang w:val="it-IT"/>
              </w:rPr>
              <w:t>Sample</w:t>
            </w:r>
          </w:p>
        </w:tc>
        <w:tc>
          <w:tcPr>
            <w:tcW w:w="0" w:type="auto"/>
            <w:tcBorders>
              <w:top w:val="single" w:sz="4" w:space="0" w:color="000000"/>
              <w:left w:val="double" w:sz="6" w:space="0" w:color="000000"/>
              <w:bottom w:val="single" w:sz="8" w:space="0" w:color="000000"/>
              <w:right w:val="double" w:sz="6" w:space="0" w:color="000000"/>
            </w:tcBorders>
            <w:shd w:val="clear" w:color="auto" w:fill="auto"/>
            <w:noWrap/>
            <w:vAlign w:val="center"/>
            <w:hideMark/>
          </w:tcPr>
          <w:p w14:paraId="0824BA67" w14:textId="77777777" w:rsidR="001B39D0" w:rsidRPr="002676DE" w:rsidRDefault="001B39D0" w:rsidP="001B39D0">
            <w:pPr>
              <w:pBdr>
                <w:top w:val="nil"/>
                <w:left w:val="nil"/>
                <w:bottom w:val="nil"/>
                <w:right w:val="nil"/>
                <w:between w:val="nil"/>
              </w:pBdr>
              <w:spacing w:after="200"/>
              <w:contextualSpacing/>
              <w:rPr>
                <w:rFonts w:ascii="Arial" w:hAnsi="Arial" w:cs="Arial"/>
                <w:b/>
                <w:bCs/>
                <w:color w:val="000000"/>
                <w:sz w:val="16"/>
                <w:szCs w:val="16"/>
                <w:lang w:val="it-IT"/>
              </w:rPr>
            </w:pPr>
            <w:proofErr w:type="spellStart"/>
            <w:r w:rsidRPr="002676DE">
              <w:rPr>
                <w:rFonts w:ascii="Arial" w:hAnsi="Arial" w:cs="Arial"/>
                <w:b/>
                <w:bCs/>
                <w:color w:val="000000"/>
                <w:sz w:val="16"/>
                <w:szCs w:val="16"/>
                <w:lang w:val="it-IT"/>
              </w:rPr>
              <w:t>whole</w:t>
            </w:r>
            <w:proofErr w:type="spellEnd"/>
            <w:r w:rsidRPr="002676DE">
              <w:rPr>
                <w:rFonts w:ascii="Arial" w:hAnsi="Arial" w:cs="Arial"/>
                <w:b/>
                <w:bCs/>
                <w:color w:val="000000"/>
                <w:sz w:val="16"/>
                <w:szCs w:val="16"/>
                <w:lang w:val="it-IT"/>
              </w:rPr>
              <w:t xml:space="preserve"> CSF</w:t>
            </w:r>
          </w:p>
        </w:tc>
        <w:tc>
          <w:tcPr>
            <w:tcW w:w="0" w:type="auto"/>
            <w:tcBorders>
              <w:top w:val="single" w:sz="4" w:space="0" w:color="000000"/>
              <w:left w:val="double" w:sz="6" w:space="0" w:color="000000"/>
              <w:bottom w:val="single" w:sz="8" w:space="0" w:color="000000"/>
              <w:right w:val="nil"/>
            </w:tcBorders>
            <w:shd w:val="clear" w:color="auto" w:fill="auto"/>
            <w:noWrap/>
            <w:vAlign w:val="center"/>
            <w:hideMark/>
          </w:tcPr>
          <w:p w14:paraId="040FB1D3" w14:textId="77777777" w:rsidR="001B39D0" w:rsidRPr="002676DE" w:rsidRDefault="001B39D0" w:rsidP="001B39D0">
            <w:pPr>
              <w:pBdr>
                <w:top w:val="nil"/>
                <w:left w:val="nil"/>
                <w:bottom w:val="nil"/>
                <w:right w:val="nil"/>
                <w:between w:val="nil"/>
              </w:pBdr>
              <w:spacing w:after="200"/>
              <w:contextualSpacing/>
              <w:rPr>
                <w:rFonts w:ascii="Arial" w:hAnsi="Arial" w:cs="Arial"/>
                <w:b/>
                <w:bCs/>
                <w:color w:val="000000"/>
                <w:sz w:val="16"/>
                <w:szCs w:val="16"/>
                <w:lang w:val="it-IT"/>
              </w:rPr>
            </w:pPr>
            <w:r w:rsidRPr="002676DE">
              <w:rPr>
                <w:rFonts w:ascii="Arial" w:hAnsi="Arial" w:cs="Arial"/>
                <w:b/>
                <w:bCs/>
                <w:color w:val="000000"/>
                <w:sz w:val="16"/>
                <w:szCs w:val="16"/>
                <w:lang w:val="it-IT"/>
              </w:rPr>
              <w:t>&gt;100 kDa</w:t>
            </w:r>
          </w:p>
        </w:tc>
        <w:tc>
          <w:tcPr>
            <w:tcW w:w="0" w:type="auto"/>
            <w:tcBorders>
              <w:top w:val="single" w:sz="4" w:space="0" w:color="000000"/>
              <w:left w:val="nil"/>
              <w:bottom w:val="single" w:sz="8" w:space="0" w:color="000000"/>
              <w:right w:val="nil"/>
            </w:tcBorders>
            <w:shd w:val="clear" w:color="auto" w:fill="auto"/>
            <w:noWrap/>
            <w:vAlign w:val="center"/>
            <w:hideMark/>
          </w:tcPr>
          <w:p w14:paraId="6925AC2A" w14:textId="77777777" w:rsidR="001B39D0" w:rsidRPr="002676DE" w:rsidRDefault="001B39D0" w:rsidP="001B39D0">
            <w:pPr>
              <w:pBdr>
                <w:top w:val="nil"/>
                <w:left w:val="nil"/>
                <w:bottom w:val="nil"/>
                <w:right w:val="nil"/>
                <w:between w:val="nil"/>
              </w:pBdr>
              <w:spacing w:after="200"/>
              <w:contextualSpacing/>
              <w:rPr>
                <w:rFonts w:ascii="Arial" w:hAnsi="Arial" w:cs="Arial"/>
                <w:b/>
                <w:bCs/>
                <w:color w:val="000000"/>
                <w:sz w:val="16"/>
                <w:szCs w:val="16"/>
                <w:lang w:val="it-IT"/>
              </w:rPr>
            </w:pPr>
            <w:r w:rsidRPr="002676DE">
              <w:rPr>
                <w:rFonts w:ascii="Arial" w:hAnsi="Arial" w:cs="Arial"/>
                <w:b/>
                <w:bCs/>
                <w:color w:val="000000"/>
                <w:sz w:val="16"/>
                <w:szCs w:val="16"/>
                <w:lang w:val="it-IT"/>
              </w:rPr>
              <w:t>50-100 kDa</w:t>
            </w:r>
          </w:p>
        </w:tc>
        <w:tc>
          <w:tcPr>
            <w:tcW w:w="0" w:type="auto"/>
            <w:tcBorders>
              <w:top w:val="single" w:sz="4" w:space="0" w:color="000000"/>
              <w:left w:val="nil"/>
              <w:bottom w:val="single" w:sz="8" w:space="0" w:color="000000"/>
              <w:right w:val="nil"/>
            </w:tcBorders>
            <w:shd w:val="clear" w:color="auto" w:fill="auto"/>
            <w:noWrap/>
            <w:vAlign w:val="center"/>
            <w:hideMark/>
          </w:tcPr>
          <w:p w14:paraId="654AB028" w14:textId="77777777" w:rsidR="001B39D0" w:rsidRPr="002676DE" w:rsidRDefault="001B39D0" w:rsidP="001B39D0">
            <w:pPr>
              <w:pBdr>
                <w:top w:val="nil"/>
                <w:left w:val="nil"/>
                <w:bottom w:val="nil"/>
                <w:right w:val="nil"/>
                <w:between w:val="nil"/>
              </w:pBdr>
              <w:spacing w:after="200"/>
              <w:contextualSpacing/>
              <w:rPr>
                <w:rFonts w:ascii="Arial" w:hAnsi="Arial" w:cs="Arial"/>
                <w:b/>
                <w:bCs/>
                <w:color w:val="000000"/>
                <w:sz w:val="16"/>
                <w:szCs w:val="16"/>
                <w:lang w:val="it-IT"/>
              </w:rPr>
            </w:pPr>
            <w:r w:rsidRPr="002676DE">
              <w:rPr>
                <w:rFonts w:ascii="Arial" w:hAnsi="Arial" w:cs="Arial"/>
                <w:b/>
                <w:bCs/>
                <w:color w:val="000000"/>
                <w:sz w:val="16"/>
                <w:szCs w:val="16"/>
                <w:lang w:val="it-IT"/>
              </w:rPr>
              <w:t>50-10 kDa</w:t>
            </w:r>
          </w:p>
        </w:tc>
        <w:tc>
          <w:tcPr>
            <w:tcW w:w="0" w:type="auto"/>
            <w:tcBorders>
              <w:top w:val="single" w:sz="4" w:space="0" w:color="000000"/>
              <w:left w:val="nil"/>
              <w:bottom w:val="single" w:sz="8" w:space="0" w:color="000000"/>
              <w:right w:val="nil"/>
            </w:tcBorders>
            <w:shd w:val="clear" w:color="auto" w:fill="auto"/>
            <w:noWrap/>
            <w:vAlign w:val="center"/>
            <w:hideMark/>
          </w:tcPr>
          <w:p w14:paraId="7D54D3C2" w14:textId="77777777" w:rsidR="001B39D0" w:rsidRPr="002676DE" w:rsidRDefault="001B39D0" w:rsidP="001B39D0">
            <w:pPr>
              <w:pBdr>
                <w:top w:val="nil"/>
                <w:left w:val="nil"/>
                <w:bottom w:val="nil"/>
                <w:right w:val="nil"/>
                <w:between w:val="nil"/>
              </w:pBdr>
              <w:spacing w:after="200"/>
              <w:contextualSpacing/>
              <w:rPr>
                <w:rFonts w:ascii="Arial" w:hAnsi="Arial" w:cs="Arial"/>
                <w:b/>
                <w:bCs/>
                <w:color w:val="000000"/>
                <w:sz w:val="16"/>
                <w:szCs w:val="16"/>
                <w:lang w:val="it-IT"/>
              </w:rPr>
            </w:pPr>
            <w:r w:rsidRPr="002676DE">
              <w:rPr>
                <w:rFonts w:ascii="Arial" w:hAnsi="Arial" w:cs="Arial"/>
                <w:b/>
                <w:bCs/>
                <w:color w:val="000000"/>
                <w:sz w:val="16"/>
                <w:szCs w:val="16"/>
                <w:lang w:val="it-IT"/>
              </w:rPr>
              <w:t>10-3 kDa</w:t>
            </w:r>
          </w:p>
        </w:tc>
        <w:tc>
          <w:tcPr>
            <w:tcW w:w="0" w:type="auto"/>
            <w:tcBorders>
              <w:top w:val="single" w:sz="4" w:space="0" w:color="000000"/>
              <w:left w:val="nil"/>
              <w:bottom w:val="single" w:sz="8" w:space="0" w:color="auto"/>
              <w:right w:val="nil"/>
            </w:tcBorders>
            <w:shd w:val="clear" w:color="auto" w:fill="auto"/>
            <w:noWrap/>
            <w:vAlign w:val="center"/>
            <w:hideMark/>
          </w:tcPr>
          <w:p w14:paraId="3A4CA287" w14:textId="77777777" w:rsidR="001B39D0" w:rsidRPr="002676DE" w:rsidRDefault="001B39D0" w:rsidP="001B39D0">
            <w:pPr>
              <w:pBdr>
                <w:top w:val="nil"/>
                <w:left w:val="nil"/>
                <w:bottom w:val="nil"/>
                <w:right w:val="nil"/>
                <w:between w:val="nil"/>
              </w:pBdr>
              <w:spacing w:after="200"/>
              <w:contextualSpacing/>
              <w:rPr>
                <w:rFonts w:ascii="Arial" w:hAnsi="Arial" w:cs="Arial"/>
                <w:b/>
                <w:bCs/>
                <w:color w:val="000000"/>
                <w:sz w:val="16"/>
                <w:szCs w:val="16"/>
                <w:lang w:val="it-IT"/>
              </w:rPr>
            </w:pPr>
            <w:r w:rsidRPr="002676DE">
              <w:rPr>
                <w:rFonts w:ascii="Arial" w:hAnsi="Arial" w:cs="Arial"/>
                <w:b/>
                <w:bCs/>
                <w:color w:val="000000"/>
                <w:sz w:val="16"/>
                <w:szCs w:val="16"/>
                <w:lang w:val="it-IT"/>
              </w:rPr>
              <w:t>&lt;3kDa</w:t>
            </w:r>
          </w:p>
        </w:tc>
      </w:tr>
      <w:tr w:rsidR="001B39D0" w:rsidRPr="002676DE" w14:paraId="1A869B89" w14:textId="77777777" w:rsidTr="00794846">
        <w:trPr>
          <w:trHeight w:val="311"/>
        </w:trPr>
        <w:tc>
          <w:tcPr>
            <w:tcW w:w="0" w:type="auto"/>
            <w:tcBorders>
              <w:top w:val="nil"/>
              <w:left w:val="nil"/>
              <w:bottom w:val="single" w:sz="8" w:space="0" w:color="000000"/>
              <w:right w:val="double" w:sz="6" w:space="0" w:color="000000"/>
            </w:tcBorders>
            <w:shd w:val="clear" w:color="auto" w:fill="auto"/>
            <w:noWrap/>
            <w:vAlign w:val="center"/>
            <w:hideMark/>
          </w:tcPr>
          <w:p w14:paraId="1501BC05" w14:textId="77777777" w:rsidR="001B39D0" w:rsidRPr="002676DE" w:rsidRDefault="001B39D0" w:rsidP="001B39D0">
            <w:pPr>
              <w:pBdr>
                <w:top w:val="nil"/>
                <w:left w:val="nil"/>
                <w:bottom w:val="nil"/>
                <w:right w:val="nil"/>
                <w:between w:val="nil"/>
              </w:pBdr>
              <w:spacing w:after="200"/>
              <w:contextualSpacing/>
              <w:rPr>
                <w:rFonts w:ascii="Arial" w:hAnsi="Arial" w:cs="Arial"/>
                <w:b/>
                <w:color w:val="000000"/>
                <w:sz w:val="16"/>
                <w:szCs w:val="16"/>
                <w:lang w:val="it-IT"/>
              </w:rPr>
            </w:pPr>
            <w:proofErr w:type="spellStart"/>
            <w:r w:rsidRPr="002676DE">
              <w:rPr>
                <w:rFonts w:ascii="Arial" w:hAnsi="Arial" w:cs="Arial"/>
                <w:b/>
                <w:color w:val="000000"/>
                <w:sz w:val="16"/>
                <w:szCs w:val="16"/>
                <w:lang w:val="it-IT"/>
              </w:rPr>
              <w:t>Albumin</w:t>
            </w:r>
            <w:proofErr w:type="spellEnd"/>
            <w:r w:rsidRPr="002676DE">
              <w:rPr>
                <w:rFonts w:ascii="Arial" w:hAnsi="Arial" w:cs="Arial"/>
                <w:b/>
                <w:color w:val="000000"/>
                <w:sz w:val="16"/>
                <w:szCs w:val="16"/>
                <w:lang w:val="it-IT"/>
              </w:rPr>
              <w:t xml:space="preserve"> (MW x </w:t>
            </w:r>
            <w:proofErr w:type="spellStart"/>
            <w:r w:rsidRPr="002676DE">
              <w:rPr>
                <w:rFonts w:ascii="Arial" w:hAnsi="Arial" w:cs="Arial"/>
                <w:b/>
                <w:color w:val="000000"/>
                <w:sz w:val="16"/>
                <w:szCs w:val="16"/>
                <w:lang w:val="it-IT"/>
              </w:rPr>
              <w:t>emPAI</w:t>
            </w:r>
            <w:proofErr w:type="spellEnd"/>
            <w:r w:rsidRPr="002676DE">
              <w:rPr>
                <w:rFonts w:ascii="Arial" w:hAnsi="Arial" w:cs="Arial"/>
                <w:b/>
                <w:color w:val="000000"/>
                <w:sz w:val="16"/>
                <w:szCs w:val="16"/>
                <w:lang w:val="it-IT"/>
              </w:rPr>
              <w:t>)</w:t>
            </w:r>
          </w:p>
        </w:tc>
        <w:tc>
          <w:tcPr>
            <w:tcW w:w="0" w:type="auto"/>
            <w:tcBorders>
              <w:top w:val="single" w:sz="8" w:space="0" w:color="000000"/>
              <w:left w:val="double" w:sz="6" w:space="0" w:color="000000"/>
              <w:bottom w:val="single" w:sz="8" w:space="0" w:color="000000"/>
              <w:right w:val="double" w:sz="6" w:space="0" w:color="000000"/>
            </w:tcBorders>
            <w:shd w:val="clear" w:color="auto" w:fill="FFFFFF"/>
            <w:noWrap/>
            <w:vAlign w:val="center"/>
            <w:hideMark/>
          </w:tcPr>
          <w:p w14:paraId="7E96D11F"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(520 ± 40) · 10</w:t>
            </w:r>
            <w:r w:rsidRPr="002676DE">
              <w:rPr>
                <w:rFonts w:ascii="Arial" w:hAnsi="Arial" w:cs="Arial"/>
                <w:bCs/>
                <w:color w:val="000000"/>
                <w:sz w:val="14"/>
                <w:szCs w:val="14"/>
                <w:vertAlign w:val="superscript"/>
              </w:rPr>
              <w:t>4</w:t>
            </w:r>
          </w:p>
        </w:tc>
        <w:tc>
          <w:tcPr>
            <w:tcW w:w="0" w:type="auto"/>
            <w:tcBorders>
              <w:top w:val="nil"/>
              <w:left w:val="double" w:sz="6" w:space="0" w:color="000000"/>
              <w:bottom w:val="single" w:sz="8" w:space="0" w:color="000000"/>
              <w:right w:val="nil"/>
            </w:tcBorders>
            <w:shd w:val="clear" w:color="auto" w:fill="auto"/>
            <w:noWrap/>
            <w:vAlign w:val="center"/>
            <w:hideMark/>
          </w:tcPr>
          <w:p w14:paraId="7AE19323"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(220 ± 30) · 10</w:t>
            </w:r>
            <w:r w:rsidRPr="002676DE">
              <w:rPr>
                <w:rFonts w:ascii="Arial" w:hAnsi="Arial" w:cs="Arial"/>
                <w:bCs/>
                <w:color w:val="000000"/>
                <w:sz w:val="14"/>
                <w:szCs w:val="14"/>
                <w:vertAlign w:val="superscript"/>
              </w:rPr>
              <w:t>4</w:t>
            </w:r>
          </w:p>
        </w:tc>
        <w:tc>
          <w:tcPr>
            <w:tcW w:w="0" w:type="auto"/>
            <w:tcBorders>
              <w:top w:val="nil"/>
              <w:left w:val="nil"/>
              <w:bottom w:val="single" w:sz="8" w:space="0" w:color="000000"/>
              <w:right w:val="nil"/>
            </w:tcBorders>
            <w:shd w:val="clear" w:color="auto" w:fill="auto"/>
            <w:noWrap/>
            <w:vAlign w:val="center"/>
            <w:hideMark/>
          </w:tcPr>
          <w:p w14:paraId="3AD68FBD"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(1090 ± 130) · 10</w:t>
            </w:r>
            <w:r w:rsidRPr="002676DE">
              <w:rPr>
                <w:rFonts w:ascii="Arial" w:hAnsi="Arial" w:cs="Arial"/>
                <w:bCs/>
                <w:color w:val="000000"/>
                <w:sz w:val="14"/>
                <w:szCs w:val="14"/>
                <w:vertAlign w:val="superscript"/>
              </w:rPr>
              <w:t>4</w:t>
            </w:r>
          </w:p>
        </w:tc>
        <w:tc>
          <w:tcPr>
            <w:tcW w:w="0" w:type="auto"/>
            <w:tcBorders>
              <w:top w:val="nil"/>
              <w:left w:val="nil"/>
              <w:bottom w:val="single" w:sz="8" w:space="0" w:color="000000"/>
              <w:right w:val="nil"/>
            </w:tcBorders>
            <w:shd w:val="clear" w:color="auto" w:fill="auto"/>
            <w:noWrap/>
            <w:vAlign w:val="center"/>
            <w:hideMark/>
          </w:tcPr>
          <w:p w14:paraId="54552066"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(180 ± 130) · 10</w:t>
            </w:r>
            <w:r w:rsidRPr="002676DE">
              <w:rPr>
                <w:rFonts w:ascii="Arial" w:hAnsi="Arial" w:cs="Arial"/>
                <w:bCs/>
                <w:color w:val="000000"/>
                <w:sz w:val="14"/>
                <w:szCs w:val="14"/>
                <w:vertAlign w:val="superscript"/>
              </w:rPr>
              <w:t>4</w:t>
            </w:r>
          </w:p>
        </w:tc>
        <w:tc>
          <w:tcPr>
            <w:tcW w:w="0" w:type="auto"/>
            <w:tcBorders>
              <w:top w:val="nil"/>
              <w:left w:val="nil"/>
              <w:bottom w:val="single" w:sz="8" w:space="0" w:color="000000"/>
              <w:right w:val="nil"/>
            </w:tcBorders>
            <w:shd w:val="clear" w:color="auto" w:fill="FFFFFF"/>
            <w:noWrap/>
            <w:vAlign w:val="center"/>
            <w:hideMark/>
          </w:tcPr>
          <w:p w14:paraId="60C8C19E"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(1.4 ± 0.4) · 10</w:t>
            </w:r>
            <w:r w:rsidRPr="002676DE">
              <w:rPr>
                <w:rFonts w:ascii="Arial" w:hAnsi="Arial" w:cs="Arial"/>
                <w:bCs/>
                <w:color w:val="000000"/>
                <w:sz w:val="14"/>
                <w:szCs w:val="14"/>
                <w:vertAlign w:val="superscript"/>
              </w:rPr>
              <w:t>4</w:t>
            </w:r>
          </w:p>
        </w:tc>
        <w:tc>
          <w:tcPr>
            <w:tcW w:w="0" w:type="auto"/>
            <w:tcBorders>
              <w:top w:val="nil"/>
              <w:left w:val="nil"/>
              <w:bottom w:val="single" w:sz="8" w:space="0" w:color="auto"/>
              <w:right w:val="nil"/>
            </w:tcBorders>
            <w:shd w:val="clear" w:color="auto" w:fill="FFFFFF"/>
            <w:noWrap/>
            <w:vAlign w:val="center"/>
            <w:hideMark/>
          </w:tcPr>
          <w:p w14:paraId="10B8BF11"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n.d.</w:t>
            </w:r>
          </w:p>
        </w:tc>
      </w:tr>
      <w:tr w:rsidR="001B39D0" w:rsidRPr="002676DE" w14:paraId="7089B0A8" w14:textId="77777777" w:rsidTr="00794846">
        <w:trPr>
          <w:trHeight w:val="311"/>
        </w:trPr>
        <w:tc>
          <w:tcPr>
            <w:tcW w:w="0" w:type="auto"/>
            <w:tcBorders>
              <w:top w:val="nil"/>
              <w:left w:val="nil"/>
              <w:bottom w:val="single" w:sz="8" w:space="0" w:color="000000"/>
              <w:right w:val="double" w:sz="6" w:space="0" w:color="000000"/>
            </w:tcBorders>
            <w:shd w:val="clear" w:color="auto" w:fill="auto"/>
            <w:noWrap/>
            <w:vAlign w:val="center"/>
            <w:hideMark/>
          </w:tcPr>
          <w:p w14:paraId="39099EA0" w14:textId="77777777" w:rsidR="001B39D0" w:rsidRPr="002676DE" w:rsidRDefault="001B39D0" w:rsidP="001B39D0">
            <w:pPr>
              <w:pBdr>
                <w:top w:val="nil"/>
                <w:left w:val="nil"/>
                <w:bottom w:val="nil"/>
                <w:right w:val="nil"/>
                <w:between w:val="nil"/>
              </w:pBdr>
              <w:spacing w:after="200"/>
              <w:contextualSpacing/>
              <w:rPr>
                <w:rFonts w:ascii="Arial" w:hAnsi="Arial" w:cs="Arial"/>
                <w:b/>
                <w:color w:val="000000"/>
                <w:sz w:val="16"/>
                <w:szCs w:val="16"/>
                <w:lang w:val="it-IT"/>
              </w:rPr>
            </w:pPr>
            <w:r w:rsidRPr="002676DE">
              <w:rPr>
                <w:rFonts w:ascii="Arial" w:hAnsi="Arial" w:cs="Arial"/>
                <w:b/>
                <w:color w:val="000000"/>
                <w:sz w:val="16"/>
                <w:szCs w:val="16"/>
                <w:lang w:val="it-IT"/>
              </w:rPr>
              <w:t xml:space="preserve">TTR (MW x </w:t>
            </w:r>
            <w:proofErr w:type="spellStart"/>
            <w:r w:rsidRPr="002676DE">
              <w:rPr>
                <w:rFonts w:ascii="Arial" w:hAnsi="Arial" w:cs="Arial"/>
                <w:b/>
                <w:color w:val="000000"/>
                <w:sz w:val="16"/>
                <w:szCs w:val="16"/>
                <w:lang w:val="it-IT"/>
              </w:rPr>
              <w:t>emPAI</w:t>
            </w:r>
            <w:proofErr w:type="spellEnd"/>
            <w:r w:rsidRPr="002676DE">
              <w:rPr>
                <w:rFonts w:ascii="Arial" w:hAnsi="Arial" w:cs="Arial"/>
                <w:b/>
                <w:color w:val="000000"/>
                <w:sz w:val="16"/>
                <w:szCs w:val="16"/>
                <w:lang w:val="it-IT"/>
              </w:rPr>
              <w:t>)</w:t>
            </w:r>
          </w:p>
        </w:tc>
        <w:tc>
          <w:tcPr>
            <w:tcW w:w="0" w:type="auto"/>
            <w:tcBorders>
              <w:top w:val="single" w:sz="8" w:space="0" w:color="000000"/>
              <w:left w:val="double" w:sz="6" w:space="0" w:color="000000"/>
              <w:bottom w:val="single" w:sz="8" w:space="0" w:color="000000"/>
              <w:right w:val="double" w:sz="6" w:space="0" w:color="000000"/>
            </w:tcBorders>
            <w:shd w:val="clear" w:color="auto" w:fill="FFFFFF"/>
            <w:noWrap/>
            <w:vAlign w:val="center"/>
            <w:hideMark/>
          </w:tcPr>
          <w:p w14:paraId="41174162"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(130 ± 40) · 10</w:t>
            </w:r>
            <w:r w:rsidRPr="002676DE">
              <w:rPr>
                <w:rFonts w:ascii="Arial" w:hAnsi="Arial" w:cs="Arial"/>
                <w:bCs/>
                <w:color w:val="000000"/>
                <w:sz w:val="14"/>
                <w:szCs w:val="14"/>
                <w:vertAlign w:val="superscript"/>
              </w:rPr>
              <w:t>4</w:t>
            </w:r>
          </w:p>
        </w:tc>
        <w:tc>
          <w:tcPr>
            <w:tcW w:w="0" w:type="auto"/>
            <w:tcBorders>
              <w:top w:val="nil"/>
              <w:left w:val="double" w:sz="6" w:space="0" w:color="000000"/>
              <w:bottom w:val="single" w:sz="8" w:space="0" w:color="000000"/>
              <w:right w:val="nil"/>
            </w:tcBorders>
            <w:shd w:val="clear" w:color="auto" w:fill="auto"/>
            <w:noWrap/>
            <w:vAlign w:val="center"/>
            <w:hideMark/>
          </w:tcPr>
          <w:p w14:paraId="34341D9A"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(11 ± 4) · 10</w:t>
            </w:r>
            <w:r w:rsidRPr="002676DE">
              <w:rPr>
                <w:rFonts w:ascii="Arial" w:hAnsi="Arial" w:cs="Arial"/>
                <w:bCs/>
                <w:color w:val="000000"/>
                <w:sz w:val="14"/>
                <w:szCs w:val="14"/>
                <w:vertAlign w:val="superscript"/>
              </w:rPr>
              <w:t>4</w:t>
            </w:r>
          </w:p>
        </w:tc>
        <w:tc>
          <w:tcPr>
            <w:tcW w:w="0" w:type="auto"/>
            <w:tcBorders>
              <w:top w:val="nil"/>
              <w:left w:val="nil"/>
              <w:bottom w:val="single" w:sz="8" w:space="0" w:color="000000"/>
              <w:right w:val="nil"/>
            </w:tcBorders>
            <w:shd w:val="clear" w:color="auto" w:fill="auto"/>
            <w:noWrap/>
            <w:vAlign w:val="center"/>
            <w:hideMark/>
          </w:tcPr>
          <w:p w14:paraId="4E605DFC"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(270 ± 100) · 10</w:t>
            </w:r>
            <w:r w:rsidRPr="002676DE">
              <w:rPr>
                <w:rFonts w:ascii="Arial" w:hAnsi="Arial" w:cs="Arial"/>
                <w:bCs/>
                <w:color w:val="000000"/>
                <w:sz w:val="14"/>
                <w:szCs w:val="14"/>
                <w:vertAlign w:val="superscript"/>
              </w:rPr>
              <w:t>4</w:t>
            </w:r>
          </w:p>
        </w:tc>
        <w:tc>
          <w:tcPr>
            <w:tcW w:w="0" w:type="auto"/>
            <w:tcBorders>
              <w:top w:val="nil"/>
              <w:left w:val="nil"/>
              <w:bottom w:val="single" w:sz="8" w:space="0" w:color="000000"/>
              <w:right w:val="nil"/>
            </w:tcBorders>
            <w:shd w:val="clear" w:color="auto" w:fill="auto"/>
            <w:noWrap/>
            <w:vAlign w:val="center"/>
            <w:hideMark/>
          </w:tcPr>
          <w:p w14:paraId="6202597F"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(14 ± 1) · 10</w:t>
            </w:r>
            <w:r w:rsidRPr="002676DE">
              <w:rPr>
                <w:rFonts w:ascii="Arial" w:hAnsi="Arial" w:cs="Arial"/>
                <w:bCs/>
                <w:color w:val="000000"/>
                <w:sz w:val="14"/>
                <w:szCs w:val="14"/>
                <w:vertAlign w:val="superscript"/>
              </w:rPr>
              <w:t>4</w:t>
            </w:r>
          </w:p>
        </w:tc>
        <w:tc>
          <w:tcPr>
            <w:tcW w:w="0" w:type="auto"/>
            <w:tcBorders>
              <w:top w:val="nil"/>
              <w:left w:val="nil"/>
              <w:bottom w:val="single" w:sz="8" w:space="0" w:color="000000"/>
              <w:right w:val="nil"/>
            </w:tcBorders>
            <w:shd w:val="clear" w:color="auto" w:fill="FFFFFF"/>
            <w:noWrap/>
            <w:vAlign w:val="center"/>
            <w:hideMark/>
          </w:tcPr>
          <w:p w14:paraId="0F304BE2"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n.d.</w:t>
            </w:r>
          </w:p>
        </w:tc>
        <w:tc>
          <w:tcPr>
            <w:tcW w:w="0" w:type="auto"/>
            <w:tcBorders>
              <w:top w:val="nil"/>
              <w:left w:val="nil"/>
              <w:bottom w:val="single" w:sz="8" w:space="0" w:color="auto"/>
              <w:right w:val="nil"/>
            </w:tcBorders>
            <w:shd w:val="clear" w:color="auto" w:fill="FFFFFF"/>
            <w:noWrap/>
            <w:vAlign w:val="center"/>
            <w:hideMark/>
          </w:tcPr>
          <w:p w14:paraId="4ADBE269"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n.d.</w:t>
            </w:r>
          </w:p>
        </w:tc>
      </w:tr>
      <w:tr w:rsidR="001B39D0" w:rsidRPr="002676DE" w14:paraId="391B0085" w14:textId="77777777" w:rsidTr="00794846">
        <w:trPr>
          <w:trHeight w:val="311"/>
        </w:trPr>
        <w:tc>
          <w:tcPr>
            <w:tcW w:w="0" w:type="auto"/>
            <w:tcBorders>
              <w:top w:val="nil"/>
              <w:left w:val="nil"/>
              <w:bottom w:val="single" w:sz="8" w:space="0" w:color="000000"/>
              <w:right w:val="double" w:sz="6" w:space="0" w:color="000000"/>
            </w:tcBorders>
            <w:shd w:val="clear" w:color="auto" w:fill="auto"/>
            <w:noWrap/>
            <w:vAlign w:val="center"/>
            <w:hideMark/>
          </w:tcPr>
          <w:p w14:paraId="6D4B070D" w14:textId="77777777" w:rsidR="001B39D0" w:rsidRPr="002676DE" w:rsidRDefault="001B39D0" w:rsidP="001B39D0">
            <w:pPr>
              <w:pBdr>
                <w:top w:val="nil"/>
                <w:left w:val="nil"/>
                <w:bottom w:val="nil"/>
                <w:right w:val="nil"/>
                <w:between w:val="nil"/>
              </w:pBdr>
              <w:spacing w:after="200"/>
              <w:contextualSpacing/>
              <w:rPr>
                <w:rFonts w:ascii="Arial" w:hAnsi="Arial" w:cs="Arial"/>
                <w:b/>
                <w:color w:val="000000"/>
                <w:sz w:val="16"/>
                <w:szCs w:val="16"/>
                <w:lang w:val="it-IT"/>
              </w:rPr>
            </w:pPr>
            <w:proofErr w:type="spellStart"/>
            <w:r w:rsidRPr="002676DE">
              <w:rPr>
                <w:rFonts w:ascii="Arial" w:hAnsi="Arial" w:cs="Arial"/>
                <w:b/>
                <w:color w:val="000000"/>
                <w:sz w:val="16"/>
                <w:szCs w:val="16"/>
                <w:lang w:val="it-IT"/>
              </w:rPr>
              <w:t>apolip</w:t>
            </w:r>
            <w:proofErr w:type="spellEnd"/>
            <w:r w:rsidRPr="002676DE">
              <w:rPr>
                <w:rFonts w:ascii="Arial" w:hAnsi="Arial" w:cs="Arial"/>
                <w:b/>
                <w:color w:val="000000"/>
                <w:sz w:val="16"/>
                <w:szCs w:val="16"/>
                <w:lang w:val="it-IT"/>
              </w:rPr>
              <w:t xml:space="preserve">. (MW x </w:t>
            </w:r>
            <w:proofErr w:type="spellStart"/>
            <w:r w:rsidRPr="002676DE">
              <w:rPr>
                <w:rFonts w:ascii="Arial" w:hAnsi="Arial" w:cs="Arial"/>
                <w:b/>
                <w:color w:val="000000"/>
                <w:sz w:val="16"/>
                <w:szCs w:val="16"/>
                <w:lang w:val="it-IT"/>
              </w:rPr>
              <w:t>emPAI</w:t>
            </w:r>
            <w:proofErr w:type="spellEnd"/>
            <w:r w:rsidRPr="002676DE">
              <w:rPr>
                <w:rFonts w:ascii="Arial" w:hAnsi="Arial" w:cs="Arial"/>
                <w:b/>
                <w:color w:val="000000"/>
                <w:sz w:val="16"/>
                <w:szCs w:val="16"/>
                <w:lang w:val="it-IT"/>
              </w:rPr>
              <w:t>)</w:t>
            </w:r>
          </w:p>
        </w:tc>
        <w:tc>
          <w:tcPr>
            <w:tcW w:w="0" w:type="auto"/>
            <w:tcBorders>
              <w:top w:val="single" w:sz="8" w:space="0" w:color="000000"/>
              <w:left w:val="double" w:sz="6" w:space="0" w:color="000000"/>
              <w:bottom w:val="single" w:sz="8" w:space="0" w:color="000000"/>
              <w:right w:val="double" w:sz="6" w:space="0" w:color="000000"/>
            </w:tcBorders>
            <w:shd w:val="clear" w:color="auto" w:fill="FFFFFF"/>
            <w:noWrap/>
            <w:vAlign w:val="center"/>
            <w:hideMark/>
          </w:tcPr>
          <w:p w14:paraId="725A7ED2"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(52 ± 15) · 10</w:t>
            </w:r>
            <w:r w:rsidRPr="002676DE">
              <w:rPr>
                <w:rFonts w:ascii="Arial" w:hAnsi="Arial" w:cs="Arial"/>
                <w:bCs/>
                <w:color w:val="000000"/>
                <w:sz w:val="14"/>
                <w:szCs w:val="14"/>
                <w:vertAlign w:val="superscript"/>
              </w:rPr>
              <w:t>4</w:t>
            </w:r>
          </w:p>
        </w:tc>
        <w:tc>
          <w:tcPr>
            <w:tcW w:w="0" w:type="auto"/>
            <w:tcBorders>
              <w:top w:val="nil"/>
              <w:left w:val="double" w:sz="6" w:space="0" w:color="000000"/>
              <w:bottom w:val="single" w:sz="8" w:space="0" w:color="000000"/>
              <w:right w:val="nil"/>
            </w:tcBorders>
            <w:shd w:val="clear" w:color="auto" w:fill="auto"/>
            <w:noWrap/>
            <w:vAlign w:val="center"/>
            <w:hideMark/>
          </w:tcPr>
          <w:p w14:paraId="14C03D4C"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(180 ± 10) · 10</w:t>
            </w:r>
            <w:r w:rsidRPr="002676DE">
              <w:rPr>
                <w:rFonts w:ascii="Arial" w:hAnsi="Arial" w:cs="Arial"/>
                <w:bCs/>
                <w:color w:val="000000"/>
                <w:sz w:val="14"/>
                <w:szCs w:val="14"/>
                <w:vertAlign w:val="superscript"/>
              </w:rPr>
              <w:t>4</w:t>
            </w:r>
          </w:p>
        </w:tc>
        <w:tc>
          <w:tcPr>
            <w:tcW w:w="0" w:type="auto"/>
            <w:tcBorders>
              <w:top w:val="nil"/>
              <w:left w:val="nil"/>
              <w:bottom w:val="single" w:sz="8" w:space="0" w:color="000000"/>
              <w:right w:val="nil"/>
            </w:tcBorders>
            <w:shd w:val="clear" w:color="auto" w:fill="auto"/>
            <w:noWrap/>
            <w:vAlign w:val="center"/>
            <w:hideMark/>
          </w:tcPr>
          <w:p w14:paraId="2DFC3B97"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(28 ± 6) · 10</w:t>
            </w:r>
            <w:r w:rsidRPr="002676DE">
              <w:rPr>
                <w:rFonts w:ascii="Arial" w:hAnsi="Arial" w:cs="Arial"/>
                <w:bCs/>
                <w:color w:val="000000"/>
                <w:sz w:val="14"/>
                <w:szCs w:val="14"/>
                <w:vertAlign w:val="superscript"/>
              </w:rPr>
              <w:t>4</w:t>
            </w:r>
          </w:p>
        </w:tc>
        <w:tc>
          <w:tcPr>
            <w:tcW w:w="0" w:type="auto"/>
            <w:tcBorders>
              <w:top w:val="nil"/>
              <w:left w:val="nil"/>
              <w:bottom w:val="single" w:sz="8" w:space="0" w:color="000000"/>
              <w:right w:val="nil"/>
            </w:tcBorders>
            <w:shd w:val="clear" w:color="auto" w:fill="auto"/>
            <w:noWrap/>
            <w:vAlign w:val="center"/>
            <w:hideMark/>
          </w:tcPr>
          <w:p w14:paraId="4086E56D"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(2.4 ± 0.6) · 10</w:t>
            </w:r>
            <w:r w:rsidRPr="002676DE">
              <w:rPr>
                <w:rFonts w:ascii="Arial" w:hAnsi="Arial" w:cs="Arial"/>
                <w:bCs/>
                <w:color w:val="000000"/>
                <w:sz w:val="14"/>
                <w:szCs w:val="14"/>
                <w:vertAlign w:val="superscript"/>
              </w:rPr>
              <w:t>4</w:t>
            </w:r>
          </w:p>
        </w:tc>
        <w:tc>
          <w:tcPr>
            <w:tcW w:w="0" w:type="auto"/>
            <w:tcBorders>
              <w:top w:val="nil"/>
              <w:left w:val="nil"/>
              <w:bottom w:val="single" w:sz="8" w:space="0" w:color="000000"/>
              <w:right w:val="nil"/>
            </w:tcBorders>
            <w:shd w:val="clear" w:color="auto" w:fill="FFFFFF"/>
            <w:noWrap/>
            <w:vAlign w:val="center"/>
            <w:hideMark/>
          </w:tcPr>
          <w:p w14:paraId="121C4AB6"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n.d.</w:t>
            </w:r>
          </w:p>
        </w:tc>
        <w:tc>
          <w:tcPr>
            <w:tcW w:w="0" w:type="auto"/>
            <w:tcBorders>
              <w:top w:val="nil"/>
              <w:left w:val="nil"/>
              <w:bottom w:val="single" w:sz="8" w:space="0" w:color="auto"/>
              <w:right w:val="nil"/>
            </w:tcBorders>
            <w:shd w:val="clear" w:color="auto" w:fill="FFFFFF"/>
            <w:noWrap/>
            <w:vAlign w:val="center"/>
            <w:hideMark/>
          </w:tcPr>
          <w:p w14:paraId="626ADFDD"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n.d.</w:t>
            </w:r>
          </w:p>
        </w:tc>
      </w:tr>
      <w:tr w:rsidR="001B39D0" w:rsidRPr="002676DE" w14:paraId="15B90F17" w14:textId="77777777" w:rsidTr="00794846">
        <w:trPr>
          <w:trHeight w:val="311"/>
        </w:trPr>
        <w:tc>
          <w:tcPr>
            <w:tcW w:w="0" w:type="auto"/>
            <w:tcBorders>
              <w:top w:val="nil"/>
              <w:left w:val="nil"/>
              <w:bottom w:val="single" w:sz="8" w:space="0" w:color="000000"/>
              <w:right w:val="double" w:sz="6" w:space="0" w:color="000000"/>
            </w:tcBorders>
            <w:shd w:val="clear" w:color="auto" w:fill="auto"/>
            <w:noWrap/>
            <w:vAlign w:val="center"/>
            <w:hideMark/>
          </w:tcPr>
          <w:p w14:paraId="5BEFC2FC" w14:textId="22D8B82D" w:rsidR="001B39D0" w:rsidRPr="002676DE" w:rsidRDefault="001B39D0" w:rsidP="001B39D0">
            <w:pPr>
              <w:pBdr>
                <w:top w:val="nil"/>
                <w:left w:val="nil"/>
                <w:bottom w:val="nil"/>
                <w:right w:val="nil"/>
                <w:between w:val="nil"/>
              </w:pBdr>
              <w:spacing w:after="200"/>
              <w:contextualSpacing/>
              <w:rPr>
                <w:rFonts w:ascii="Arial" w:hAnsi="Arial" w:cs="Arial"/>
                <w:b/>
                <w:color w:val="000000"/>
                <w:sz w:val="16"/>
                <w:szCs w:val="16"/>
                <w:lang w:val="it-IT"/>
              </w:rPr>
            </w:pPr>
            <w:r w:rsidRPr="002676DE">
              <w:rPr>
                <w:rFonts w:ascii="Arial" w:hAnsi="Arial" w:cs="Arial"/>
                <w:b/>
                <w:color w:val="000000"/>
                <w:sz w:val="16"/>
                <w:szCs w:val="16"/>
                <w:lang w:val="it-IT"/>
              </w:rPr>
              <w:t>PG</w:t>
            </w:r>
            <w:r w:rsidR="00DC51F5">
              <w:rPr>
                <w:rFonts w:ascii="Arial" w:hAnsi="Arial" w:cs="Arial"/>
                <w:b/>
                <w:color w:val="000000"/>
                <w:sz w:val="16"/>
                <w:szCs w:val="16"/>
                <w:lang w:val="it-IT"/>
              </w:rPr>
              <w:t>DS</w:t>
            </w:r>
            <w:r w:rsidRPr="002676DE">
              <w:rPr>
                <w:rFonts w:ascii="Arial" w:hAnsi="Arial" w:cs="Arial"/>
                <w:b/>
                <w:color w:val="000000"/>
                <w:sz w:val="16"/>
                <w:szCs w:val="16"/>
                <w:lang w:val="it-IT"/>
              </w:rPr>
              <w:t xml:space="preserve"> (MW x </w:t>
            </w:r>
            <w:proofErr w:type="spellStart"/>
            <w:r w:rsidRPr="002676DE">
              <w:rPr>
                <w:rFonts w:ascii="Arial" w:hAnsi="Arial" w:cs="Arial"/>
                <w:b/>
                <w:color w:val="000000"/>
                <w:sz w:val="16"/>
                <w:szCs w:val="16"/>
                <w:lang w:val="it-IT"/>
              </w:rPr>
              <w:t>emPAI</w:t>
            </w:r>
            <w:proofErr w:type="spellEnd"/>
            <w:r w:rsidRPr="002676DE">
              <w:rPr>
                <w:rFonts w:ascii="Arial" w:hAnsi="Arial" w:cs="Arial"/>
                <w:b/>
                <w:color w:val="000000"/>
                <w:sz w:val="16"/>
                <w:szCs w:val="16"/>
                <w:lang w:val="it-IT"/>
              </w:rPr>
              <w:t>)</w:t>
            </w:r>
          </w:p>
        </w:tc>
        <w:tc>
          <w:tcPr>
            <w:tcW w:w="0" w:type="auto"/>
            <w:tcBorders>
              <w:top w:val="single" w:sz="8" w:space="0" w:color="000000"/>
              <w:left w:val="double" w:sz="6" w:space="0" w:color="000000"/>
              <w:bottom w:val="single" w:sz="8" w:space="0" w:color="000000"/>
              <w:right w:val="double" w:sz="6" w:space="0" w:color="000000"/>
            </w:tcBorders>
            <w:shd w:val="clear" w:color="auto" w:fill="FFFFFF"/>
            <w:noWrap/>
            <w:vAlign w:val="center"/>
            <w:hideMark/>
          </w:tcPr>
          <w:p w14:paraId="18182121"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(16 ± 4) · 10</w:t>
            </w:r>
            <w:r w:rsidRPr="002676DE">
              <w:rPr>
                <w:rFonts w:ascii="Arial" w:hAnsi="Arial" w:cs="Arial"/>
                <w:bCs/>
                <w:color w:val="000000"/>
                <w:sz w:val="14"/>
                <w:szCs w:val="14"/>
                <w:vertAlign w:val="superscript"/>
              </w:rPr>
              <w:t>4</w:t>
            </w:r>
          </w:p>
        </w:tc>
        <w:tc>
          <w:tcPr>
            <w:tcW w:w="0" w:type="auto"/>
            <w:tcBorders>
              <w:top w:val="nil"/>
              <w:left w:val="double" w:sz="6" w:space="0" w:color="000000"/>
              <w:bottom w:val="single" w:sz="8" w:space="0" w:color="000000"/>
              <w:right w:val="nil"/>
            </w:tcBorders>
            <w:shd w:val="clear" w:color="auto" w:fill="auto"/>
            <w:noWrap/>
            <w:vAlign w:val="center"/>
            <w:hideMark/>
          </w:tcPr>
          <w:p w14:paraId="70BBB1D2"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(2.6 ± 1.6) · 10</w:t>
            </w:r>
            <w:r w:rsidRPr="002676DE">
              <w:rPr>
                <w:rFonts w:ascii="Arial" w:hAnsi="Arial" w:cs="Arial"/>
                <w:bCs/>
                <w:color w:val="000000"/>
                <w:sz w:val="14"/>
                <w:szCs w:val="14"/>
                <w:vertAlign w:val="superscript"/>
              </w:rPr>
              <w:t>4</w:t>
            </w:r>
          </w:p>
        </w:tc>
        <w:tc>
          <w:tcPr>
            <w:tcW w:w="0" w:type="auto"/>
            <w:tcBorders>
              <w:top w:val="nil"/>
              <w:left w:val="nil"/>
              <w:bottom w:val="single" w:sz="8" w:space="0" w:color="000000"/>
              <w:right w:val="nil"/>
            </w:tcBorders>
            <w:shd w:val="clear" w:color="auto" w:fill="auto"/>
            <w:noWrap/>
            <w:vAlign w:val="center"/>
            <w:hideMark/>
          </w:tcPr>
          <w:p w14:paraId="6BA1C663"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(13 ± 2) · 10</w:t>
            </w:r>
            <w:r w:rsidRPr="002676DE">
              <w:rPr>
                <w:rFonts w:ascii="Arial" w:hAnsi="Arial" w:cs="Arial"/>
                <w:bCs/>
                <w:color w:val="000000"/>
                <w:sz w:val="14"/>
                <w:szCs w:val="14"/>
                <w:vertAlign w:val="superscript"/>
              </w:rPr>
              <w:t>4</w:t>
            </w:r>
          </w:p>
        </w:tc>
        <w:tc>
          <w:tcPr>
            <w:tcW w:w="0" w:type="auto"/>
            <w:tcBorders>
              <w:top w:val="nil"/>
              <w:left w:val="nil"/>
              <w:bottom w:val="single" w:sz="8" w:space="0" w:color="000000"/>
              <w:right w:val="nil"/>
            </w:tcBorders>
            <w:shd w:val="clear" w:color="auto" w:fill="auto"/>
            <w:noWrap/>
            <w:vAlign w:val="center"/>
            <w:hideMark/>
          </w:tcPr>
          <w:p w14:paraId="3844C2F8"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(30 ± 14) · 10</w:t>
            </w:r>
            <w:r w:rsidRPr="002676DE">
              <w:rPr>
                <w:rFonts w:ascii="Arial" w:hAnsi="Arial" w:cs="Arial"/>
                <w:bCs/>
                <w:color w:val="000000"/>
                <w:sz w:val="14"/>
                <w:szCs w:val="14"/>
                <w:vertAlign w:val="superscript"/>
              </w:rPr>
              <w:t>4</w:t>
            </w:r>
          </w:p>
        </w:tc>
        <w:tc>
          <w:tcPr>
            <w:tcW w:w="0" w:type="auto"/>
            <w:tcBorders>
              <w:top w:val="nil"/>
              <w:left w:val="nil"/>
              <w:bottom w:val="single" w:sz="8" w:space="0" w:color="000000"/>
              <w:right w:val="nil"/>
            </w:tcBorders>
            <w:shd w:val="clear" w:color="auto" w:fill="FFFFFF"/>
            <w:noWrap/>
            <w:vAlign w:val="center"/>
            <w:hideMark/>
          </w:tcPr>
          <w:p w14:paraId="40F87970"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n.d.</w:t>
            </w:r>
          </w:p>
        </w:tc>
        <w:tc>
          <w:tcPr>
            <w:tcW w:w="0" w:type="auto"/>
            <w:tcBorders>
              <w:top w:val="nil"/>
              <w:left w:val="nil"/>
              <w:bottom w:val="single" w:sz="8" w:space="0" w:color="auto"/>
              <w:right w:val="nil"/>
            </w:tcBorders>
            <w:shd w:val="clear" w:color="auto" w:fill="FFFFFF"/>
            <w:noWrap/>
            <w:vAlign w:val="center"/>
            <w:hideMark/>
          </w:tcPr>
          <w:p w14:paraId="17579342" w14:textId="77777777" w:rsidR="001B39D0" w:rsidRPr="002676DE" w:rsidRDefault="001B39D0" w:rsidP="001B39D0">
            <w:pPr>
              <w:pBdr>
                <w:top w:val="nil"/>
                <w:left w:val="nil"/>
                <w:bottom w:val="nil"/>
                <w:right w:val="nil"/>
                <w:between w:val="nil"/>
              </w:pBdr>
              <w:spacing w:after="200"/>
              <w:contextualSpacing/>
              <w:rPr>
                <w:rFonts w:ascii="Arial" w:hAnsi="Arial" w:cs="Arial"/>
                <w:bCs/>
                <w:color w:val="000000"/>
                <w:sz w:val="14"/>
                <w:szCs w:val="14"/>
                <w:lang w:val="it-IT"/>
              </w:rPr>
            </w:pPr>
            <w:r w:rsidRPr="002676DE">
              <w:rPr>
                <w:rFonts w:ascii="Arial" w:hAnsi="Arial" w:cs="Arial"/>
                <w:bCs/>
                <w:color w:val="000000"/>
                <w:sz w:val="14"/>
                <w:szCs w:val="14"/>
              </w:rPr>
              <w:t>n.d.</w:t>
            </w:r>
          </w:p>
        </w:tc>
      </w:tr>
    </w:tbl>
    <w:p w14:paraId="77849D19" w14:textId="77777777" w:rsidR="001B39D0" w:rsidRPr="002676DE" w:rsidRDefault="001B39D0" w:rsidP="001B39D0">
      <w:pPr>
        <w:pBdr>
          <w:top w:val="nil"/>
          <w:left w:val="nil"/>
          <w:bottom w:val="nil"/>
          <w:right w:val="nil"/>
          <w:between w:val="nil"/>
        </w:pBdr>
        <w:contextualSpacing/>
        <w:rPr>
          <w:rFonts w:ascii="Arial" w:hAnsi="Arial" w:cs="Arial"/>
          <w:color w:val="000000"/>
          <w:sz w:val="20"/>
        </w:rPr>
      </w:pPr>
    </w:p>
    <w:p w14:paraId="358BCDAE" w14:textId="77777777" w:rsidR="001B39D0" w:rsidRPr="002676DE" w:rsidRDefault="001B39D0" w:rsidP="001B39D0">
      <w:pPr>
        <w:rPr>
          <w:rFonts w:ascii="Arial" w:hAnsi="Arial" w:cs="Arial"/>
          <w:color w:val="000000"/>
          <w:sz w:val="20"/>
        </w:rPr>
      </w:pPr>
      <w:r w:rsidRPr="002676DE">
        <w:rPr>
          <w:rFonts w:ascii="Arial" w:hAnsi="Arial" w:cs="Arial"/>
          <w:color w:val="000000"/>
          <w:sz w:val="20"/>
        </w:rPr>
        <w:br w:type="page"/>
      </w:r>
    </w:p>
    <w:p w14:paraId="4F5E60F4" w14:textId="77777777" w:rsidR="001B39D0" w:rsidRPr="002676DE" w:rsidRDefault="001B39D0" w:rsidP="001B39D0">
      <w:pPr>
        <w:pBdr>
          <w:top w:val="nil"/>
          <w:left w:val="nil"/>
          <w:bottom w:val="nil"/>
          <w:right w:val="nil"/>
          <w:between w:val="nil"/>
        </w:pBdr>
        <w:contextualSpacing/>
        <w:rPr>
          <w:rFonts w:ascii="Arial" w:hAnsi="Arial" w:cs="Arial"/>
          <w:color w:val="000000"/>
          <w:sz w:val="20"/>
        </w:rPr>
      </w:pPr>
    </w:p>
    <w:p w14:paraId="72BA5B30" w14:textId="77777777" w:rsidR="001B39D0" w:rsidRPr="002676DE" w:rsidRDefault="001B39D0" w:rsidP="001B39D0">
      <w:pPr>
        <w:pBdr>
          <w:top w:val="nil"/>
          <w:left w:val="nil"/>
          <w:bottom w:val="nil"/>
          <w:right w:val="nil"/>
          <w:between w:val="nil"/>
        </w:pBdr>
        <w:contextualSpacing/>
        <w:rPr>
          <w:rFonts w:ascii="Arial" w:hAnsi="Arial" w:cs="Arial"/>
          <w:color w:val="000000"/>
          <w:sz w:val="20"/>
        </w:rPr>
      </w:pPr>
    </w:p>
    <w:p w14:paraId="72492583" w14:textId="77777777" w:rsidR="001B39D0" w:rsidRPr="002676DE" w:rsidRDefault="001B39D0" w:rsidP="001B39D0">
      <w:pPr>
        <w:keepNext/>
        <w:spacing w:before="240" w:after="60"/>
        <w:outlineLvl w:val="1"/>
        <w:rPr>
          <w:rFonts w:ascii="Arial" w:hAnsi="Arial" w:cs="Arial"/>
          <w:b/>
          <w:bCs/>
          <w:color w:val="000000"/>
          <w:sz w:val="20"/>
          <w:szCs w:val="28"/>
          <w:vertAlign w:val="subscript"/>
          <w:lang w:val="it-IT"/>
        </w:rPr>
      </w:pPr>
      <w:r w:rsidRPr="002676DE">
        <w:rPr>
          <w:rFonts w:ascii="Arial" w:hAnsi="Arial" w:cs="Arial"/>
          <w:b/>
          <w:bCs/>
          <w:color w:val="000000"/>
          <w:sz w:val="20"/>
        </w:rPr>
        <w:t xml:space="preserve">Table </w:t>
      </w:r>
      <w:r w:rsidRPr="002676DE">
        <w:rPr>
          <w:rFonts w:ascii="Arial" w:hAnsi="Arial" w:cs="Arial"/>
          <w:b/>
          <w:bCs/>
          <w:color w:val="000000"/>
          <w:sz w:val="20"/>
          <w:szCs w:val="28"/>
        </w:rPr>
        <w:t>S3</w:t>
      </w:r>
      <w:r w:rsidRPr="002676DE">
        <w:rPr>
          <w:rFonts w:ascii="Arial" w:hAnsi="Arial" w:cs="Arial"/>
          <w:b/>
          <w:bCs/>
          <w:color w:val="000000"/>
          <w:sz w:val="20"/>
        </w:rPr>
        <w:t>. Mean fitted kinetic parameters and maximum fluorescence values (</w:t>
      </w:r>
      <w:r w:rsidRPr="002676DE">
        <w:rPr>
          <w:rFonts w:ascii="Arial" w:hAnsi="Arial" w:cs="Arial"/>
          <w:b/>
          <w:bCs/>
          <w:color w:val="000000"/>
          <w:sz w:val="20"/>
          <w:szCs w:val="28"/>
        </w:rPr>
        <w:t>F</w:t>
      </w:r>
      <w:r w:rsidRPr="002676DE">
        <w:rPr>
          <w:rFonts w:ascii="Arial" w:hAnsi="Arial" w:cs="Arial"/>
          <w:b/>
          <w:bCs/>
          <w:color w:val="000000"/>
          <w:sz w:val="20"/>
          <w:szCs w:val="28"/>
          <w:vertAlign w:val="subscript"/>
        </w:rPr>
        <w:t>max</w:t>
      </w:r>
      <w:r w:rsidRPr="002676DE">
        <w:rPr>
          <w:rFonts w:ascii="Arial" w:hAnsi="Arial" w:cs="Arial"/>
          <w:b/>
          <w:bCs/>
          <w:color w:val="000000"/>
          <w:sz w:val="20"/>
        </w:rPr>
        <w:t>) of the analyzed samples.</w:t>
      </w:r>
      <w:r w:rsidRPr="002676DE">
        <w:rPr>
          <w:rFonts w:ascii="Arial" w:hAnsi="Arial" w:cs="Arial"/>
          <w:color w:val="000000"/>
          <w:sz w:val="20"/>
        </w:rPr>
        <w:t xml:space="preserve"> Fitting was not possible for samples containing 0.3 and 1 mg/mL of HDL. Data are represented as mean ± SEM.</w:t>
      </w:r>
    </w:p>
    <w:tbl>
      <w:tblPr>
        <w:tblW w:w="0" w:type="auto"/>
        <w:tblCellMar>
          <w:left w:w="0" w:type="dxa"/>
          <w:right w:w="0" w:type="dxa"/>
        </w:tblCellMar>
        <w:tblLook w:val="04A0" w:firstRow="1" w:lastRow="0" w:firstColumn="1" w:lastColumn="0" w:noHBand="0" w:noVBand="1"/>
      </w:tblPr>
      <w:tblGrid>
        <w:gridCol w:w="1472"/>
        <w:gridCol w:w="1366"/>
        <w:gridCol w:w="1366"/>
        <w:gridCol w:w="1588"/>
        <w:gridCol w:w="1412"/>
        <w:gridCol w:w="1388"/>
      </w:tblGrid>
      <w:tr w:rsidR="001B39D0" w:rsidRPr="002676DE" w14:paraId="0CD888BD" w14:textId="77777777" w:rsidTr="00794846">
        <w:trPr>
          <w:trHeight w:val="265"/>
        </w:trPr>
        <w:tc>
          <w:tcPr>
            <w:tcW w:w="0" w:type="auto"/>
            <w:vMerge w:val="restar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7B311423"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b/>
                <w:color w:val="000000"/>
                <w:sz w:val="20"/>
                <w:lang w:val="it-IT"/>
              </w:rPr>
            </w:pPr>
            <w:r w:rsidRPr="002676DE">
              <w:rPr>
                <w:rFonts w:ascii="Arial" w:hAnsi="Arial" w:cs="Arial"/>
                <w:b/>
                <w:bCs/>
                <w:color w:val="000000"/>
                <w:sz w:val="20"/>
              </w:rPr>
              <w:t>HDL (mg/mL)</w:t>
            </w:r>
          </w:p>
        </w:tc>
        <w:tc>
          <w:tcPr>
            <w:tcW w:w="0" w:type="auto"/>
            <w:vMerge w:val="restart"/>
            <w:tcBorders>
              <w:top w:val="single" w:sz="8" w:space="0" w:color="000000"/>
              <w:left w:val="nil"/>
              <w:bottom w:val="single" w:sz="8" w:space="0" w:color="000000"/>
              <w:right w:val="nil"/>
            </w:tcBorders>
            <w:shd w:val="clear" w:color="auto" w:fill="auto"/>
            <w:tcMar>
              <w:top w:w="15" w:type="dxa"/>
              <w:left w:w="108" w:type="dxa"/>
              <w:bottom w:w="0" w:type="dxa"/>
              <w:right w:w="108" w:type="dxa"/>
            </w:tcMar>
            <w:vAlign w:val="center"/>
            <w:hideMark/>
          </w:tcPr>
          <w:p w14:paraId="24DE852B"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b/>
                <w:color w:val="000000"/>
                <w:sz w:val="20"/>
                <w:vertAlign w:val="subscript"/>
                <w:lang w:val="it-IT"/>
              </w:rPr>
            </w:pPr>
            <w:proofErr w:type="spellStart"/>
            <w:r w:rsidRPr="002676DE">
              <w:rPr>
                <w:rFonts w:ascii="Arial" w:hAnsi="Arial" w:cs="Arial"/>
                <w:b/>
                <w:bCs/>
                <w:color w:val="000000"/>
                <w:sz w:val="20"/>
                <w:lang w:val="it-IT"/>
              </w:rPr>
              <w:t>F</w:t>
            </w:r>
            <w:r w:rsidRPr="002676DE">
              <w:rPr>
                <w:rFonts w:ascii="Arial" w:hAnsi="Arial" w:cs="Arial"/>
                <w:b/>
                <w:bCs/>
                <w:color w:val="000000"/>
                <w:sz w:val="20"/>
                <w:vertAlign w:val="subscript"/>
                <w:lang w:val="it-IT"/>
              </w:rPr>
              <w:t>max</w:t>
            </w:r>
            <w:proofErr w:type="spellEnd"/>
          </w:p>
          <w:p w14:paraId="07A77F3E"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b/>
                <w:color w:val="000000"/>
                <w:sz w:val="20"/>
                <w:lang w:val="it-IT"/>
              </w:rPr>
            </w:pPr>
            <w:r w:rsidRPr="002676DE">
              <w:rPr>
                <w:rFonts w:ascii="Arial" w:hAnsi="Arial" w:cs="Arial"/>
                <w:b/>
                <w:color w:val="000000"/>
                <w:sz w:val="20"/>
                <w:lang w:val="it-IT"/>
              </w:rPr>
              <w:t>(a.u.)</w:t>
            </w:r>
          </w:p>
        </w:tc>
        <w:tc>
          <w:tcPr>
            <w:tcW w:w="0" w:type="auto"/>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3FC91EFA"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b/>
                <w:color w:val="000000"/>
                <w:sz w:val="20"/>
                <w:lang w:val="it-IT"/>
              </w:rPr>
            </w:pPr>
            <w:r w:rsidRPr="002676DE">
              <w:rPr>
                <w:rFonts w:ascii="Arial" w:hAnsi="Arial" w:cs="Arial"/>
                <w:b/>
                <w:bCs/>
                <w:color w:val="000000"/>
                <w:sz w:val="20"/>
              </w:rPr>
              <w:t>2</w:t>
            </w:r>
            <w:r w:rsidRPr="002676DE">
              <w:rPr>
                <w:rFonts w:ascii="Arial" w:hAnsi="Arial" w:cs="Arial"/>
                <w:b/>
                <w:bCs/>
                <w:color w:val="000000"/>
                <w:sz w:val="20"/>
                <w:vertAlign w:val="superscript"/>
              </w:rPr>
              <w:t>nd</w:t>
            </w:r>
            <w:r w:rsidRPr="002676DE">
              <w:rPr>
                <w:rFonts w:ascii="Arial" w:hAnsi="Arial" w:cs="Arial"/>
                <w:b/>
                <w:bCs/>
                <w:color w:val="000000"/>
                <w:sz w:val="20"/>
              </w:rPr>
              <w:t xml:space="preserve"> plateau</w:t>
            </w:r>
          </w:p>
        </w:tc>
        <w:tc>
          <w:tcPr>
            <w:tcW w:w="0" w:type="auto"/>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21B6322A"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b/>
                <w:color w:val="000000"/>
                <w:sz w:val="20"/>
                <w:lang w:val="it-IT"/>
              </w:rPr>
            </w:pPr>
            <w:r w:rsidRPr="002676DE">
              <w:rPr>
                <w:rFonts w:ascii="Arial" w:hAnsi="Arial" w:cs="Arial"/>
                <w:b/>
                <w:bCs/>
                <w:color w:val="000000"/>
                <w:sz w:val="20"/>
              </w:rPr>
              <w:t>1</w:t>
            </w:r>
            <w:r w:rsidRPr="002676DE">
              <w:rPr>
                <w:rFonts w:ascii="Arial" w:hAnsi="Arial" w:cs="Arial"/>
                <w:b/>
                <w:bCs/>
                <w:color w:val="000000"/>
                <w:sz w:val="20"/>
                <w:vertAlign w:val="superscript"/>
              </w:rPr>
              <w:t>st</w:t>
            </w:r>
            <w:r w:rsidRPr="002676DE">
              <w:rPr>
                <w:rFonts w:ascii="Arial" w:hAnsi="Arial" w:cs="Arial"/>
                <w:b/>
                <w:bCs/>
                <w:color w:val="000000"/>
                <w:sz w:val="20"/>
              </w:rPr>
              <w:t xml:space="preserve"> plateau</w:t>
            </w:r>
          </w:p>
        </w:tc>
        <w:tc>
          <w:tcPr>
            <w:tcW w:w="0" w:type="auto"/>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65AF4AD3"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b/>
                <w:color w:val="000000"/>
                <w:sz w:val="20"/>
                <w:lang w:val="it-IT"/>
              </w:rPr>
            </w:pPr>
            <w:r w:rsidRPr="002676DE">
              <w:rPr>
                <w:rFonts w:ascii="Arial" w:hAnsi="Arial" w:cs="Arial"/>
                <w:b/>
                <w:bCs/>
                <w:color w:val="000000"/>
                <w:sz w:val="20"/>
              </w:rPr>
              <w:t>2</w:t>
            </w:r>
            <w:r w:rsidRPr="002676DE">
              <w:rPr>
                <w:rFonts w:ascii="Arial" w:hAnsi="Arial" w:cs="Arial"/>
                <w:b/>
                <w:bCs/>
                <w:color w:val="000000"/>
                <w:sz w:val="20"/>
                <w:vertAlign w:val="superscript"/>
              </w:rPr>
              <w:t xml:space="preserve">nd </w:t>
            </w:r>
            <w:r w:rsidRPr="002676DE">
              <w:rPr>
                <w:rFonts w:ascii="Arial" w:hAnsi="Arial" w:cs="Arial"/>
                <w:b/>
                <w:bCs/>
                <w:color w:val="000000"/>
                <w:sz w:val="20"/>
              </w:rPr>
              <w:t>inflection</w:t>
            </w:r>
          </w:p>
        </w:tc>
        <w:tc>
          <w:tcPr>
            <w:tcW w:w="0" w:type="auto"/>
            <w:tcBorders>
              <w:top w:val="single" w:sz="8" w:space="0" w:color="000000"/>
              <w:left w:val="nil"/>
              <w:bottom w:val="nil"/>
              <w:right w:val="nil"/>
            </w:tcBorders>
            <w:shd w:val="clear" w:color="auto" w:fill="auto"/>
            <w:tcMar>
              <w:top w:w="15" w:type="dxa"/>
              <w:left w:w="108" w:type="dxa"/>
              <w:bottom w:w="0" w:type="dxa"/>
              <w:right w:w="108" w:type="dxa"/>
            </w:tcMar>
            <w:vAlign w:val="center"/>
            <w:hideMark/>
          </w:tcPr>
          <w:p w14:paraId="10D66B21"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b/>
                <w:color w:val="000000"/>
                <w:sz w:val="20"/>
                <w:lang w:val="it-IT"/>
              </w:rPr>
            </w:pPr>
            <w:r w:rsidRPr="002676DE">
              <w:rPr>
                <w:rFonts w:ascii="Arial" w:hAnsi="Arial" w:cs="Arial"/>
                <w:b/>
                <w:bCs/>
                <w:color w:val="000000"/>
                <w:sz w:val="20"/>
              </w:rPr>
              <w:t>1</w:t>
            </w:r>
            <w:r w:rsidRPr="002676DE">
              <w:rPr>
                <w:rFonts w:ascii="Arial" w:hAnsi="Arial" w:cs="Arial"/>
                <w:b/>
                <w:bCs/>
                <w:color w:val="000000"/>
                <w:sz w:val="20"/>
                <w:vertAlign w:val="superscript"/>
              </w:rPr>
              <w:t>st</w:t>
            </w:r>
            <w:r w:rsidRPr="002676DE">
              <w:rPr>
                <w:rFonts w:ascii="Arial" w:hAnsi="Arial" w:cs="Arial"/>
                <w:b/>
                <w:bCs/>
                <w:color w:val="000000"/>
                <w:sz w:val="20"/>
              </w:rPr>
              <w:t xml:space="preserve"> inflection</w:t>
            </w:r>
          </w:p>
        </w:tc>
      </w:tr>
      <w:tr w:rsidR="001B39D0" w:rsidRPr="002676DE" w14:paraId="3CDD94FD" w14:textId="77777777" w:rsidTr="00794846">
        <w:trPr>
          <w:trHeight w:val="242"/>
        </w:trPr>
        <w:tc>
          <w:tcPr>
            <w:tcW w:w="0" w:type="auto"/>
            <w:vMerge/>
            <w:tcBorders>
              <w:top w:val="single" w:sz="8" w:space="0" w:color="000000"/>
              <w:left w:val="nil"/>
              <w:bottom w:val="single" w:sz="8" w:space="0" w:color="000000"/>
              <w:right w:val="nil"/>
            </w:tcBorders>
            <w:vAlign w:val="center"/>
            <w:hideMark/>
          </w:tcPr>
          <w:p w14:paraId="6A027387"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b/>
                <w:color w:val="000000"/>
                <w:sz w:val="20"/>
                <w:lang w:val="it-IT"/>
              </w:rPr>
            </w:pPr>
          </w:p>
        </w:tc>
        <w:tc>
          <w:tcPr>
            <w:tcW w:w="0" w:type="auto"/>
            <w:vMerge/>
            <w:tcBorders>
              <w:top w:val="single" w:sz="8" w:space="0" w:color="000000"/>
              <w:left w:val="nil"/>
              <w:bottom w:val="single" w:sz="8" w:space="0" w:color="000000"/>
              <w:right w:val="nil"/>
            </w:tcBorders>
            <w:vAlign w:val="center"/>
            <w:hideMark/>
          </w:tcPr>
          <w:p w14:paraId="7B16FD12"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b/>
                <w:color w:val="000000"/>
                <w:sz w:val="20"/>
                <w:lang w:val="it-IT"/>
              </w:rPr>
            </w:pPr>
          </w:p>
        </w:tc>
        <w:tc>
          <w:tcPr>
            <w:tcW w:w="0" w:type="auto"/>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3BF7A57C"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b/>
                <w:color w:val="000000"/>
                <w:sz w:val="20"/>
                <w:lang w:val="it-IT"/>
              </w:rPr>
            </w:pPr>
            <w:r w:rsidRPr="002676DE">
              <w:rPr>
                <w:rFonts w:ascii="Arial" w:hAnsi="Arial" w:cs="Arial"/>
                <w:b/>
                <w:color w:val="000000"/>
                <w:sz w:val="20"/>
              </w:rPr>
              <w:t>A2 (a.u.)</w:t>
            </w:r>
          </w:p>
        </w:tc>
        <w:tc>
          <w:tcPr>
            <w:tcW w:w="0" w:type="auto"/>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269448F6"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b/>
                <w:color w:val="000000"/>
                <w:sz w:val="20"/>
                <w:lang w:val="it-IT"/>
              </w:rPr>
            </w:pPr>
            <w:r w:rsidRPr="002676DE">
              <w:rPr>
                <w:rFonts w:ascii="Arial" w:hAnsi="Arial" w:cs="Arial"/>
                <w:b/>
                <w:color w:val="000000"/>
                <w:sz w:val="20"/>
              </w:rPr>
              <w:t>A1 (a.u.)</w:t>
            </w:r>
          </w:p>
        </w:tc>
        <w:tc>
          <w:tcPr>
            <w:tcW w:w="0" w:type="auto"/>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21BFC0B6"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b/>
                <w:color w:val="000000"/>
                <w:sz w:val="20"/>
                <w:lang w:val="it-IT"/>
              </w:rPr>
            </w:pPr>
            <w:r w:rsidRPr="002676DE">
              <w:rPr>
                <w:rFonts w:ascii="Arial" w:hAnsi="Arial" w:cs="Arial"/>
                <w:b/>
                <w:color w:val="000000"/>
                <w:sz w:val="20"/>
              </w:rPr>
              <w:t>t2 (h)</w:t>
            </w:r>
          </w:p>
        </w:tc>
        <w:tc>
          <w:tcPr>
            <w:tcW w:w="0" w:type="auto"/>
            <w:tcBorders>
              <w:top w:val="nil"/>
              <w:left w:val="nil"/>
              <w:bottom w:val="single" w:sz="8" w:space="0" w:color="000000"/>
              <w:right w:val="nil"/>
            </w:tcBorders>
            <w:shd w:val="clear" w:color="auto" w:fill="auto"/>
            <w:tcMar>
              <w:top w:w="15" w:type="dxa"/>
              <w:left w:w="108" w:type="dxa"/>
              <w:bottom w:w="0" w:type="dxa"/>
              <w:right w:w="108" w:type="dxa"/>
            </w:tcMar>
            <w:vAlign w:val="center"/>
            <w:hideMark/>
          </w:tcPr>
          <w:p w14:paraId="5450DA8F"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b/>
                <w:color w:val="000000"/>
                <w:sz w:val="20"/>
                <w:lang w:val="it-IT"/>
              </w:rPr>
            </w:pPr>
            <w:r w:rsidRPr="002676DE">
              <w:rPr>
                <w:rFonts w:ascii="Arial" w:hAnsi="Arial" w:cs="Arial"/>
                <w:b/>
                <w:color w:val="000000"/>
                <w:sz w:val="20"/>
              </w:rPr>
              <w:t>t1 (h)</w:t>
            </w:r>
          </w:p>
        </w:tc>
      </w:tr>
      <w:tr w:rsidR="001B39D0" w:rsidRPr="002676DE" w14:paraId="5EEAB410" w14:textId="77777777" w:rsidTr="00794846">
        <w:trPr>
          <w:trHeight w:val="441"/>
        </w:trPr>
        <w:tc>
          <w:tcPr>
            <w:tcW w:w="0" w:type="auto"/>
            <w:tcBorders>
              <w:top w:val="single" w:sz="8" w:space="0" w:color="000000"/>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1BA97D1D"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 xml:space="preserve"> 0</w:t>
            </w:r>
          </w:p>
        </w:tc>
        <w:tc>
          <w:tcPr>
            <w:tcW w:w="0" w:type="auto"/>
            <w:tcBorders>
              <w:top w:val="single" w:sz="8" w:space="0" w:color="000000"/>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503174C9"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(31 ± 6) ∙ 10</w:t>
            </w:r>
            <w:r w:rsidRPr="002676DE">
              <w:rPr>
                <w:rFonts w:ascii="Arial" w:hAnsi="Arial" w:cs="Arial"/>
                <w:color w:val="000000"/>
                <w:sz w:val="20"/>
                <w:vertAlign w:val="superscript"/>
              </w:rPr>
              <w:t>3</w:t>
            </w:r>
          </w:p>
        </w:tc>
        <w:tc>
          <w:tcPr>
            <w:tcW w:w="0" w:type="auto"/>
            <w:tcBorders>
              <w:top w:val="single" w:sz="8" w:space="0" w:color="000000"/>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145A2627"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(27 ± 5) ∙ 10</w:t>
            </w:r>
            <w:r w:rsidRPr="002676DE">
              <w:rPr>
                <w:rFonts w:ascii="Arial" w:hAnsi="Arial" w:cs="Arial"/>
                <w:color w:val="000000"/>
                <w:sz w:val="20"/>
                <w:vertAlign w:val="superscript"/>
              </w:rPr>
              <w:t>3</w:t>
            </w:r>
          </w:p>
        </w:tc>
        <w:tc>
          <w:tcPr>
            <w:tcW w:w="0" w:type="auto"/>
            <w:tcBorders>
              <w:top w:val="single" w:sz="8" w:space="0" w:color="000000"/>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6176658E"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(12 ± 1.2) ∙ 10</w:t>
            </w:r>
            <w:r w:rsidRPr="002676DE">
              <w:rPr>
                <w:rFonts w:ascii="Arial" w:hAnsi="Arial" w:cs="Arial"/>
                <w:color w:val="000000"/>
                <w:sz w:val="20"/>
                <w:vertAlign w:val="superscript"/>
              </w:rPr>
              <w:t>2</w:t>
            </w:r>
          </w:p>
        </w:tc>
        <w:tc>
          <w:tcPr>
            <w:tcW w:w="0" w:type="auto"/>
            <w:tcBorders>
              <w:top w:val="single" w:sz="8" w:space="0" w:color="000000"/>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1622EC0E"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120 ± 11</w:t>
            </w:r>
          </w:p>
        </w:tc>
        <w:tc>
          <w:tcPr>
            <w:tcW w:w="0" w:type="auto"/>
            <w:tcBorders>
              <w:top w:val="single" w:sz="8" w:space="0" w:color="000000"/>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54C6850A"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39.1 ± 0.3</w:t>
            </w:r>
          </w:p>
        </w:tc>
      </w:tr>
      <w:tr w:rsidR="001B39D0" w:rsidRPr="002676DE" w14:paraId="39C2CDDC" w14:textId="77777777" w:rsidTr="00794846">
        <w:trPr>
          <w:trHeight w:val="441"/>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6D0AA513"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0.003</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4C6BACE2"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(27 ± 4) ∙ 10</w:t>
            </w:r>
            <w:r w:rsidRPr="002676DE">
              <w:rPr>
                <w:rFonts w:ascii="Arial" w:hAnsi="Arial" w:cs="Arial"/>
                <w:color w:val="000000"/>
                <w:sz w:val="20"/>
                <w:vertAlign w:val="superscript"/>
              </w:rPr>
              <w:t>3</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59D431FE"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(22 ± 4) ∙ 10</w:t>
            </w:r>
            <w:r w:rsidRPr="002676DE">
              <w:rPr>
                <w:rFonts w:ascii="Arial" w:hAnsi="Arial" w:cs="Arial"/>
                <w:color w:val="000000"/>
                <w:sz w:val="20"/>
                <w:vertAlign w:val="superscript"/>
              </w:rPr>
              <w:t>3</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3C8EB996"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(9.4 ± 1.7) ∙ 10</w:t>
            </w:r>
            <w:r w:rsidRPr="002676DE">
              <w:rPr>
                <w:rFonts w:ascii="Arial" w:hAnsi="Arial" w:cs="Arial"/>
                <w:color w:val="000000"/>
                <w:sz w:val="20"/>
                <w:vertAlign w:val="superscript"/>
              </w:rPr>
              <w:t>2</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4A7280F0"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135 ± 9</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25C9620A"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29.6 ± 1.3</w:t>
            </w:r>
          </w:p>
        </w:tc>
      </w:tr>
      <w:tr w:rsidR="001B39D0" w:rsidRPr="002676DE" w14:paraId="256F54F5" w14:textId="77777777" w:rsidTr="00794846">
        <w:trPr>
          <w:trHeight w:val="441"/>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01603B8E"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 xml:space="preserve">0.03 </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63D966C3"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(35 ± 3) ∙ 10</w:t>
            </w:r>
            <w:r w:rsidRPr="002676DE">
              <w:rPr>
                <w:rFonts w:ascii="Arial" w:hAnsi="Arial" w:cs="Arial"/>
                <w:color w:val="000000"/>
                <w:sz w:val="20"/>
                <w:vertAlign w:val="superscript"/>
              </w:rPr>
              <w:t>3</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26483F2E"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(28 ± 2) ∙ 10</w:t>
            </w:r>
            <w:r w:rsidRPr="002676DE">
              <w:rPr>
                <w:rFonts w:ascii="Arial" w:hAnsi="Arial" w:cs="Arial"/>
                <w:color w:val="000000"/>
                <w:sz w:val="20"/>
                <w:vertAlign w:val="superscript"/>
              </w:rPr>
              <w:t>3</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3CAC7BB6"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(3.3 ± 0.7) ∙ 10</w:t>
            </w:r>
            <w:r w:rsidRPr="002676DE">
              <w:rPr>
                <w:rFonts w:ascii="Arial" w:hAnsi="Arial" w:cs="Arial"/>
                <w:color w:val="000000"/>
                <w:sz w:val="20"/>
                <w:vertAlign w:val="superscript"/>
              </w:rPr>
              <w:t>2</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4012D134"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139 ± 7</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2CF09ACC"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30.2 ± 0.3</w:t>
            </w:r>
          </w:p>
        </w:tc>
      </w:tr>
      <w:tr w:rsidR="001B39D0" w:rsidRPr="002676DE" w14:paraId="7F37D0A3" w14:textId="77777777" w:rsidTr="00794846">
        <w:trPr>
          <w:trHeight w:val="309"/>
        </w:trPr>
        <w:tc>
          <w:tcPr>
            <w:tcW w:w="0" w:type="auto"/>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3B1B1478"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0.3</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18ED14CA"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(50 ± 2) ∙ 10</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5A435103"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n.d.</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6387D2CE"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n.d.</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6CAF0632"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&gt; 215</w:t>
            </w:r>
          </w:p>
        </w:tc>
        <w:tc>
          <w:tcPr>
            <w:tcW w:w="0" w:type="auto"/>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14:paraId="118D9272"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&gt; 215</w:t>
            </w:r>
          </w:p>
        </w:tc>
      </w:tr>
      <w:tr w:rsidR="001B39D0" w:rsidRPr="002676DE" w14:paraId="2DC2926B" w14:textId="77777777" w:rsidTr="00794846">
        <w:trPr>
          <w:trHeight w:val="309"/>
        </w:trPr>
        <w:tc>
          <w:tcPr>
            <w:tcW w:w="0" w:type="auto"/>
            <w:tcBorders>
              <w:top w:val="single" w:sz="8" w:space="0" w:color="FFFFFF"/>
              <w:left w:val="single" w:sz="8" w:space="0" w:color="FFFFFF"/>
              <w:bottom w:val="single" w:sz="8" w:space="0" w:color="000000"/>
              <w:right w:val="single" w:sz="8" w:space="0" w:color="FFFFFF"/>
            </w:tcBorders>
            <w:shd w:val="clear" w:color="auto" w:fill="auto"/>
            <w:tcMar>
              <w:top w:w="15" w:type="dxa"/>
              <w:left w:w="108" w:type="dxa"/>
              <w:bottom w:w="0" w:type="dxa"/>
              <w:right w:w="108" w:type="dxa"/>
            </w:tcMar>
            <w:vAlign w:val="center"/>
            <w:hideMark/>
          </w:tcPr>
          <w:p w14:paraId="1B4C0A62"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1</w:t>
            </w:r>
          </w:p>
        </w:tc>
        <w:tc>
          <w:tcPr>
            <w:tcW w:w="0" w:type="auto"/>
            <w:tcBorders>
              <w:top w:val="single" w:sz="8" w:space="0" w:color="FFFFFF"/>
              <w:left w:val="single" w:sz="8" w:space="0" w:color="FFFFFF"/>
              <w:bottom w:val="single" w:sz="8" w:space="0" w:color="000000"/>
              <w:right w:val="single" w:sz="8" w:space="0" w:color="FFFFFF"/>
            </w:tcBorders>
            <w:shd w:val="clear" w:color="auto" w:fill="auto"/>
            <w:tcMar>
              <w:top w:w="15" w:type="dxa"/>
              <w:left w:w="108" w:type="dxa"/>
              <w:bottom w:w="0" w:type="dxa"/>
              <w:right w:w="108" w:type="dxa"/>
            </w:tcMar>
            <w:vAlign w:val="center"/>
            <w:hideMark/>
          </w:tcPr>
          <w:p w14:paraId="4F370D2B"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(49 ± 3) ∙ 10</w:t>
            </w:r>
          </w:p>
        </w:tc>
        <w:tc>
          <w:tcPr>
            <w:tcW w:w="0" w:type="auto"/>
            <w:tcBorders>
              <w:top w:val="single" w:sz="8" w:space="0" w:color="FFFFFF"/>
              <w:left w:val="single" w:sz="8" w:space="0" w:color="FFFFFF"/>
              <w:bottom w:val="single" w:sz="8" w:space="0" w:color="000000"/>
              <w:right w:val="single" w:sz="8" w:space="0" w:color="FFFFFF"/>
            </w:tcBorders>
            <w:shd w:val="clear" w:color="auto" w:fill="auto"/>
            <w:tcMar>
              <w:top w:w="15" w:type="dxa"/>
              <w:left w:w="108" w:type="dxa"/>
              <w:bottom w:w="0" w:type="dxa"/>
              <w:right w:w="108" w:type="dxa"/>
            </w:tcMar>
            <w:vAlign w:val="center"/>
            <w:hideMark/>
          </w:tcPr>
          <w:p w14:paraId="0E0113F9"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n.d.</w:t>
            </w:r>
          </w:p>
        </w:tc>
        <w:tc>
          <w:tcPr>
            <w:tcW w:w="0" w:type="auto"/>
            <w:tcBorders>
              <w:top w:val="single" w:sz="8" w:space="0" w:color="FFFFFF"/>
              <w:left w:val="single" w:sz="8" w:space="0" w:color="FFFFFF"/>
              <w:bottom w:val="single" w:sz="8" w:space="0" w:color="000000"/>
              <w:right w:val="single" w:sz="8" w:space="0" w:color="FFFFFF"/>
            </w:tcBorders>
            <w:shd w:val="clear" w:color="auto" w:fill="auto"/>
            <w:tcMar>
              <w:top w:w="15" w:type="dxa"/>
              <w:left w:w="108" w:type="dxa"/>
              <w:bottom w:w="0" w:type="dxa"/>
              <w:right w:w="108" w:type="dxa"/>
            </w:tcMar>
            <w:vAlign w:val="center"/>
            <w:hideMark/>
          </w:tcPr>
          <w:p w14:paraId="5A67F9C4"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n.d.</w:t>
            </w:r>
          </w:p>
        </w:tc>
        <w:tc>
          <w:tcPr>
            <w:tcW w:w="0" w:type="auto"/>
            <w:tcBorders>
              <w:top w:val="single" w:sz="8" w:space="0" w:color="FFFFFF"/>
              <w:left w:val="single" w:sz="8" w:space="0" w:color="FFFFFF"/>
              <w:bottom w:val="single" w:sz="8" w:space="0" w:color="000000"/>
              <w:right w:val="single" w:sz="8" w:space="0" w:color="FFFFFF"/>
            </w:tcBorders>
            <w:shd w:val="clear" w:color="auto" w:fill="auto"/>
            <w:tcMar>
              <w:top w:w="15" w:type="dxa"/>
              <w:left w:w="108" w:type="dxa"/>
              <w:bottom w:w="0" w:type="dxa"/>
              <w:right w:w="108" w:type="dxa"/>
            </w:tcMar>
            <w:vAlign w:val="center"/>
            <w:hideMark/>
          </w:tcPr>
          <w:p w14:paraId="61E5CAE3"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&gt; 215</w:t>
            </w:r>
          </w:p>
        </w:tc>
        <w:tc>
          <w:tcPr>
            <w:tcW w:w="0" w:type="auto"/>
            <w:tcBorders>
              <w:top w:val="single" w:sz="8" w:space="0" w:color="FFFFFF"/>
              <w:left w:val="single" w:sz="8" w:space="0" w:color="FFFFFF"/>
              <w:bottom w:val="single" w:sz="8" w:space="0" w:color="000000"/>
              <w:right w:val="single" w:sz="8" w:space="0" w:color="FFFFFF"/>
            </w:tcBorders>
            <w:shd w:val="clear" w:color="auto" w:fill="auto"/>
            <w:tcMar>
              <w:top w:w="15" w:type="dxa"/>
              <w:left w:w="108" w:type="dxa"/>
              <w:bottom w:w="0" w:type="dxa"/>
              <w:right w:w="108" w:type="dxa"/>
            </w:tcMar>
            <w:vAlign w:val="center"/>
            <w:hideMark/>
          </w:tcPr>
          <w:p w14:paraId="47A55BE1"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lang w:val="it-IT"/>
              </w:rPr>
            </w:pPr>
            <w:r w:rsidRPr="002676DE">
              <w:rPr>
                <w:rFonts w:ascii="Arial" w:hAnsi="Arial" w:cs="Arial"/>
                <w:color w:val="000000"/>
                <w:sz w:val="20"/>
              </w:rPr>
              <w:t>&gt; 215</w:t>
            </w:r>
          </w:p>
        </w:tc>
      </w:tr>
    </w:tbl>
    <w:p w14:paraId="1C77D7E2" w14:textId="77777777" w:rsidR="001B39D0" w:rsidRPr="002676DE" w:rsidRDefault="001B39D0" w:rsidP="001B39D0">
      <w:pPr>
        <w:keepNext/>
        <w:pBdr>
          <w:top w:val="nil"/>
          <w:left w:val="nil"/>
          <w:bottom w:val="nil"/>
          <w:right w:val="nil"/>
          <w:between w:val="nil"/>
        </w:pBdr>
        <w:spacing w:before="240" w:after="60"/>
        <w:contextualSpacing/>
        <w:rPr>
          <w:rFonts w:ascii="Arial" w:hAnsi="Arial" w:cs="Arial"/>
          <w:color w:val="000000"/>
          <w:sz w:val="20"/>
        </w:rPr>
      </w:pPr>
    </w:p>
    <w:p w14:paraId="3CA1B7BE" w14:textId="77777777" w:rsidR="001B39D0" w:rsidRPr="002676DE" w:rsidRDefault="001B39D0" w:rsidP="001B39D0">
      <w:pPr>
        <w:rPr>
          <w:rFonts w:ascii="Arial" w:hAnsi="Arial" w:cs="Arial"/>
          <w:color w:val="000000"/>
          <w:szCs w:val="24"/>
        </w:rPr>
      </w:pPr>
      <w:r w:rsidRPr="002676DE">
        <w:rPr>
          <w:rFonts w:ascii="Arial" w:hAnsi="Arial" w:cs="Arial"/>
          <w:color w:val="000000"/>
          <w:sz w:val="20"/>
        </w:rPr>
        <w:br w:type="page"/>
      </w:r>
      <w:r w:rsidRPr="002676DE">
        <w:rPr>
          <w:rFonts w:ascii="Arial" w:hAnsi="Arial" w:cs="Arial"/>
          <w:b/>
          <w:szCs w:val="24"/>
        </w:rPr>
        <w:lastRenderedPageBreak/>
        <w:t>SI References</w:t>
      </w:r>
    </w:p>
    <w:p w14:paraId="2312C82C" w14:textId="77777777" w:rsidR="001B39D0" w:rsidRPr="002676DE" w:rsidRDefault="001B39D0" w:rsidP="001B39D0">
      <w:pPr>
        <w:rPr>
          <w:rFonts w:ascii="Arial" w:hAnsi="Arial" w:cs="Arial"/>
          <w:b/>
          <w:sz w:val="20"/>
        </w:rPr>
      </w:pPr>
    </w:p>
    <w:p w14:paraId="16D30387" w14:textId="77777777" w:rsidR="008D3877" w:rsidRPr="008D3877" w:rsidRDefault="001B39D0" w:rsidP="008D3877">
      <w:pPr>
        <w:pStyle w:val="Bibliografia"/>
        <w:rPr>
          <w:rFonts w:ascii="Arial" w:hAnsi="Arial" w:cs="Arial"/>
          <w:sz w:val="20"/>
        </w:rPr>
      </w:pPr>
      <w:r w:rsidRPr="002676DE">
        <w:rPr>
          <w:rFonts w:ascii="Arial" w:hAnsi="Arial" w:cs="Arial"/>
          <w:b/>
          <w:sz w:val="20"/>
        </w:rPr>
        <w:fldChar w:fldCharType="begin"/>
      </w:r>
      <w:r w:rsidR="008D3877">
        <w:rPr>
          <w:rFonts w:ascii="Arial" w:hAnsi="Arial" w:cs="Arial"/>
          <w:b/>
          <w:sz w:val="20"/>
        </w:rPr>
        <w:instrText xml:space="preserve"> ADDIN ZOTERO_BIBL {"uncited":[],"omitted":[],"custom":[]} CSL_BIBLIOGRAPHY </w:instrText>
      </w:r>
      <w:r w:rsidRPr="002676DE">
        <w:rPr>
          <w:rFonts w:ascii="Arial" w:hAnsi="Arial" w:cs="Arial"/>
          <w:b/>
          <w:sz w:val="20"/>
        </w:rPr>
        <w:fldChar w:fldCharType="separate"/>
      </w:r>
      <w:r w:rsidR="008D3877" w:rsidRPr="008D3877">
        <w:rPr>
          <w:rFonts w:ascii="Arial" w:hAnsi="Arial" w:cs="Arial"/>
          <w:sz w:val="20"/>
        </w:rPr>
        <w:t xml:space="preserve">1. </w:t>
      </w:r>
      <w:r w:rsidR="008D3877" w:rsidRPr="008D3877">
        <w:rPr>
          <w:rFonts w:ascii="Arial" w:hAnsi="Arial" w:cs="Arial"/>
          <w:sz w:val="20"/>
        </w:rPr>
        <w:tab/>
        <w:t xml:space="preserve">J. G. Cunniffe, S. Whitby-Strevens, M. H. Wilcox, Effect of pH changes in cerebrospinal fluid specimens on bacterial survival and antigen test results. </w:t>
      </w:r>
      <w:r w:rsidR="008D3877" w:rsidRPr="008D3877">
        <w:rPr>
          <w:rFonts w:ascii="Arial" w:hAnsi="Arial" w:cs="Arial"/>
          <w:i/>
          <w:iCs/>
          <w:sz w:val="20"/>
        </w:rPr>
        <w:t>J Clin Pathol</w:t>
      </w:r>
      <w:r w:rsidR="008D3877" w:rsidRPr="008D3877">
        <w:rPr>
          <w:rFonts w:ascii="Arial" w:hAnsi="Arial" w:cs="Arial"/>
          <w:sz w:val="20"/>
        </w:rPr>
        <w:t xml:space="preserve"> </w:t>
      </w:r>
      <w:r w:rsidR="008D3877" w:rsidRPr="008D3877">
        <w:rPr>
          <w:rFonts w:ascii="Arial" w:hAnsi="Arial" w:cs="Arial"/>
          <w:b/>
          <w:bCs/>
          <w:sz w:val="20"/>
        </w:rPr>
        <w:t>49</w:t>
      </w:r>
      <w:r w:rsidR="008D3877" w:rsidRPr="008D3877">
        <w:rPr>
          <w:rFonts w:ascii="Arial" w:hAnsi="Arial" w:cs="Arial"/>
          <w:sz w:val="20"/>
        </w:rPr>
        <w:t>, 249–253 (1996).</w:t>
      </w:r>
    </w:p>
    <w:p w14:paraId="383B1C86" w14:textId="77777777" w:rsidR="008D3877" w:rsidRPr="008D3877" w:rsidRDefault="008D3877" w:rsidP="008D3877">
      <w:pPr>
        <w:pStyle w:val="Bibliografia"/>
        <w:rPr>
          <w:rFonts w:ascii="Arial" w:hAnsi="Arial" w:cs="Arial"/>
          <w:sz w:val="20"/>
        </w:rPr>
      </w:pPr>
      <w:r w:rsidRPr="008D3877">
        <w:rPr>
          <w:rFonts w:ascii="Arial" w:hAnsi="Arial" w:cs="Arial"/>
          <w:sz w:val="20"/>
        </w:rPr>
        <w:t xml:space="preserve">2. </w:t>
      </w:r>
      <w:r w:rsidRPr="008D3877">
        <w:rPr>
          <w:rFonts w:ascii="Arial" w:hAnsi="Arial" w:cs="Arial"/>
          <w:sz w:val="20"/>
        </w:rPr>
        <w:tab/>
        <w:t xml:space="preserve">A. Fura, T. W. Harper, H. Zhang, L. Fung, W. C. Shyu, Shift in pH of biological fluids during storage and processing: effect on bioanalysis. </w:t>
      </w:r>
      <w:r w:rsidRPr="008D3877">
        <w:rPr>
          <w:rFonts w:ascii="Arial" w:hAnsi="Arial" w:cs="Arial"/>
          <w:i/>
          <w:iCs/>
          <w:sz w:val="20"/>
        </w:rPr>
        <w:t>Journal of Pharmaceutical and Biomedical Analysis</w:t>
      </w:r>
      <w:r w:rsidRPr="008D3877">
        <w:rPr>
          <w:rFonts w:ascii="Arial" w:hAnsi="Arial" w:cs="Arial"/>
          <w:sz w:val="20"/>
        </w:rPr>
        <w:t xml:space="preserve"> </w:t>
      </w:r>
      <w:r w:rsidRPr="008D3877">
        <w:rPr>
          <w:rFonts w:ascii="Arial" w:hAnsi="Arial" w:cs="Arial"/>
          <w:b/>
          <w:bCs/>
          <w:sz w:val="20"/>
        </w:rPr>
        <w:t>32</w:t>
      </w:r>
      <w:r w:rsidRPr="008D3877">
        <w:rPr>
          <w:rFonts w:ascii="Arial" w:hAnsi="Arial" w:cs="Arial"/>
          <w:sz w:val="20"/>
        </w:rPr>
        <w:t>, 513–522 (2003).</w:t>
      </w:r>
    </w:p>
    <w:p w14:paraId="4EC20949" w14:textId="77777777" w:rsidR="008D3877" w:rsidRPr="008D3877" w:rsidRDefault="008D3877" w:rsidP="008D3877">
      <w:pPr>
        <w:pStyle w:val="Bibliografia"/>
        <w:rPr>
          <w:rFonts w:ascii="Arial" w:hAnsi="Arial" w:cs="Arial"/>
          <w:sz w:val="20"/>
        </w:rPr>
      </w:pPr>
      <w:r w:rsidRPr="008D3877">
        <w:rPr>
          <w:rFonts w:ascii="Arial" w:hAnsi="Arial" w:cs="Arial"/>
          <w:sz w:val="20"/>
        </w:rPr>
        <w:t xml:space="preserve">3. </w:t>
      </w:r>
      <w:r w:rsidRPr="008D3877">
        <w:rPr>
          <w:rFonts w:ascii="Arial" w:hAnsi="Arial" w:cs="Arial"/>
          <w:sz w:val="20"/>
        </w:rPr>
        <w:tab/>
        <w:t xml:space="preserve">V. N. Uversky, J. Li, A. L. Fink, Evidence for a Partially Folded Intermediate in α-Synuclein Fibril Formation *. </w:t>
      </w:r>
      <w:r w:rsidRPr="008D3877">
        <w:rPr>
          <w:rFonts w:ascii="Arial" w:hAnsi="Arial" w:cs="Arial"/>
          <w:i/>
          <w:iCs/>
          <w:sz w:val="20"/>
        </w:rPr>
        <w:t>Journal of Biological Chemistry</w:t>
      </w:r>
      <w:r w:rsidRPr="008D3877">
        <w:rPr>
          <w:rFonts w:ascii="Arial" w:hAnsi="Arial" w:cs="Arial"/>
          <w:sz w:val="20"/>
        </w:rPr>
        <w:t xml:space="preserve"> </w:t>
      </w:r>
      <w:r w:rsidRPr="008D3877">
        <w:rPr>
          <w:rFonts w:ascii="Arial" w:hAnsi="Arial" w:cs="Arial"/>
          <w:b/>
          <w:bCs/>
          <w:sz w:val="20"/>
        </w:rPr>
        <w:t>276</w:t>
      </w:r>
      <w:r w:rsidRPr="008D3877">
        <w:rPr>
          <w:rFonts w:ascii="Arial" w:hAnsi="Arial" w:cs="Arial"/>
          <w:sz w:val="20"/>
        </w:rPr>
        <w:t>, 10737–10744 (2001).</w:t>
      </w:r>
    </w:p>
    <w:p w14:paraId="04EB0FBD" w14:textId="77777777" w:rsidR="008D3877" w:rsidRPr="008D3877" w:rsidRDefault="008D3877" w:rsidP="008D3877">
      <w:pPr>
        <w:pStyle w:val="Bibliografia"/>
        <w:rPr>
          <w:rFonts w:ascii="Arial" w:hAnsi="Arial" w:cs="Arial"/>
          <w:sz w:val="20"/>
        </w:rPr>
      </w:pPr>
      <w:r w:rsidRPr="008D3877">
        <w:rPr>
          <w:rFonts w:ascii="Arial" w:hAnsi="Arial" w:cs="Arial"/>
          <w:sz w:val="20"/>
        </w:rPr>
        <w:t xml:space="preserve">4. </w:t>
      </w:r>
      <w:r w:rsidRPr="008D3877">
        <w:rPr>
          <w:rFonts w:ascii="Arial" w:hAnsi="Arial" w:cs="Arial"/>
          <w:sz w:val="20"/>
        </w:rPr>
        <w:tab/>
        <w:t xml:space="preserve">V. E. Shevchik, G. Condemine, J. Robert-Baudouy, Characterization of DsbC, a periplasmic protein of Erwinia chrysanthemi and Escherichia coli with disulfide isomerase activity. </w:t>
      </w:r>
      <w:r w:rsidRPr="008D3877">
        <w:rPr>
          <w:rFonts w:ascii="Arial" w:hAnsi="Arial" w:cs="Arial"/>
          <w:i/>
          <w:iCs/>
          <w:sz w:val="20"/>
        </w:rPr>
        <w:t>The EMBO Journal</w:t>
      </w:r>
      <w:r w:rsidRPr="008D3877">
        <w:rPr>
          <w:rFonts w:ascii="Arial" w:hAnsi="Arial" w:cs="Arial"/>
          <w:sz w:val="20"/>
        </w:rPr>
        <w:t xml:space="preserve"> </w:t>
      </w:r>
      <w:r w:rsidRPr="008D3877">
        <w:rPr>
          <w:rFonts w:ascii="Arial" w:hAnsi="Arial" w:cs="Arial"/>
          <w:b/>
          <w:bCs/>
          <w:sz w:val="20"/>
        </w:rPr>
        <w:t>13</w:t>
      </w:r>
      <w:r w:rsidRPr="008D3877">
        <w:rPr>
          <w:rFonts w:ascii="Arial" w:hAnsi="Arial" w:cs="Arial"/>
          <w:sz w:val="20"/>
        </w:rPr>
        <w:t>, 2007–2012 (1994).</w:t>
      </w:r>
    </w:p>
    <w:p w14:paraId="48C76D72" w14:textId="77777777" w:rsidR="008D3877" w:rsidRPr="008D3877" w:rsidRDefault="008D3877" w:rsidP="008D3877">
      <w:pPr>
        <w:pStyle w:val="Bibliografia"/>
        <w:rPr>
          <w:rFonts w:ascii="Arial" w:hAnsi="Arial" w:cs="Arial"/>
          <w:sz w:val="20"/>
        </w:rPr>
      </w:pPr>
      <w:r w:rsidRPr="008D3877">
        <w:rPr>
          <w:rFonts w:ascii="Arial" w:hAnsi="Arial" w:cs="Arial"/>
          <w:sz w:val="20"/>
        </w:rPr>
        <w:t xml:space="preserve">5. </w:t>
      </w:r>
      <w:r w:rsidRPr="008D3877">
        <w:rPr>
          <w:rFonts w:ascii="Arial" w:hAnsi="Arial" w:cs="Arial"/>
          <w:sz w:val="20"/>
        </w:rPr>
        <w:tab/>
        <w:t xml:space="preserve">C. Huang, G. Ren, H. Zhou, C. Wang, A new method for purification of recombinant human α-synuclein in Escherichia coli. </w:t>
      </w:r>
      <w:r w:rsidRPr="008D3877">
        <w:rPr>
          <w:rFonts w:ascii="Arial" w:hAnsi="Arial" w:cs="Arial"/>
          <w:i/>
          <w:iCs/>
          <w:sz w:val="20"/>
        </w:rPr>
        <w:t>Protein Expression and Purification</w:t>
      </w:r>
      <w:r w:rsidRPr="008D3877">
        <w:rPr>
          <w:rFonts w:ascii="Arial" w:hAnsi="Arial" w:cs="Arial"/>
          <w:sz w:val="20"/>
        </w:rPr>
        <w:t xml:space="preserve"> </w:t>
      </w:r>
      <w:r w:rsidRPr="008D3877">
        <w:rPr>
          <w:rFonts w:ascii="Arial" w:hAnsi="Arial" w:cs="Arial"/>
          <w:b/>
          <w:bCs/>
          <w:sz w:val="20"/>
        </w:rPr>
        <w:t>42</w:t>
      </w:r>
      <w:r w:rsidRPr="008D3877">
        <w:rPr>
          <w:rFonts w:ascii="Arial" w:hAnsi="Arial" w:cs="Arial"/>
          <w:sz w:val="20"/>
        </w:rPr>
        <w:t>, 173–177 (2005).</w:t>
      </w:r>
    </w:p>
    <w:p w14:paraId="25BE9990" w14:textId="77777777" w:rsidR="008D3877" w:rsidRPr="008D3877" w:rsidRDefault="008D3877" w:rsidP="008D3877">
      <w:pPr>
        <w:pStyle w:val="Bibliografia"/>
        <w:rPr>
          <w:rFonts w:ascii="Arial" w:hAnsi="Arial" w:cs="Arial"/>
          <w:sz w:val="20"/>
        </w:rPr>
      </w:pPr>
      <w:r w:rsidRPr="008D3877">
        <w:rPr>
          <w:rFonts w:ascii="Arial" w:hAnsi="Arial" w:cs="Arial"/>
          <w:sz w:val="20"/>
        </w:rPr>
        <w:t xml:space="preserve">6. </w:t>
      </w:r>
      <w:r w:rsidRPr="008D3877">
        <w:rPr>
          <w:rFonts w:ascii="Arial" w:hAnsi="Arial" w:cs="Arial"/>
          <w:sz w:val="20"/>
        </w:rPr>
        <w:tab/>
        <w:t xml:space="preserve">G. Bellomo, </w:t>
      </w:r>
      <w:r w:rsidRPr="008D3877">
        <w:rPr>
          <w:rFonts w:ascii="Arial" w:hAnsi="Arial" w:cs="Arial"/>
          <w:i/>
          <w:iCs/>
          <w:sz w:val="20"/>
        </w:rPr>
        <w:t>et al.</w:t>
      </w:r>
      <w:r w:rsidRPr="008D3877">
        <w:rPr>
          <w:rFonts w:ascii="Arial" w:hAnsi="Arial" w:cs="Arial"/>
          <w:sz w:val="20"/>
        </w:rPr>
        <w:t xml:space="preserve">, Dissecting the Interactions between Human Serum Albumin and α-Synuclein: New Insights on the Factors Influencing α-Synuclein Aggregation in Biological Fluids. </w:t>
      </w:r>
      <w:r w:rsidRPr="008D3877">
        <w:rPr>
          <w:rFonts w:ascii="Arial" w:hAnsi="Arial" w:cs="Arial"/>
          <w:i/>
          <w:iCs/>
          <w:sz w:val="20"/>
        </w:rPr>
        <w:t>J Phys Chem B</w:t>
      </w:r>
      <w:r w:rsidRPr="008D3877">
        <w:rPr>
          <w:rFonts w:ascii="Arial" w:hAnsi="Arial" w:cs="Arial"/>
          <w:sz w:val="20"/>
        </w:rPr>
        <w:t xml:space="preserve"> </w:t>
      </w:r>
      <w:r w:rsidRPr="008D3877">
        <w:rPr>
          <w:rFonts w:ascii="Arial" w:hAnsi="Arial" w:cs="Arial"/>
          <w:b/>
          <w:bCs/>
          <w:sz w:val="20"/>
        </w:rPr>
        <w:t>123</w:t>
      </w:r>
      <w:r w:rsidRPr="008D3877">
        <w:rPr>
          <w:rFonts w:ascii="Arial" w:hAnsi="Arial" w:cs="Arial"/>
          <w:sz w:val="20"/>
        </w:rPr>
        <w:t>, 4380–4386 (2019).</w:t>
      </w:r>
    </w:p>
    <w:p w14:paraId="1C15F96A" w14:textId="77777777" w:rsidR="008D3877" w:rsidRPr="008D3877" w:rsidRDefault="008D3877" w:rsidP="008D3877">
      <w:pPr>
        <w:pStyle w:val="Bibliografia"/>
        <w:rPr>
          <w:rFonts w:ascii="Arial" w:hAnsi="Arial" w:cs="Arial"/>
          <w:sz w:val="20"/>
        </w:rPr>
      </w:pPr>
      <w:r w:rsidRPr="008D3877">
        <w:rPr>
          <w:rFonts w:ascii="Arial" w:hAnsi="Arial" w:cs="Arial"/>
          <w:sz w:val="20"/>
        </w:rPr>
        <w:t xml:space="preserve">7. </w:t>
      </w:r>
      <w:r w:rsidRPr="008D3877">
        <w:rPr>
          <w:rFonts w:ascii="Arial" w:hAnsi="Arial" w:cs="Arial"/>
          <w:sz w:val="20"/>
        </w:rPr>
        <w:tab/>
        <w:t xml:space="preserve">K. M. Pate, R. M. Murphy, Cerebrospinal Fluid Proteins as Regulators of Beta-amyloid Aggregation and Toxicity. </w:t>
      </w:r>
      <w:r w:rsidRPr="008D3877">
        <w:rPr>
          <w:rFonts w:ascii="Arial" w:hAnsi="Arial" w:cs="Arial"/>
          <w:i/>
          <w:iCs/>
          <w:sz w:val="20"/>
        </w:rPr>
        <w:t>Isr J Chem</w:t>
      </w:r>
      <w:r w:rsidRPr="008D3877">
        <w:rPr>
          <w:rFonts w:ascii="Arial" w:hAnsi="Arial" w:cs="Arial"/>
          <w:sz w:val="20"/>
        </w:rPr>
        <w:t xml:space="preserve"> </w:t>
      </w:r>
      <w:r w:rsidRPr="008D3877">
        <w:rPr>
          <w:rFonts w:ascii="Arial" w:hAnsi="Arial" w:cs="Arial"/>
          <w:b/>
          <w:bCs/>
          <w:sz w:val="20"/>
        </w:rPr>
        <w:t>57</w:t>
      </w:r>
      <w:r w:rsidRPr="008D3877">
        <w:rPr>
          <w:rFonts w:ascii="Arial" w:hAnsi="Arial" w:cs="Arial"/>
          <w:sz w:val="20"/>
        </w:rPr>
        <w:t>, 602–612 (2017).</w:t>
      </w:r>
    </w:p>
    <w:p w14:paraId="120E11A8" w14:textId="77777777" w:rsidR="008D3877" w:rsidRPr="008D3877" w:rsidRDefault="008D3877" w:rsidP="008D3877">
      <w:pPr>
        <w:pStyle w:val="Bibliografia"/>
        <w:rPr>
          <w:rFonts w:ascii="Arial" w:hAnsi="Arial" w:cs="Arial"/>
          <w:sz w:val="20"/>
        </w:rPr>
      </w:pPr>
      <w:r w:rsidRPr="008D3877">
        <w:rPr>
          <w:rFonts w:ascii="Arial" w:hAnsi="Arial" w:cs="Arial"/>
          <w:sz w:val="20"/>
        </w:rPr>
        <w:t xml:space="preserve">8. </w:t>
      </w:r>
      <w:r w:rsidRPr="008D3877">
        <w:rPr>
          <w:rFonts w:ascii="Arial" w:hAnsi="Arial" w:cs="Arial"/>
          <w:sz w:val="20"/>
        </w:rPr>
        <w:tab/>
        <w:t xml:space="preserve">E. R. Padayachee, </w:t>
      </w:r>
      <w:r w:rsidRPr="008D3877">
        <w:rPr>
          <w:rFonts w:ascii="Arial" w:hAnsi="Arial" w:cs="Arial"/>
          <w:i/>
          <w:iCs/>
          <w:sz w:val="20"/>
        </w:rPr>
        <w:t>et al.</w:t>
      </w:r>
      <w:r w:rsidRPr="008D3877">
        <w:rPr>
          <w:rFonts w:ascii="Arial" w:hAnsi="Arial" w:cs="Arial"/>
          <w:sz w:val="20"/>
        </w:rPr>
        <w:t xml:space="preserve">, Cerebrospinal fluid-induced retardation of amyloid β aggregation correlates with Alzheimer’s disease and the APOE ε4 allele. </w:t>
      </w:r>
      <w:r w:rsidRPr="008D3877">
        <w:rPr>
          <w:rFonts w:ascii="Arial" w:hAnsi="Arial" w:cs="Arial"/>
          <w:i/>
          <w:iCs/>
          <w:sz w:val="20"/>
        </w:rPr>
        <w:t>Brain Res</w:t>
      </w:r>
      <w:r w:rsidRPr="008D3877">
        <w:rPr>
          <w:rFonts w:ascii="Arial" w:hAnsi="Arial" w:cs="Arial"/>
          <w:sz w:val="20"/>
        </w:rPr>
        <w:t xml:space="preserve"> </w:t>
      </w:r>
      <w:r w:rsidRPr="008D3877">
        <w:rPr>
          <w:rFonts w:ascii="Arial" w:hAnsi="Arial" w:cs="Arial"/>
          <w:b/>
          <w:bCs/>
          <w:sz w:val="20"/>
        </w:rPr>
        <w:t>1651</w:t>
      </w:r>
      <w:r w:rsidRPr="008D3877">
        <w:rPr>
          <w:rFonts w:ascii="Arial" w:hAnsi="Arial" w:cs="Arial"/>
          <w:sz w:val="20"/>
        </w:rPr>
        <w:t>, 11–16 (2016).</w:t>
      </w:r>
    </w:p>
    <w:p w14:paraId="40C80BB6" w14:textId="77777777" w:rsidR="008D3877" w:rsidRPr="008D3877" w:rsidRDefault="008D3877" w:rsidP="008D3877">
      <w:pPr>
        <w:pStyle w:val="Bibliografia"/>
        <w:rPr>
          <w:rFonts w:ascii="Arial" w:hAnsi="Arial" w:cs="Arial"/>
          <w:sz w:val="20"/>
        </w:rPr>
      </w:pPr>
      <w:r w:rsidRPr="008D3877">
        <w:rPr>
          <w:rFonts w:ascii="Arial" w:hAnsi="Arial" w:cs="Arial"/>
          <w:sz w:val="20"/>
        </w:rPr>
        <w:t xml:space="preserve">9. </w:t>
      </w:r>
      <w:r w:rsidRPr="008D3877">
        <w:rPr>
          <w:rFonts w:ascii="Arial" w:hAnsi="Arial" w:cs="Arial"/>
          <w:sz w:val="20"/>
        </w:rPr>
        <w:tab/>
        <w:t xml:space="preserve">M. Shahnawaz, </w:t>
      </w:r>
      <w:r w:rsidRPr="008D3877">
        <w:rPr>
          <w:rFonts w:ascii="Arial" w:hAnsi="Arial" w:cs="Arial"/>
          <w:i/>
          <w:iCs/>
          <w:sz w:val="20"/>
        </w:rPr>
        <w:t>et al.</w:t>
      </w:r>
      <w:r w:rsidRPr="008D3877">
        <w:rPr>
          <w:rFonts w:ascii="Arial" w:hAnsi="Arial" w:cs="Arial"/>
          <w:sz w:val="20"/>
        </w:rPr>
        <w:t xml:space="preserve">, Development of a Biochemical Diagnosis of Parkinson Disease by Detection of α-Synuclein Misfolded Aggregates in Cerebrospinal Fluid. </w:t>
      </w:r>
      <w:r w:rsidRPr="008D3877">
        <w:rPr>
          <w:rFonts w:ascii="Arial" w:hAnsi="Arial" w:cs="Arial"/>
          <w:i/>
          <w:iCs/>
          <w:sz w:val="20"/>
        </w:rPr>
        <w:t>JAMA Neurology</w:t>
      </w:r>
      <w:r w:rsidRPr="008D3877">
        <w:rPr>
          <w:rFonts w:ascii="Arial" w:hAnsi="Arial" w:cs="Arial"/>
          <w:sz w:val="20"/>
        </w:rPr>
        <w:t xml:space="preserve"> </w:t>
      </w:r>
      <w:r w:rsidRPr="008D3877">
        <w:rPr>
          <w:rFonts w:ascii="Arial" w:hAnsi="Arial" w:cs="Arial"/>
          <w:b/>
          <w:bCs/>
          <w:sz w:val="20"/>
        </w:rPr>
        <w:t>74</w:t>
      </w:r>
      <w:r w:rsidRPr="008D3877">
        <w:rPr>
          <w:rFonts w:ascii="Arial" w:hAnsi="Arial" w:cs="Arial"/>
          <w:sz w:val="20"/>
        </w:rPr>
        <w:t>, 163 (2017).</w:t>
      </w:r>
    </w:p>
    <w:p w14:paraId="55760900" w14:textId="77777777" w:rsidR="008D3877" w:rsidRPr="008D3877" w:rsidRDefault="008D3877" w:rsidP="008D3877">
      <w:pPr>
        <w:pStyle w:val="Bibliografia"/>
        <w:rPr>
          <w:rFonts w:ascii="Arial" w:hAnsi="Arial" w:cs="Arial"/>
          <w:sz w:val="20"/>
        </w:rPr>
      </w:pPr>
      <w:r w:rsidRPr="008D3877">
        <w:rPr>
          <w:rFonts w:ascii="Arial" w:hAnsi="Arial" w:cs="Arial"/>
          <w:sz w:val="20"/>
        </w:rPr>
        <w:t xml:space="preserve">10. </w:t>
      </w:r>
      <w:r w:rsidRPr="008D3877">
        <w:rPr>
          <w:rFonts w:ascii="Arial" w:hAnsi="Arial" w:cs="Arial"/>
          <w:sz w:val="20"/>
        </w:rPr>
        <w:tab/>
        <w:t xml:space="preserve">L. Concha-Marambio, M. Shahnawaz, C. Soto, Detection of Misfolded α-Synuclein Aggregates in Cerebrospinal Fluid by the Protein Misfolding Cyclic Amplification Platform. </w:t>
      </w:r>
      <w:r w:rsidRPr="008D3877">
        <w:rPr>
          <w:rFonts w:ascii="Arial" w:hAnsi="Arial" w:cs="Arial"/>
          <w:i/>
          <w:iCs/>
          <w:sz w:val="20"/>
        </w:rPr>
        <w:t>Methods in molecular biology (Clifton, N.J.)</w:t>
      </w:r>
      <w:r w:rsidRPr="008D3877">
        <w:rPr>
          <w:rFonts w:ascii="Arial" w:hAnsi="Arial" w:cs="Arial"/>
          <w:sz w:val="20"/>
        </w:rPr>
        <w:t xml:space="preserve"> </w:t>
      </w:r>
      <w:r w:rsidRPr="008D3877">
        <w:rPr>
          <w:rFonts w:ascii="Arial" w:hAnsi="Arial" w:cs="Arial"/>
          <w:b/>
          <w:bCs/>
          <w:sz w:val="20"/>
        </w:rPr>
        <w:t>1948</w:t>
      </w:r>
      <w:r w:rsidRPr="008D3877">
        <w:rPr>
          <w:rFonts w:ascii="Arial" w:hAnsi="Arial" w:cs="Arial"/>
          <w:sz w:val="20"/>
        </w:rPr>
        <w:t>, 35–44 (2019).</w:t>
      </w:r>
    </w:p>
    <w:p w14:paraId="2C443492" w14:textId="77777777" w:rsidR="008D3877" w:rsidRPr="008D3877" w:rsidRDefault="008D3877" w:rsidP="008D3877">
      <w:pPr>
        <w:pStyle w:val="Bibliografia"/>
        <w:rPr>
          <w:rFonts w:ascii="Arial" w:hAnsi="Arial" w:cs="Arial"/>
          <w:sz w:val="20"/>
        </w:rPr>
      </w:pPr>
      <w:r w:rsidRPr="008D3877">
        <w:rPr>
          <w:rFonts w:ascii="Arial" w:hAnsi="Arial" w:cs="Arial"/>
          <w:sz w:val="20"/>
        </w:rPr>
        <w:t xml:space="preserve">11. </w:t>
      </w:r>
      <w:r w:rsidRPr="008D3877">
        <w:rPr>
          <w:rFonts w:ascii="Arial" w:hAnsi="Arial" w:cs="Arial"/>
          <w:sz w:val="20"/>
        </w:rPr>
        <w:tab/>
        <w:t xml:space="preserve">J. Adler, H. A. Scheidt, K. Lemmnitzer, M. Krueger, D. Huster, N-terminal lipid conjugation of amyloid β(1–40) leads to the formation of highly ordered N-terminally extended fibrils. </w:t>
      </w:r>
      <w:r w:rsidRPr="008D3877">
        <w:rPr>
          <w:rFonts w:ascii="Arial" w:hAnsi="Arial" w:cs="Arial"/>
          <w:i/>
          <w:iCs/>
          <w:sz w:val="20"/>
        </w:rPr>
        <w:t>Phys. Chem. Chem. Phys.</w:t>
      </w:r>
      <w:r w:rsidRPr="008D3877">
        <w:rPr>
          <w:rFonts w:ascii="Arial" w:hAnsi="Arial" w:cs="Arial"/>
          <w:sz w:val="20"/>
        </w:rPr>
        <w:t xml:space="preserve"> </w:t>
      </w:r>
      <w:r w:rsidRPr="008D3877">
        <w:rPr>
          <w:rFonts w:ascii="Arial" w:hAnsi="Arial" w:cs="Arial"/>
          <w:b/>
          <w:bCs/>
          <w:sz w:val="20"/>
        </w:rPr>
        <w:t>19</w:t>
      </w:r>
      <w:r w:rsidRPr="008D3877">
        <w:rPr>
          <w:rFonts w:ascii="Arial" w:hAnsi="Arial" w:cs="Arial"/>
          <w:sz w:val="20"/>
        </w:rPr>
        <w:t>, 1839–1846 (2017).</w:t>
      </w:r>
    </w:p>
    <w:p w14:paraId="4FA18A46" w14:textId="77777777" w:rsidR="008D3877" w:rsidRPr="008D3877" w:rsidRDefault="008D3877" w:rsidP="008D3877">
      <w:pPr>
        <w:pStyle w:val="Bibliografia"/>
        <w:rPr>
          <w:rFonts w:ascii="Arial" w:hAnsi="Arial" w:cs="Arial"/>
          <w:sz w:val="20"/>
        </w:rPr>
      </w:pPr>
      <w:r w:rsidRPr="008D3877">
        <w:rPr>
          <w:rFonts w:ascii="Arial" w:hAnsi="Arial" w:cs="Arial"/>
          <w:sz w:val="20"/>
        </w:rPr>
        <w:t xml:space="preserve">12. </w:t>
      </w:r>
      <w:r w:rsidRPr="008D3877">
        <w:rPr>
          <w:rFonts w:ascii="Arial" w:hAnsi="Arial" w:cs="Arial"/>
          <w:sz w:val="20"/>
        </w:rPr>
        <w:tab/>
        <w:t xml:space="preserve">R. G. Morris, J. L. Evenden, B. J. Sahakian, T. W. Robbins, “Computer-aided assessment of dementia: Comparative studies of neuropsychological deficits in Alzheimer-type dementia and Parkinson’s disease” in </w:t>
      </w:r>
      <w:r w:rsidRPr="008D3877">
        <w:rPr>
          <w:rFonts w:ascii="Arial" w:hAnsi="Arial" w:cs="Arial"/>
          <w:i/>
          <w:iCs/>
          <w:sz w:val="20"/>
        </w:rPr>
        <w:t>Cognitive Neurochemistry</w:t>
      </w:r>
      <w:r w:rsidRPr="008D3877">
        <w:rPr>
          <w:rFonts w:ascii="Arial" w:hAnsi="Arial" w:cs="Arial"/>
          <w:sz w:val="20"/>
        </w:rPr>
        <w:t>, (Oxford University Press, 1987), pp. 21–36.</w:t>
      </w:r>
    </w:p>
    <w:p w14:paraId="034272FB" w14:textId="77777777" w:rsidR="008D3877" w:rsidRPr="008D3877" w:rsidRDefault="008D3877" w:rsidP="008D3877">
      <w:pPr>
        <w:pStyle w:val="Bibliografia"/>
        <w:rPr>
          <w:rFonts w:ascii="Arial" w:hAnsi="Arial" w:cs="Arial"/>
          <w:sz w:val="20"/>
        </w:rPr>
      </w:pPr>
      <w:r w:rsidRPr="008D3877">
        <w:rPr>
          <w:rFonts w:ascii="Arial" w:hAnsi="Arial" w:cs="Arial"/>
          <w:sz w:val="20"/>
        </w:rPr>
        <w:t xml:space="preserve">13. </w:t>
      </w:r>
      <w:r w:rsidRPr="008D3877">
        <w:rPr>
          <w:rFonts w:ascii="Arial" w:hAnsi="Arial" w:cs="Arial"/>
          <w:sz w:val="20"/>
        </w:rPr>
        <w:tab/>
        <w:t xml:space="preserve">Y. Ishihama, </w:t>
      </w:r>
      <w:r w:rsidRPr="008D3877">
        <w:rPr>
          <w:rFonts w:ascii="Arial" w:hAnsi="Arial" w:cs="Arial"/>
          <w:i/>
          <w:iCs/>
          <w:sz w:val="20"/>
        </w:rPr>
        <w:t>et al.</w:t>
      </w:r>
      <w:r w:rsidRPr="008D3877">
        <w:rPr>
          <w:rFonts w:ascii="Arial" w:hAnsi="Arial" w:cs="Arial"/>
          <w:sz w:val="20"/>
        </w:rPr>
        <w:t xml:space="preserve">, Exponentially modified protein abundance index (emPAI) for estimation of absolute protein amount in proteomics by the number of sequenced peptides per protein. </w:t>
      </w:r>
      <w:r w:rsidRPr="008D3877">
        <w:rPr>
          <w:rFonts w:ascii="Arial" w:hAnsi="Arial" w:cs="Arial"/>
          <w:i/>
          <w:iCs/>
          <w:sz w:val="20"/>
        </w:rPr>
        <w:t>Mol Cell Proteomics</w:t>
      </w:r>
      <w:r w:rsidRPr="008D3877">
        <w:rPr>
          <w:rFonts w:ascii="Arial" w:hAnsi="Arial" w:cs="Arial"/>
          <w:sz w:val="20"/>
        </w:rPr>
        <w:t xml:space="preserve"> </w:t>
      </w:r>
      <w:r w:rsidRPr="008D3877">
        <w:rPr>
          <w:rFonts w:ascii="Arial" w:hAnsi="Arial" w:cs="Arial"/>
          <w:b/>
          <w:bCs/>
          <w:sz w:val="20"/>
        </w:rPr>
        <w:t>4</w:t>
      </w:r>
      <w:r w:rsidRPr="008D3877">
        <w:rPr>
          <w:rFonts w:ascii="Arial" w:hAnsi="Arial" w:cs="Arial"/>
          <w:sz w:val="20"/>
        </w:rPr>
        <w:t>, 1265–1272 (2005).</w:t>
      </w:r>
    </w:p>
    <w:p w14:paraId="10C22F57" w14:textId="3AF65C7A" w:rsidR="007843C9" w:rsidRPr="002676DE" w:rsidRDefault="008D3877" w:rsidP="008D3877">
      <w:pPr>
        <w:pStyle w:val="Bibliografia"/>
        <w:rPr>
          <w:rFonts w:ascii="Arial" w:hAnsi="Arial" w:cs="Arial"/>
          <w:sz w:val="20"/>
        </w:rPr>
      </w:pPr>
      <w:r w:rsidRPr="008D3877">
        <w:rPr>
          <w:rFonts w:ascii="Arial" w:hAnsi="Arial" w:cs="Arial"/>
          <w:sz w:val="20"/>
        </w:rPr>
        <w:t xml:space="preserve">14. </w:t>
      </w:r>
      <w:r w:rsidRPr="008D3877">
        <w:rPr>
          <w:rFonts w:ascii="Arial" w:hAnsi="Arial" w:cs="Arial"/>
          <w:sz w:val="20"/>
        </w:rPr>
        <w:tab/>
        <w:t xml:space="preserve">K. Shinoda, M. Tomita, Y. Ishihama, emPAI Calc--for the estimation of protein abundance from large-scale identification data by liquid chromatography-tandem mass spectrometry. </w:t>
      </w:r>
      <w:r w:rsidRPr="008D3877">
        <w:rPr>
          <w:rFonts w:ascii="Arial" w:hAnsi="Arial" w:cs="Arial"/>
          <w:i/>
          <w:iCs/>
          <w:sz w:val="20"/>
        </w:rPr>
        <w:t>Bioinformatics</w:t>
      </w:r>
      <w:r w:rsidRPr="008D3877">
        <w:rPr>
          <w:rFonts w:ascii="Arial" w:hAnsi="Arial" w:cs="Arial"/>
          <w:sz w:val="20"/>
        </w:rPr>
        <w:t xml:space="preserve"> </w:t>
      </w:r>
      <w:r w:rsidRPr="008D3877">
        <w:rPr>
          <w:rFonts w:ascii="Arial" w:hAnsi="Arial" w:cs="Arial"/>
          <w:b/>
          <w:bCs/>
          <w:sz w:val="20"/>
        </w:rPr>
        <w:t>26</w:t>
      </w:r>
      <w:r w:rsidRPr="008D3877">
        <w:rPr>
          <w:rFonts w:ascii="Arial" w:hAnsi="Arial" w:cs="Arial"/>
          <w:sz w:val="20"/>
        </w:rPr>
        <w:t>, 576–577 (2010).</w:t>
      </w:r>
      <w:r w:rsidR="001B39D0" w:rsidRPr="002676DE">
        <w:rPr>
          <w:rFonts w:ascii="Arial" w:hAnsi="Arial" w:cs="Arial"/>
          <w:b/>
          <w:sz w:val="20"/>
        </w:rPr>
        <w:fldChar w:fldCharType="end"/>
      </w:r>
      <w:bookmarkEnd w:id="1"/>
    </w:p>
    <w:sectPr w:rsidR="007843C9" w:rsidRPr="002676DE" w:rsidSect="00F125EE">
      <w:headerReference w:type="default" r:id="rId20"/>
      <w:footerReference w:type="default" r:id="rId21"/>
      <w:pgSz w:w="12240" w:h="15840"/>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F54CA4" w14:textId="77777777" w:rsidR="00FB1CBC" w:rsidRDefault="00FB1CBC">
      <w:r>
        <w:separator/>
      </w:r>
    </w:p>
  </w:endnote>
  <w:endnote w:type="continuationSeparator" w:id="0">
    <w:p w14:paraId="75AFCC8C" w14:textId="77777777" w:rsidR="00FB1CBC" w:rsidRDefault="00FB1C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96907" w14:textId="636CDF8D" w:rsidR="00F125EE" w:rsidRDefault="00114193">
    <w:pPr>
      <w:pStyle w:val="Pidipagina"/>
      <w:jc w:val="right"/>
    </w:pPr>
    <w:r>
      <w:fldChar w:fldCharType="begin"/>
    </w:r>
    <w:r>
      <w:instrText xml:space="preserve"> PAGE   \* MERGEFORMAT </w:instrText>
    </w:r>
    <w:r>
      <w:fldChar w:fldCharType="separate"/>
    </w:r>
    <w:r w:rsidR="005609E9">
      <w:rPr>
        <w:noProof/>
      </w:rPr>
      <w:t>1</w:t>
    </w:r>
    <w:r>
      <w:fldChar w:fldCharType="end"/>
    </w:r>
  </w:p>
  <w:p w14:paraId="180EEFF6" w14:textId="77777777" w:rsidR="00F125EE" w:rsidRDefault="00F125E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2A4DC8" w14:textId="77777777" w:rsidR="00FB1CBC" w:rsidRDefault="00FB1CBC">
      <w:r>
        <w:separator/>
      </w:r>
    </w:p>
  </w:footnote>
  <w:footnote w:type="continuationSeparator" w:id="0">
    <w:p w14:paraId="0C1DAD81" w14:textId="77777777" w:rsidR="00FB1CBC" w:rsidRDefault="00FB1C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040DC9" w14:textId="77777777" w:rsidR="003A2FD8" w:rsidRPr="005001AC" w:rsidRDefault="003A2FD8" w:rsidP="005001AC">
    <w:pPr>
      <w:jc w:val="right"/>
      <w:rPr>
        <w:sz w:val="20"/>
      </w:rPr>
    </w:pPr>
  </w:p>
  <w:p w14:paraId="0091C365"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Numeroelenco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Numeroelenco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Numeroelenco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Numeroelenco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Puntoelenco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Puntoelenco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Puntoelenco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Puntoelenco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Numeroelenco"/>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Puntoelenco"/>
      <w:lvlText w:val=""/>
      <w:lvlJc w:val="left"/>
      <w:pPr>
        <w:tabs>
          <w:tab w:val="num" w:pos="360"/>
        </w:tabs>
        <w:ind w:left="360" w:hanging="360"/>
      </w:pPr>
      <w:rPr>
        <w:rFonts w:ascii="Symbol" w:hAnsi="Symbol" w:hint="default"/>
      </w:rPr>
    </w:lvl>
  </w:abstractNum>
  <w:abstractNum w:abstractNumId="10" w15:restartNumberingAfterBreak="0">
    <w:nsid w:val="01110F80"/>
    <w:multiLevelType w:val="hybridMultilevel"/>
    <w:tmpl w:val="C220C8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0B963FF"/>
    <w:multiLevelType w:val="hybridMultilevel"/>
    <w:tmpl w:val="43A20FFE"/>
    <w:lvl w:ilvl="0" w:tplc="041866E8">
      <w:start w:val="2020"/>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F8D4926"/>
    <w:multiLevelType w:val="hybridMultilevel"/>
    <w:tmpl w:val="2FCC0058"/>
    <w:lvl w:ilvl="0" w:tplc="7FF67990">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116BDC"/>
    <w:multiLevelType w:val="hybridMultilevel"/>
    <w:tmpl w:val="1D98BF46"/>
    <w:lvl w:ilvl="0" w:tplc="F40C2976">
      <w:start w:val="202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2"/>
  </w:num>
  <w:num w:numId="13">
    <w:abstractNumId w:val="13"/>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004B2"/>
    <w:rsid w:val="00010DBE"/>
    <w:rsid w:val="00015F74"/>
    <w:rsid w:val="00017C53"/>
    <w:rsid w:val="00030840"/>
    <w:rsid w:val="00065EBD"/>
    <w:rsid w:val="00083B44"/>
    <w:rsid w:val="000850DC"/>
    <w:rsid w:val="000A41E4"/>
    <w:rsid w:val="000C2771"/>
    <w:rsid w:val="000C5F36"/>
    <w:rsid w:val="000F0DCE"/>
    <w:rsid w:val="00112C5B"/>
    <w:rsid w:val="00114193"/>
    <w:rsid w:val="00115A38"/>
    <w:rsid w:val="0011687B"/>
    <w:rsid w:val="00124F82"/>
    <w:rsid w:val="0016337A"/>
    <w:rsid w:val="00164269"/>
    <w:rsid w:val="001A1BDE"/>
    <w:rsid w:val="001B39D0"/>
    <w:rsid w:val="001C0520"/>
    <w:rsid w:val="001C0975"/>
    <w:rsid w:val="001F0876"/>
    <w:rsid w:val="001F167C"/>
    <w:rsid w:val="001F5E91"/>
    <w:rsid w:val="002077B9"/>
    <w:rsid w:val="00234809"/>
    <w:rsid w:val="00240B86"/>
    <w:rsid w:val="00243785"/>
    <w:rsid w:val="00262D72"/>
    <w:rsid w:val="002676DE"/>
    <w:rsid w:val="00294FBB"/>
    <w:rsid w:val="002C030F"/>
    <w:rsid w:val="002C667A"/>
    <w:rsid w:val="002D07F9"/>
    <w:rsid w:val="002E384F"/>
    <w:rsid w:val="00301DFE"/>
    <w:rsid w:val="00322A3A"/>
    <w:rsid w:val="00325D90"/>
    <w:rsid w:val="00331D75"/>
    <w:rsid w:val="00332BFB"/>
    <w:rsid w:val="00355362"/>
    <w:rsid w:val="00363E44"/>
    <w:rsid w:val="00387114"/>
    <w:rsid w:val="00395E86"/>
    <w:rsid w:val="00397983"/>
    <w:rsid w:val="003A2FD8"/>
    <w:rsid w:val="003B40E6"/>
    <w:rsid w:val="003C20F7"/>
    <w:rsid w:val="003C466F"/>
    <w:rsid w:val="003F6E14"/>
    <w:rsid w:val="00405336"/>
    <w:rsid w:val="004571D5"/>
    <w:rsid w:val="00461D81"/>
    <w:rsid w:val="0046356B"/>
    <w:rsid w:val="00477182"/>
    <w:rsid w:val="004779CB"/>
    <w:rsid w:val="004A159F"/>
    <w:rsid w:val="004B2F21"/>
    <w:rsid w:val="004E42D8"/>
    <w:rsid w:val="004E7BA2"/>
    <w:rsid w:val="004F7EDF"/>
    <w:rsid w:val="005001AC"/>
    <w:rsid w:val="00527D71"/>
    <w:rsid w:val="005607DD"/>
    <w:rsid w:val="005609E9"/>
    <w:rsid w:val="00587FF6"/>
    <w:rsid w:val="005A558C"/>
    <w:rsid w:val="005C52D5"/>
    <w:rsid w:val="005D088E"/>
    <w:rsid w:val="005E28F8"/>
    <w:rsid w:val="005E6513"/>
    <w:rsid w:val="006069C6"/>
    <w:rsid w:val="00611A19"/>
    <w:rsid w:val="006140DF"/>
    <w:rsid w:val="00651114"/>
    <w:rsid w:val="0065772A"/>
    <w:rsid w:val="00670299"/>
    <w:rsid w:val="00680EA1"/>
    <w:rsid w:val="00690668"/>
    <w:rsid w:val="00691985"/>
    <w:rsid w:val="006A1B64"/>
    <w:rsid w:val="006B54E4"/>
    <w:rsid w:val="006D169A"/>
    <w:rsid w:val="006E3E68"/>
    <w:rsid w:val="006F4C3A"/>
    <w:rsid w:val="007108F5"/>
    <w:rsid w:val="00713E5B"/>
    <w:rsid w:val="007402FC"/>
    <w:rsid w:val="007411A1"/>
    <w:rsid w:val="00763345"/>
    <w:rsid w:val="007843C9"/>
    <w:rsid w:val="00797F24"/>
    <w:rsid w:val="007B5946"/>
    <w:rsid w:val="007D5C62"/>
    <w:rsid w:val="007E765C"/>
    <w:rsid w:val="007F5297"/>
    <w:rsid w:val="00807D35"/>
    <w:rsid w:val="00820484"/>
    <w:rsid w:val="00824DF3"/>
    <w:rsid w:val="00840BB2"/>
    <w:rsid w:val="00885C9B"/>
    <w:rsid w:val="008C069B"/>
    <w:rsid w:val="008D3877"/>
    <w:rsid w:val="008D5D2A"/>
    <w:rsid w:val="00914B63"/>
    <w:rsid w:val="009258B8"/>
    <w:rsid w:val="009354F3"/>
    <w:rsid w:val="00943C3C"/>
    <w:rsid w:val="009447DC"/>
    <w:rsid w:val="009519CF"/>
    <w:rsid w:val="00961BA5"/>
    <w:rsid w:val="009743A9"/>
    <w:rsid w:val="009813AF"/>
    <w:rsid w:val="009A5287"/>
    <w:rsid w:val="009A670E"/>
    <w:rsid w:val="009B2AC5"/>
    <w:rsid w:val="009B7984"/>
    <w:rsid w:val="009F4BED"/>
    <w:rsid w:val="009F7D93"/>
    <w:rsid w:val="00A3403B"/>
    <w:rsid w:val="00A356F3"/>
    <w:rsid w:val="00A51A12"/>
    <w:rsid w:val="00A627D4"/>
    <w:rsid w:val="00A72B81"/>
    <w:rsid w:val="00A74DA2"/>
    <w:rsid w:val="00A80D4F"/>
    <w:rsid w:val="00A85F23"/>
    <w:rsid w:val="00AC15B4"/>
    <w:rsid w:val="00AC6CEB"/>
    <w:rsid w:val="00AD499C"/>
    <w:rsid w:val="00AE5A70"/>
    <w:rsid w:val="00B003EE"/>
    <w:rsid w:val="00B038F4"/>
    <w:rsid w:val="00B12055"/>
    <w:rsid w:val="00B15008"/>
    <w:rsid w:val="00B16F99"/>
    <w:rsid w:val="00B36869"/>
    <w:rsid w:val="00B42F9C"/>
    <w:rsid w:val="00B43B31"/>
    <w:rsid w:val="00B47CFA"/>
    <w:rsid w:val="00B57F00"/>
    <w:rsid w:val="00B77B2A"/>
    <w:rsid w:val="00B82C22"/>
    <w:rsid w:val="00B8723B"/>
    <w:rsid w:val="00B93DBA"/>
    <w:rsid w:val="00B9440A"/>
    <w:rsid w:val="00BB2D2A"/>
    <w:rsid w:val="00BD58CF"/>
    <w:rsid w:val="00C046DC"/>
    <w:rsid w:val="00C04CC1"/>
    <w:rsid w:val="00C364C5"/>
    <w:rsid w:val="00C47714"/>
    <w:rsid w:val="00C50C6D"/>
    <w:rsid w:val="00C600D9"/>
    <w:rsid w:val="00C65D58"/>
    <w:rsid w:val="00C81A7E"/>
    <w:rsid w:val="00CC1384"/>
    <w:rsid w:val="00CD3720"/>
    <w:rsid w:val="00CF16C9"/>
    <w:rsid w:val="00CF1848"/>
    <w:rsid w:val="00CF5C2F"/>
    <w:rsid w:val="00D04BCF"/>
    <w:rsid w:val="00D143D9"/>
    <w:rsid w:val="00D269AB"/>
    <w:rsid w:val="00D346C2"/>
    <w:rsid w:val="00D62EDB"/>
    <w:rsid w:val="00DA22DA"/>
    <w:rsid w:val="00DA59EA"/>
    <w:rsid w:val="00DB0B1D"/>
    <w:rsid w:val="00DC51F5"/>
    <w:rsid w:val="00DC623A"/>
    <w:rsid w:val="00DD421A"/>
    <w:rsid w:val="00E257C8"/>
    <w:rsid w:val="00E37047"/>
    <w:rsid w:val="00E60D0F"/>
    <w:rsid w:val="00E8028A"/>
    <w:rsid w:val="00E906A1"/>
    <w:rsid w:val="00E9773B"/>
    <w:rsid w:val="00EA596B"/>
    <w:rsid w:val="00EC13A3"/>
    <w:rsid w:val="00EC7C85"/>
    <w:rsid w:val="00EE544A"/>
    <w:rsid w:val="00F04CD9"/>
    <w:rsid w:val="00F125EE"/>
    <w:rsid w:val="00F12E98"/>
    <w:rsid w:val="00F22029"/>
    <w:rsid w:val="00F25DEF"/>
    <w:rsid w:val="00F35E16"/>
    <w:rsid w:val="00F41F89"/>
    <w:rsid w:val="00F514EC"/>
    <w:rsid w:val="00F60CD4"/>
    <w:rsid w:val="00F630EA"/>
    <w:rsid w:val="00F7007E"/>
    <w:rsid w:val="00F70200"/>
    <w:rsid w:val="00F73193"/>
    <w:rsid w:val="00F74F95"/>
    <w:rsid w:val="00F80705"/>
    <w:rsid w:val="00FA1481"/>
    <w:rsid w:val="00FB1CBC"/>
    <w:rsid w:val="00FC7689"/>
    <w:rsid w:val="00FF04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57D1EA8"/>
  <w14:defaultImageDpi w14:val="32767"/>
  <w15:docId w15:val="{44D555E4-DB32-4E4E-914C-3E579D6D7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F630EA"/>
    <w:rPr>
      <w:sz w:val="24"/>
    </w:rPr>
  </w:style>
  <w:style w:type="paragraph" w:styleId="Titolo1">
    <w:name w:val="heading 1"/>
    <w:basedOn w:val="Normale"/>
    <w:next w:val="Normale"/>
    <w:link w:val="Titolo1Carattere"/>
    <w:semiHidden/>
    <w:qFormat/>
    <w:rsid w:val="00B43B31"/>
    <w:pPr>
      <w:keepNext/>
      <w:spacing w:before="240" w:after="60"/>
      <w:outlineLvl w:val="0"/>
    </w:pPr>
    <w:rPr>
      <w:b/>
      <w:bCs/>
      <w:kern w:val="32"/>
      <w:szCs w:val="24"/>
    </w:rPr>
  </w:style>
  <w:style w:type="paragraph" w:styleId="Titolo2">
    <w:name w:val="heading 2"/>
    <w:basedOn w:val="Normale"/>
    <w:next w:val="Normale"/>
    <w:link w:val="Titolo2Carattere"/>
    <w:semiHidden/>
    <w:qFormat/>
    <w:rsid w:val="007411A1"/>
    <w:pPr>
      <w:keepNext/>
      <w:spacing w:before="240" w:after="60"/>
      <w:outlineLvl w:val="1"/>
    </w:pPr>
    <w:rPr>
      <w:rFonts w:ascii="Cambria" w:hAnsi="Cambria"/>
      <w:b/>
      <w:bCs/>
      <w:i/>
      <w:iCs/>
      <w:sz w:val="28"/>
      <w:szCs w:val="28"/>
    </w:rPr>
  </w:style>
  <w:style w:type="paragraph" w:styleId="Titolo3">
    <w:name w:val="heading 3"/>
    <w:basedOn w:val="Normale"/>
    <w:next w:val="Normale"/>
    <w:semiHidden/>
    <w:qFormat/>
    <w:rsid w:val="00C600D9"/>
    <w:pPr>
      <w:keepNext/>
      <w:spacing w:line="480" w:lineRule="auto"/>
      <w:outlineLvl w:val="2"/>
    </w:pPr>
    <w:rPr>
      <w:rFonts w:ascii="Times" w:eastAsia="Times" w:hAnsi="Times"/>
      <w:b/>
    </w:rPr>
  </w:style>
  <w:style w:type="paragraph" w:styleId="Titolo4">
    <w:name w:val="heading 4"/>
    <w:basedOn w:val="Normale"/>
    <w:next w:val="Normale"/>
    <w:semiHidden/>
    <w:qFormat/>
    <w:rsid w:val="00C600D9"/>
    <w:pPr>
      <w:keepNext/>
      <w:spacing w:line="480" w:lineRule="auto"/>
      <w:outlineLvl w:val="3"/>
    </w:pPr>
    <w:rPr>
      <w:rFonts w:ascii="Times" w:hAnsi="Times"/>
      <w:b/>
      <w:color w:val="0000FF"/>
      <w:sz w:val="44"/>
    </w:rPr>
  </w:style>
  <w:style w:type="paragraph" w:styleId="Titolo5">
    <w:name w:val="heading 5"/>
    <w:basedOn w:val="Normale"/>
    <w:next w:val="Normale"/>
    <w:link w:val="Titolo5Carattere"/>
    <w:semiHidden/>
    <w:qFormat/>
    <w:rsid w:val="007411A1"/>
    <w:pPr>
      <w:spacing w:before="240" w:after="60"/>
      <w:outlineLvl w:val="4"/>
    </w:pPr>
    <w:rPr>
      <w:rFonts w:ascii="Calibri" w:hAnsi="Calibri"/>
      <w:b/>
      <w:bCs/>
      <w:i/>
      <w:iCs/>
      <w:sz w:val="26"/>
      <w:szCs w:val="26"/>
    </w:rPr>
  </w:style>
  <w:style w:type="paragraph" w:styleId="Titolo6">
    <w:name w:val="heading 6"/>
    <w:basedOn w:val="Normale"/>
    <w:next w:val="Normale"/>
    <w:link w:val="Titolo6Carattere"/>
    <w:semiHidden/>
    <w:qFormat/>
    <w:rsid w:val="007411A1"/>
    <w:pPr>
      <w:spacing w:before="240" w:after="60"/>
      <w:outlineLvl w:val="5"/>
    </w:pPr>
    <w:rPr>
      <w:rFonts w:ascii="Calibri" w:hAnsi="Calibri"/>
      <w:b/>
      <w:bCs/>
      <w:sz w:val="22"/>
      <w:szCs w:val="22"/>
    </w:rPr>
  </w:style>
  <w:style w:type="paragraph" w:styleId="Titolo7">
    <w:name w:val="heading 7"/>
    <w:basedOn w:val="Normale"/>
    <w:next w:val="Normale"/>
    <w:link w:val="Titolo7Carattere"/>
    <w:semiHidden/>
    <w:qFormat/>
    <w:rsid w:val="007411A1"/>
    <w:pPr>
      <w:spacing w:before="240" w:after="60"/>
      <w:outlineLvl w:val="6"/>
    </w:pPr>
    <w:rPr>
      <w:rFonts w:ascii="Calibri" w:hAnsi="Calibri"/>
      <w:szCs w:val="24"/>
    </w:rPr>
  </w:style>
  <w:style w:type="paragraph" w:styleId="Titolo8">
    <w:name w:val="heading 8"/>
    <w:basedOn w:val="Normale"/>
    <w:next w:val="Normale"/>
    <w:link w:val="Titolo8Carattere"/>
    <w:semiHidden/>
    <w:qFormat/>
    <w:rsid w:val="007411A1"/>
    <w:pPr>
      <w:spacing w:before="240" w:after="60"/>
      <w:outlineLvl w:val="7"/>
    </w:pPr>
    <w:rPr>
      <w:rFonts w:ascii="Calibri" w:hAnsi="Calibri"/>
      <w:i/>
      <w:iCs/>
      <w:szCs w:val="24"/>
    </w:rPr>
  </w:style>
  <w:style w:type="paragraph" w:styleId="Titolo9">
    <w:name w:val="heading 9"/>
    <w:basedOn w:val="Normale"/>
    <w:next w:val="Normale"/>
    <w:link w:val="Titolo9Carattere"/>
    <w:semiHidden/>
    <w:qFormat/>
    <w:rsid w:val="007411A1"/>
    <w:pPr>
      <w:spacing w:before="240" w:after="60"/>
      <w:outlineLvl w:val="8"/>
    </w:pPr>
    <w:rPr>
      <w:rFonts w:ascii="Cambria" w:hAnsi="Cambria"/>
      <w:sz w:val="22"/>
      <w:szCs w:val="22"/>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Numeropagina">
    <w:name w:val="page number"/>
    <w:basedOn w:val="Carpredefinitoparagrafo"/>
    <w:semiHidden/>
    <w:rsid w:val="00477182"/>
  </w:style>
  <w:style w:type="character" w:customStyle="1" w:styleId="Titolo1Carattere">
    <w:name w:val="Titolo 1 Carattere"/>
    <w:basedOn w:val="Carpredefinitoparagrafo"/>
    <w:link w:val="Titolo1"/>
    <w:semiHidden/>
    <w:rsid w:val="00FF04E3"/>
    <w:rPr>
      <w:b/>
      <w:bCs/>
      <w:kern w:val="32"/>
      <w:sz w:val="24"/>
      <w:szCs w:val="24"/>
    </w:rPr>
  </w:style>
  <w:style w:type="character" w:customStyle="1" w:styleId="Titolo2Carattere">
    <w:name w:val="Titolo 2 Carattere"/>
    <w:basedOn w:val="Carpredefinitoparagrafo"/>
    <w:link w:val="Titolo2"/>
    <w:semiHidden/>
    <w:rsid w:val="00FF04E3"/>
    <w:rPr>
      <w:rFonts w:ascii="Cambria" w:hAnsi="Cambria"/>
      <w:b/>
      <w:bCs/>
      <w:i/>
      <w:iCs/>
      <w:sz w:val="28"/>
      <w:szCs w:val="28"/>
    </w:rPr>
  </w:style>
  <w:style w:type="character" w:customStyle="1" w:styleId="Titolo5Carattere">
    <w:name w:val="Titolo 5 Carattere"/>
    <w:basedOn w:val="Carpredefinitoparagrafo"/>
    <w:link w:val="Titolo5"/>
    <w:semiHidden/>
    <w:rsid w:val="00FF04E3"/>
    <w:rPr>
      <w:rFonts w:ascii="Calibri" w:hAnsi="Calibri"/>
      <w:b/>
      <w:bCs/>
      <w:i/>
      <w:iCs/>
      <w:sz w:val="26"/>
      <w:szCs w:val="26"/>
    </w:rPr>
  </w:style>
  <w:style w:type="character" w:customStyle="1" w:styleId="Titolo6Carattere">
    <w:name w:val="Titolo 6 Carattere"/>
    <w:basedOn w:val="Carpredefinitoparagrafo"/>
    <w:link w:val="Titolo6"/>
    <w:semiHidden/>
    <w:rsid w:val="00FF04E3"/>
    <w:rPr>
      <w:rFonts w:ascii="Calibri" w:hAnsi="Calibri"/>
      <w:b/>
      <w:bCs/>
      <w:sz w:val="22"/>
      <w:szCs w:val="22"/>
    </w:rPr>
  </w:style>
  <w:style w:type="character" w:customStyle="1" w:styleId="Titolo7Carattere">
    <w:name w:val="Titolo 7 Carattere"/>
    <w:basedOn w:val="Carpredefinitoparagrafo"/>
    <w:link w:val="Titolo7"/>
    <w:semiHidden/>
    <w:rsid w:val="00FF04E3"/>
    <w:rPr>
      <w:rFonts w:ascii="Calibri" w:hAnsi="Calibri"/>
      <w:sz w:val="24"/>
      <w:szCs w:val="24"/>
    </w:rPr>
  </w:style>
  <w:style w:type="character" w:customStyle="1" w:styleId="Titolo8Carattere">
    <w:name w:val="Titolo 8 Carattere"/>
    <w:basedOn w:val="Carpredefinitoparagrafo"/>
    <w:link w:val="Titolo8"/>
    <w:semiHidden/>
    <w:rsid w:val="00FF04E3"/>
    <w:rPr>
      <w:rFonts w:ascii="Calibri" w:hAnsi="Calibri"/>
      <w:i/>
      <w:iCs/>
      <w:sz w:val="24"/>
      <w:szCs w:val="24"/>
    </w:rPr>
  </w:style>
  <w:style w:type="character" w:customStyle="1" w:styleId="Titolo9Carattere">
    <w:name w:val="Titolo 9 Carattere"/>
    <w:basedOn w:val="Carpredefinitoparagrafo"/>
    <w:link w:val="Titolo9"/>
    <w:semiHidden/>
    <w:rsid w:val="00FF04E3"/>
    <w:rPr>
      <w:rFonts w:ascii="Cambria" w:hAnsi="Cambria"/>
      <w:sz w:val="22"/>
      <w:szCs w:val="22"/>
    </w:rPr>
  </w:style>
  <w:style w:type="paragraph" w:customStyle="1" w:styleId="SMHeading">
    <w:name w:val="SM Heading"/>
    <w:basedOn w:val="Titolo1"/>
    <w:qFormat/>
    <w:rsid w:val="00F74F95"/>
  </w:style>
  <w:style w:type="paragraph" w:customStyle="1" w:styleId="SMSubheading">
    <w:name w:val="SM Subheading"/>
    <w:basedOn w:val="Normale"/>
    <w:qFormat/>
    <w:rsid w:val="00B9440A"/>
    <w:rPr>
      <w:u w:val="words"/>
    </w:rPr>
  </w:style>
  <w:style w:type="paragraph" w:customStyle="1" w:styleId="SMText">
    <w:name w:val="SM Text"/>
    <w:basedOn w:val="Normale"/>
    <w:qFormat/>
    <w:rsid w:val="00B9440A"/>
    <w:pPr>
      <w:ind w:firstLine="480"/>
    </w:pPr>
  </w:style>
  <w:style w:type="paragraph" w:customStyle="1" w:styleId="SMcaption">
    <w:name w:val="SM caption"/>
    <w:basedOn w:val="SMText"/>
    <w:qFormat/>
    <w:rsid w:val="00B9440A"/>
    <w:pPr>
      <w:ind w:firstLine="0"/>
    </w:pPr>
  </w:style>
  <w:style w:type="paragraph" w:styleId="Testofumetto">
    <w:name w:val="Balloon Text"/>
    <w:basedOn w:val="Normale"/>
    <w:link w:val="TestofumettoCarattere"/>
    <w:semiHidden/>
    <w:rsid w:val="00405336"/>
    <w:rPr>
      <w:rFonts w:ascii="Tahoma" w:hAnsi="Tahoma" w:cs="Tahoma"/>
      <w:sz w:val="16"/>
      <w:szCs w:val="16"/>
    </w:rPr>
  </w:style>
  <w:style w:type="character" w:customStyle="1" w:styleId="TestofumettoCarattere">
    <w:name w:val="Testo fumetto Carattere"/>
    <w:basedOn w:val="Carpredefinitoparagrafo"/>
    <w:link w:val="Testofumetto"/>
    <w:semiHidden/>
    <w:rsid w:val="00FF04E3"/>
    <w:rPr>
      <w:rFonts w:ascii="Tahoma" w:hAnsi="Tahoma" w:cs="Tahoma"/>
      <w:sz w:val="16"/>
      <w:szCs w:val="16"/>
    </w:rPr>
  </w:style>
  <w:style w:type="paragraph" w:styleId="Bibliografia">
    <w:name w:val="Bibliography"/>
    <w:basedOn w:val="Normale"/>
    <w:next w:val="Normale"/>
    <w:uiPriority w:val="37"/>
    <w:semiHidden/>
    <w:rsid w:val="00405336"/>
    <w:pPr>
      <w:tabs>
        <w:tab w:val="left" w:pos="504"/>
      </w:tabs>
      <w:spacing w:after="240"/>
      <w:ind w:left="504" w:hanging="504"/>
    </w:pPr>
  </w:style>
  <w:style w:type="paragraph" w:styleId="Testodelblocco">
    <w:name w:val="Block Text"/>
    <w:basedOn w:val="Normale"/>
    <w:semiHidden/>
    <w:rsid w:val="00405336"/>
    <w:pPr>
      <w:spacing w:after="120"/>
      <w:ind w:left="1440" w:right="1440"/>
    </w:pPr>
  </w:style>
  <w:style w:type="paragraph" w:styleId="Corpotesto">
    <w:name w:val="Body Text"/>
    <w:basedOn w:val="Normale"/>
    <w:link w:val="CorpotestoCarattere"/>
    <w:semiHidden/>
    <w:rsid w:val="00405336"/>
    <w:pPr>
      <w:spacing w:after="120"/>
    </w:pPr>
  </w:style>
  <w:style w:type="character" w:customStyle="1" w:styleId="CorpotestoCarattere">
    <w:name w:val="Corpo testo Carattere"/>
    <w:basedOn w:val="Carpredefinitoparagrafo"/>
    <w:link w:val="Corpotesto"/>
    <w:semiHidden/>
    <w:rsid w:val="00FF04E3"/>
    <w:rPr>
      <w:sz w:val="24"/>
    </w:rPr>
  </w:style>
  <w:style w:type="paragraph" w:styleId="Corpodeltesto2">
    <w:name w:val="Body Text 2"/>
    <w:basedOn w:val="Normale"/>
    <w:link w:val="Corpodeltesto2Carattere"/>
    <w:semiHidden/>
    <w:rsid w:val="00405336"/>
    <w:pPr>
      <w:spacing w:after="120" w:line="480" w:lineRule="auto"/>
    </w:pPr>
  </w:style>
  <w:style w:type="character" w:customStyle="1" w:styleId="Corpodeltesto2Carattere">
    <w:name w:val="Corpo del testo 2 Carattere"/>
    <w:basedOn w:val="Carpredefinitoparagrafo"/>
    <w:link w:val="Corpodeltesto2"/>
    <w:semiHidden/>
    <w:rsid w:val="00FF04E3"/>
    <w:rPr>
      <w:sz w:val="24"/>
    </w:rPr>
  </w:style>
  <w:style w:type="paragraph" w:styleId="Corpodeltesto3">
    <w:name w:val="Body Text 3"/>
    <w:basedOn w:val="Normale"/>
    <w:link w:val="Corpodeltesto3Carattere"/>
    <w:semiHidden/>
    <w:rsid w:val="00405336"/>
    <w:pPr>
      <w:spacing w:after="120"/>
    </w:pPr>
    <w:rPr>
      <w:sz w:val="16"/>
      <w:szCs w:val="16"/>
    </w:rPr>
  </w:style>
  <w:style w:type="character" w:customStyle="1" w:styleId="Corpodeltesto3Carattere">
    <w:name w:val="Corpo del testo 3 Carattere"/>
    <w:basedOn w:val="Carpredefinitoparagrafo"/>
    <w:link w:val="Corpodeltesto3"/>
    <w:semiHidden/>
    <w:rsid w:val="00FF04E3"/>
    <w:rPr>
      <w:sz w:val="16"/>
      <w:szCs w:val="16"/>
    </w:rPr>
  </w:style>
  <w:style w:type="paragraph" w:styleId="Primorientrocorpodeltesto">
    <w:name w:val="Body Text First Indent"/>
    <w:basedOn w:val="Corpotesto"/>
    <w:link w:val="PrimorientrocorpodeltestoCarattere"/>
    <w:semiHidden/>
    <w:rsid w:val="00405336"/>
    <w:pPr>
      <w:ind w:firstLine="210"/>
    </w:pPr>
  </w:style>
  <w:style w:type="character" w:customStyle="1" w:styleId="PrimorientrocorpodeltestoCarattere">
    <w:name w:val="Primo rientro corpo del testo Carattere"/>
    <w:basedOn w:val="CorpotestoCarattere"/>
    <w:link w:val="Primorientrocorpodeltesto"/>
    <w:semiHidden/>
    <w:rsid w:val="00FF04E3"/>
    <w:rPr>
      <w:sz w:val="24"/>
    </w:rPr>
  </w:style>
  <w:style w:type="paragraph" w:styleId="Rientrocorpodeltesto">
    <w:name w:val="Body Text Indent"/>
    <w:basedOn w:val="Normale"/>
    <w:link w:val="RientrocorpodeltestoCarattere"/>
    <w:semiHidden/>
    <w:rsid w:val="00405336"/>
    <w:pPr>
      <w:spacing w:after="120"/>
      <w:ind w:left="360"/>
    </w:pPr>
  </w:style>
  <w:style w:type="character" w:customStyle="1" w:styleId="RientrocorpodeltestoCarattere">
    <w:name w:val="Rientro corpo del testo Carattere"/>
    <w:basedOn w:val="Carpredefinitoparagrafo"/>
    <w:link w:val="Rientrocorpodeltesto"/>
    <w:semiHidden/>
    <w:rsid w:val="00FF04E3"/>
    <w:rPr>
      <w:sz w:val="24"/>
    </w:rPr>
  </w:style>
  <w:style w:type="paragraph" w:styleId="Primorientrocorpodeltesto2">
    <w:name w:val="Body Text First Indent 2"/>
    <w:basedOn w:val="Rientrocorpodeltesto"/>
    <w:link w:val="Primorientrocorpodeltesto2Carattere"/>
    <w:semiHidden/>
    <w:rsid w:val="00405336"/>
    <w:pPr>
      <w:ind w:firstLine="210"/>
    </w:pPr>
  </w:style>
  <w:style w:type="character" w:customStyle="1" w:styleId="Primorientrocorpodeltesto2Carattere">
    <w:name w:val="Primo rientro corpo del testo 2 Carattere"/>
    <w:basedOn w:val="RientrocorpodeltestoCarattere"/>
    <w:link w:val="Primorientrocorpodeltesto2"/>
    <w:semiHidden/>
    <w:rsid w:val="00FF04E3"/>
    <w:rPr>
      <w:sz w:val="24"/>
    </w:rPr>
  </w:style>
  <w:style w:type="paragraph" w:styleId="Rientrocorpodeltesto2">
    <w:name w:val="Body Text Indent 2"/>
    <w:basedOn w:val="Normale"/>
    <w:link w:val="Rientrocorpodeltesto2Carattere"/>
    <w:semiHidden/>
    <w:rsid w:val="00405336"/>
    <w:pPr>
      <w:spacing w:after="120" w:line="480" w:lineRule="auto"/>
      <w:ind w:left="360"/>
    </w:pPr>
  </w:style>
  <w:style w:type="character" w:customStyle="1" w:styleId="Rientrocorpodeltesto2Carattere">
    <w:name w:val="Rientro corpo del testo 2 Carattere"/>
    <w:basedOn w:val="Carpredefinitoparagrafo"/>
    <w:link w:val="Rientrocorpodeltesto2"/>
    <w:semiHidden/>
    <w:rsid w:val="00FF04E3"/>
    <w:rPr>
      <w:sz w:val="24"/>
    </w:rPr>
  </w:style>
  <w:style w:type="paragraph" w:styleId="Rientrocorpodeltesto3">
    <w:name w:val="Body Text Indent 3"/>
    <w:basedOn w:val="Normale"/>
    <w:link w:val="Rientrocorpodeltesto3Carattere"/>
    <w:semiHidden/>
    <w:rsid w:val="00405336"/>
    <w:pPr>
      <w:spacing w:after="120"/>
      <w:ind w:left="360"/>
    </w:pPr>
    <w:rPr>
      <w:sz w:val="16"/>
      <w:szCs w:val="16"/>
    </w:rPr>
  </w:style>
  <w:style w:type="character" w:customStyle="1" w:styleId="Rientrocorpodeltesto3Carattere">
    <w:name w:val="Rientro corpo del testo 3 Carattere"/>
    <w:basedOn w:val="Carpredefinitoparagrafo"/>
    <w:link w:val="Rientrocorpodeltesto3"/>
    <w:semiHidden/>
    <w:rsid w:val="00FF04E3"/>
    <w:rPr>
      <w:sz w:val="16"/>
      <w:szCs w:val="16"/>
    </w:rPr>
  </w:style>
  <w:style w:type="paragraph" w:styleId="Didascalia">
    <w:name w:val="caption"/>
    <w:basedOn w:val="Normale"/>
    <w:next w:val="Normale"/>
    <w:semiHidden/>
    <w:qFormat/>
    <w:rsid w:val="00405336"/>
    <w:rPr>
      <w:b/>
      <w:bCs/>
      <w:sz w:val="20"/>
    </w:rPr>
  </w:style>
  <w:style w:type="paragraph" w:styleId="Formuladichiusura">
    <w:name w:val="Closing"/>
    <w:basedOn w:val="Normale"/>
    <w:link w:val="FormuladichiusuraCarattere"/>
    <w:semiHidden/>
    <w:rsid w:val="00405336"/>
    <w:pPr>
      <w:ind w:left="4320"/>
    </w:pPr>
  </w:style>
  <w:style w:type="character" w:customStyle="1" w:styleId="FormuladichiusuraCarattere">
    <w:name w:val="Formula di chiusura Carattere"/>
    <w:basedOn w:val="Carpredefinitoparagrafo"/>
    <w:link w:val="Formuladichiusura"/>
    <w:semiHidden/>
    <w:rsid w:val="00FF04E3"/>
    <w:rPr>
      <w:sz w:val="24"/>
    </w:rPr>
  </w:style>
  <w:style w:type="paragraph" w:styleId="Testocommento">
    <w:name w:val="annotation text"/>
    <w:basedOn w:val="Normale"/>
    <w:link w:val="TestocommentoCarattere"/>
    <w:semiHidden/>
    <w:rsid w:val="00405336"/>
    <w:rPr>
      <w:sz w:val="20"/>
    </w:rPr>
  </w:style>
  <w:style w:type="character" w:customStyle="1" w:styleId="TestocommentoCarattere">
    <w:name w:val="Testo commento Carattere"/>
    <w:basedOn w:val="Carpredefinitoparagrafo"/>
    <w:link w:val="Testocommento"/>
    <w:semiHidden/>
    <w:rsid w:val="00FF04E3"/>
  </w:style>
  <w:style w:type="paragraph" w:styleId="Soggettocommento">
    <w:name w:val="annotation subject"/>
    <w:basedOn w:val="Testocommento"/>
    <w:next w:val="Testocommento"/>
    <w:link w:val="SoggettocommentoCarattere"/>
    <w:semiHidden/>
    <w:rsid w:val="00405336"/>
    <w:rPr>
      <w:b/>
      <w:bCs/>
    </w:rPr>
  </w:style>
  <w:style w:type="character" w:customStyle="1" w:styleId="SoggettocommentoCarattere">
    <w:name w:val="Soggetto commento Carattere"/>
    <w:basedOn w:val="TestocommentoCarattere"/>
    <w:link w:val="Soggettocommento"/>
    <w:semiHidden/>
    <w:rsid w:val="00FF04E3"/>
    <w:rPr>
      <w:b/>
      <w:bCs/>
    </w:rPr>
  </w:style>
  <w:style w:type="paragraph" w:styleId="Data">
    <w:name w:val="Date"/>
    <w:basedOn w:val="Normale"/>
    <w:next w:val="Normale"/>
    <w:link w:val="DataCarattere"/>
    <w:semiHidden/>
    <w:rsid w:val="00405336"/>
  </w:style>
  <w:style w:type="character" w:customStyle="1" w:styleId="DataCarattere">
    <w:name w:val="Data Carattere"/>
    <w:basedOn w:val="Carpredefinitoparagrafo"/>
    <w:link w:val="Data"/>
    <w:semiHidden/>
    <w:rsid w:val="00FF04E3"/>
    <w:rPr>
      <w:sz w:val="24"/>
    </w:rPr>
  </w:style>
  <w:style w:type="paragraph" w:styleId="Mappadocumento">
    <w:name w:val="Document Map"/>
    <w:basedOn w:val="Normale"/>
    <w:link w:val="MappadocumentoCarattere"/>
    <w:semiHidden/>
    <w:rsid w:val="00405336"/>
    <w:rPr>
      <w:rFonts w:ascii="Tahoma" w:hAnsi="Tahoma" w:cs="Tahoma"/>
      <w:sz w:val="16"/>
      <w:szCs w:val="16"/>
    </w:rPr>
  </w:style>
  <w:style w:type="character" w:customStyle="1" w:styleId="MappadocumentoCarattere">
    <w:name w:val="Mappa documento Carattere"/>
    <w:basedOn w:val="Carpredefinitoparagrafo"/>
    <w:link w:val="Mappadocumento"/>
    <w:semiHidden/>
    <w:rsid w:val="00FF04E3"/>
    <w:rPr>
      <w:rFonts w:ascii="Tahoma" w:hAnsi="Tahoma" w:cs="Tahoma"/>
      <w:sz w:val="16"/>
      <w:szCs w:val="16"/>
    </w:rPr>
  </w:style>
  <w:style w:type="paragraph" w:styleId="Firmadipostaelettronica">
    <w:name w:val="E-mail Signature"/>
    <w:basedOn w:val="Normale"/>
    <w:link w:val="FirmadipostaelettronicaCarattere"/>
    <w:semiHidden/>
    <w:rsid w:val="00405336"/>
  </w:style>
  <w:style w:type="character" w:customStyle="1" w:styleId="FirmadipostaelettronicaCarattere">
    <w:name w:val="Firma di posta elettronica Carattere"/>
    <w:basedOn w:val="Carpredefinitoparagrafo"/>
    <w:link w:val="Firmadipostaelettronica"/>
    <w:semiHidden/>
    <w:rsid w:val="00FF04E3"/>
    <w:rPr>
      <w:sz w:val="24"/>
    </w:rPr>
  </w:style>
  <w:style w:type="paragraph" w:styleId="Testonotadichiusura">
    <w:name w:val="endnote text"/>
    <w:basedOn w:val="Normale"/>
    <w:link w:val="TestonotadichiusuraCarattere"/>
    <w:semiHidden/>
    <w:rsid w:val="00405336"/>
    <w:rPr>
      <w:sz w:val="20"/>
    </w:rPr>
  </w:style>
  <w:style w:type="character" w:customStyle="1" w:styleId="TestonotadichiusuraCarattere">
    <w:name w:val="Testo nota di chiusura Carattere"/>
    <w:basedOn w:val="Carpredefinitoparagrafo"/>
    <w:link w:val="Testonotadichiusura"/>
    <w:semiHidden/>
    <w:rsid w:val="00FF04E3"/>
  </w:style>
  <w:style w:type="paragraph" w:styleId="Indirizzodestinatario">
    <w:name w:val="envelope address"/>
    <w:basedOn w:val="Normale"/>
    <w:semiHidden/>
    <w:rsid w:val="00405336"/>
    <w:pPr>
      <w:framePr w:w="7920" w:h="1980" w:hRule="exact" w:hSpace="180" w:wrap="auto" w:hAnchor="page" w:xAlign="center" w:yAlign="bottom"/>
      <w:ind w:left="2880"/>
    </w:pPr>
    <w:rPr>
      <w:rFonts w:ascii="Cambria" w:hAnsi="Cambria"/>
      <w:szCs w:val="24"/>
    </w:rPr>
  </w:style>
  <w:style w:type="paragraph" w:styleId="Indirizzomittente">
    <w:name w:val="envelope return"/>
    <w:basedOn w:val="Normale"/>
    <w:semiHidden/>
    <w:rsid w:val="00405336"/>
    <w:rPr>
      <w:rFonts w:ascii="Cambria" w:hAnsi="Cambria"/>
      <w:sz w:val="20"/>
    </w:rPr>
  </w:style>
  <w:style w:type="paragraph" w:styleId="Pidipagina">
    <w:name w:val="footer"/>
    <w:basedOn w:val="Normale"/>
    <w:link w:val="PidipaginaCarattere"/>
    <w:semiHidden/>
    <w:rsid w:val="00405336"/>
    <w:pPr>
      <w:tabs>
        <w:tab w:val="center" w:pos="4680"/>
        <w:tab w:val="right" w:pos="9360"/>
      </w:tabs>
    </w:pPr>
  </w:style>
  <w:style w:type="character" w:customStyle="1" w:styleId="PidipaginaCarattere">
    <w:name w:val="Piè di pagina Carattere"/>
    <w:basedOn w:val="Carpredefinitoparagrafo"/>
    <w:link w:val="Pidipagina"/>
    <w:semiHidden/>
    <w:rsid w:val="00FF04E3"/>
    <w:rPr>
      <w:sz w:val="24"/>
    </w:rPr>
  </w:style>
  <w:style w:type="paragraph" w:styleId="Testonotaapidipagina">
    <w:name w:val="footnote text"/>
    <w:basedOn w:val="Normale"/>
    <w:link w:val="TestonotaapidipaginaCarattere"/>
    <w:semiHidden/>
    <w:rsid w:val="00405336"/>
    <w:rPr>
      <w:sz w:val="20"/>
    </w:rPr>
  </w:style>
  <w:style w:type="character" w:customStyle="1" w:styleId="TestonotaapidipaginaCarattere">
    <w:name w:val="Testo nota a piè di pagina Carattere"/>
    <w:basedOn w:val="Carpredefinitoparagrafo"/>
    <w:link w:val="Testonotaapidipagina"/>
    <w:semiHidden/>
    <w:rsid w:val="00FF04E3"/>
  </w:style>
  <w:style w:type="paragraph" w:styleId="Intestazione">
    <w:name w:val="header"/>
    <w:basedOn w:val="Normale"/>
    <w:link w:val="IntestazioneCarattere"/>
    <w:semiHidden/>
    <w:rsid w:val="00405336"/>
    <w:pPr>
      <w:tabs>
        <w:tab w:val="center" w:pos="4680"/>
        <w:tab w:val="right" w:pos="9360"/>
      </w:tabs>
    </w:pPr>
  </w:style>
  <w:style w:type="character" w:customStyle="1" w:styleId="IntestazioneCarattere">
    <w:name w:val="Intestazione Carattere"/>
    <w:basedOn w:val="Carpredefinitoparagrafo"/>
    <w:link w:val="Intestazione"/>
    <w:semiHidden/>
    <w:rsid w:val="00FF04E3"/>
    <w:rPr>
      <w:sz w:val="24"/>
    </w:rPr>
  </w:style>
  <w:style w:type="paragraph" w:styleId="IndirizzoHTML">
    <w:name w:val="HTML Address"/>
    <w:basedOn w:val="Normale"/>
    <w:link w:val="IndirizzoHTMLCarattere"/>
    <w:semiHidden/>
    <w:rsid w:val="00405336"/>
    <w:rPr>
      <w:i/>
      <w:iCs/>
    </w:rPr>
  </w:style>
  <w:style w:type="character" w:customStyle="1" w:styleId="IndirizzoHTMLCarattere">
    <w:name w:val="Indirizzo HTML Carattere"/>
    <w:basedOn w:val="Carpredefinitoparagrafo"/>
    <w:link w:val="IndirizzoHTML"/>
    <w:semiHidden/>
    <w:rsid w:val="00FF04E3"/>
    <w:rPr>
      <w:i/>
      <w:iCs/>
      <w:sz w:val="24"/>
    </w:rPr>
  </w:style>
  <w:style w:type="paragraph" w:styleId="PreformattatoHTML">
    <w:name w:val="HTML Preformatted"/>
    <w:basedOn w:val="Normale"/>
    <w:link w:val="PreformattatoHTMLCarattere"/>
    <w:semiHidden/>
    <w:rsid w:val="00405336"/>
    <w:rPr>
      <w:rFonts w:ascii="Courier New" w:hAnsi="Courier New" w:cs="Courier New"/>
      <w:sz w:val="20"/>
    </w:rPr>
  </w:style>
  <w:style w:type="character" w:customStyle="1" w:styleId="PreformattatoHTMLCarattere">
    <w:name w:val="Preformattato HTML Carattere"/>
    <w:basedOn w:val="Carpredefinitoparagrafo"/>
    <w:link w:val="PreformattatoHTML"/>
    <w:semiHidden/>
    <w:rsid w:val="00FF04E3"/>
    <w:rPr>
      <w:rFonts w:ascii="Courier New" w:hAnsi="Courier New" w:cs="Courier New"/>
    </w:rPr>
  </w:style>
  <w:style w:type="paragraph" w:styleId="Indice1">
    <w:name w:val="index 1"/>
    <w:basedOn w:val="Normale"/>
    <w:next w:val="Normale"/>
    <w:autoRedefine/>
    <w:semiHidden/>
    <w:rsid w:val="00405336"/>
    <w:pPr>
      <w:ind w:left="240" w:hanging="240"/>
    </w:pPr>
  </w:style>
  <w:style w:type="paragraph" w:styleId="Indice2">
    <w:name w:val="index 2"/>
    <w:basedOn w:val="Normale"/>
    <w:next w:val="Normale"/>
    <w:autoRedefine/>
    <w:semiHidden/>
    <w:rsid w:val="00405336"/>
    <w:pPr>
      <w:ind w:left="480" w:hanging="240"/>
    </w:pPr>
  </w:style>
  <w:style w:type="paragraph" w:styleId="Indice3">
    <w:name w:val="index 3"/>
    <w:basedOn w:val="Normale"/>
    <w:next w:val="Normale"/>
    <w:autoRedefine/>
    <w:semiHidden/>
    <w:rsid w:val="00405336"/>
    <w:pPr>
      <w:ind w:left="720" w:hanging="240"/>
    </w:pPr>
  </w:style>
  <w:style w:type="paragraph" w:styleId="Indice4">
    <w:name w:val="index 4"/>
    <w:basedOn w:val="Normale"/>
    <w:next w:val="Normale"/>
    <w:autoRedefine/>
    <w:semiHidden/>
    <w:rsid w:val="00405336"/>
    <w:pPr>
      <w:ind w:left="960" w:hanging="240"/>
    </w:pPr>
  </w:style>
  <w:style w:type="paragraph" w:styleId="Indice5">
    <w:name w:val="index 5"/>
    <w:basedOn w:val="Normale"/>
    <w:next w:val="Normale"/>
    <w:autoRedefine/>
    <w:semiHidden/>
    <w:rsid w:val="00405336"/>
    <w:pPr>
      <w:ind w:left="1200" w:hanging="240"/>
    </w:pPr>
  </w:style>
  <w:style w:type="paragraph" w:styleId="Indice6">
    <w:name w:val="index 6"/>
    <w:basedOn w:val="Normale"/>
    <w:next w:val="Normale"/>
    <w:autoRedefine/>
    <w:semiHidden/>
    <w:rsid w:val="00405336"/>
    <w:pPr>
      <w:ind w:left="1440" w:hanging="240"/>
    </w:pPr>
  </w:style>
  <w:style w:type="paragraph" w:styleId="Indice7">
    <w:name w:val="index 7"/>
    <w:basedOn w:val="Normale"/>
    <w:next w:val="Normale"/>
    <w:autoRedefine/>
    <w:semiHidden/>
    <w:rsid w:val="00405336"/>
    <w:pPr>
      <w:ind w:left="1680" w:hanging="240"/>
    </w:pPr>
  </w:style>
  <w:style w:type="paragraph" w:styleId="Indice8">
    <w:name w:val="index 8"/>
    <w:basedOn w:val="Normale"/>
    <w:next w:val="Normale"/>
    <w:autoRedefine/>
    <w:semiHidden/>
    <w:rsid w:val="00405336"/>
    <w:pPr>
      <w:ind w:left="1920" w:hanging="240"/>
    </w:pPr>
  </w:style>
  <w:style w:type="paragraph" w:styleId="Indice9">
    <w:name w:val="index 9"/>
    <w:basedOn w:val="Normale"/>
    <w:next w:val="Normale"/>
    <w:autoRedefine/>
    <w:semiHidden/>
    <w:rsid w:val="00405336"/>
    <w:pPr>
      <w:ind w:left="2160" w:hanging="240"/>
    </w:pPr>
  </w:style>
  <w:style w:type="paragraph" w:styleId="Titoloindice">
    <w:name w:val="index heading"/>
    <w:basedOn w:val="Normale"/>
    <w:next w:val="Indice1"/>
    <w:semiHidden/>
    <w:rsid w:val="00405336"/>
    <w:rPr>
      <w:rFonts w:ascii="Cambria" w:hAnsi="Cambria"/>
      <w:b/>
      <w:bCs/>
    </w:rPr>
  </w:style>
  <w:style w:type="paragraph" w:styleId="Citazioneintensa">
    <w:name w:val="Intense Quote"/>
    <w:basedOn w:val="Normale"/>
    <w:next w:val="Normale"/>
    <w:link w:val="CitazioneintensaCarattere"/>
    <w:uiPriority w:val="30"/>
    <w:semiHidden/>
    <w:qFormat/>
    <w:rsid w:val="00405336"/>
    <w:pPr>
      <w:pBdr>
        <w:bottom w:val="single" w:sz="4" w:space="4" w:color="4F81BD"/>
      </w:pBdr>
      <w:spacing w:before="200" w:after="280"/>
      <w:ind w:left="936" w:right="936"/>
    </w:pPr>
    <w:rPr>
      <w:b/>
      <w:bCs/>
      <w:i/>
      <w:iCs/>
      <w:color w:val="4F81BD"/>
    </w:rPr>
  </w:style>
  <w:style w:type="character" w:customStyle="1" w:styleId="CitazioneintensaCarattere">
    <w:name w:val="Citazione intensa Carattere"/>
    <w:basedOn w:val="Carpredefinitoparagrafo"/>
    <w:link w:val="Citazioneintensa"/>
    <w:uiPriority w:val="30"/>
    <w:semiHidden/>
    <w:rsid w:val="00FF04E3"/>
    <w:rPr>
      <w:b/>
      <w:bCs/>
      <w:i/>
      <w:iCs/>
      <w:color w:val="4F81BD"/>
      <w:sz w:val="24"/>
    </w:rPr>
  </w:style>
  <w:style w:type="paragraph" w:styleId="Elenco">
    <w:name w:val="List"/>
    <w:basedOn w:val="Normale"/>
    <w:semiHidden/>
    <w:rsid w:val="00405336"/>
    <w:pPr>
      <w:ind w:left="360" w:hanging="360"/>
      <w:contextualSpacing/>
    </w:pPr>
  </w:style>
  <w:style w:type="paragraph" w:styleId="Elenco2">
    <w:name w:val="List 2"/>
    <w:basedOn w:val="Normale"/>
    <w:semiHidden/>
    <w:rsid w:val="00405336"/>
    <w:pPr>
      <w:ind w:left="720" w:hanging="360"/>
      <w:contextualSpacing/>
    </w:pPr>
  </w:style>
  <w:style w:type="paragraph" w:styleId="Elenco3">
    <w:name w:val="List 3"/>
    <w:basedOn w:val="Normale"/>
    <w:semiHidden/>
    <w:rsid w:val="00405336"/>
    <w:pPr>
      <w:ind w:left="1080" w:hanging="360"/>
      <w:contextualSpacing/>
    </w:pPr>
  </w:style>
  <w:style w:type="paragraph" w:styleId="Elenco4">
    <w:name w:val="List 4"/>
    <w:basedOn w:val="Normale"/>
    <w:semiHidden/>
    <w:rsid w:val="00405336"/>
    <w:pPr>
      <w:ind w:left="1440" w:hanging="360"/>
      <w:contextualSpacing/>
    </w:pPr>
  </w:style>
  <w:style w:type="paragraph" w:styleId="Elenco5">
    <w:name w:val="List 5"/>
    <w:basedOn w:val="Normale"/>
    <w:semiHidden/>
    <w:rsid w:val="00405336"/>
    <w:pPr>
      <w:ind w:left="1800" w:hanging="360"/>
      <w:contextualSpacing/>
    </w:pPr>
  </w:style>
  <w:style w:type="paragraph" w:styleId="Puntoelenco">
    <w:name w:val="List Bullet"/>
    <w:basedOn w:val="Normale"/>
    <w:semiHidden/>
    <w:rsid w:val="00405336"/>
    <w:pPr>
      <w:numPr>
        <w:numId w:val="1"/>
      </w:numPr>
      <w:contextualSpacing/>
    </w:pPr>
  </w:style>
  <w:style w:type="paragraph" w:styleId="Puntoelenco2">
    <w:name w:val="List Bullet 2"/>
    <w:basedOn w:val="Normale"/>
    <w:semiHidden/>
    <w:rsid w:val="00405336"/>
    <w:pPr>
      <w:numPr>
        <w:numId w:val="2"/>
      </w:numPr>
      <w:contextualSpacing/>
    </w:pPr>
  </w:style>
  <w:style w:type="paragraph" w:styleId="Puntoelenco3">
    <w:name w:val="List Bullet 3"/>
    <w:basedOn w:val="Normale"/>
    <w:semiHidden/>
    <w:rsid w:val="00405336"/>
    <w:pPr>
      <w:numPr>
        <w:numId w:val="3"/>
      </w:numPr>
      <w:contextualSpacing/>
    </w:pPr>
  </w:style>
  <w:style w:type="paragraph" w:styleId="Puntoelenco4">
    <w:name w:val="List Bullet 4"/>
    <w:basedOn w:val="Normale"/>
    <w:semiHidden/>
    <w:rsid w:val="00405336"/>
    <w:pPr>
      <w:numPr>
        <w:numId w:val="4"/>
      </w:numPr>
      <w:contextualSpacing/>
    </w:pPr>
  </w:style>
  <w:style w:type="paragraph" w:styleId="Puntoelenco5">
    <w:name w:val="List Bullet 5"/>
    <w:basedOn w:val="Normale"/>
    <w:semiHidden/>
    <w:rsid w:val="00405336"/>
    <w:pPr>
      <w:numPr>
        <w:numId w:val="5"/>
      </w:numPr>
      <w:contextualSpacing/>
    </w:pPr>
  </w:style>
  <w:style w:type="paragraph" w:styleId="Elencocontinua">
    <w:name w:val="List Continue"/>
    <w:basedOn w:val="Normale"/>
    <w:semiHidden/>
    <w:rsid w:val="00405336"/>
    <w:pPr>
      <w:spacing w:after="120"/>
      <w:ind w:left="360"/>
      <w:contextualSpacing/>
    </w:pPr>
  </w:style>
  <w:style w:type="paragraph" w:styleId="Elencocontinua2">
    <w:name w:val="List Continue 2"/>
    <w:basedOn w:val="Normale"/>
    <w:semiHidden/>
    <w:rsid w:val="00405336"/>
    <w:pPr>
      <w:spacing w:after="120"/>
      <w:ind w:left="720"/>
      <w:contextualSpacing/>
    </w:pPr>
  </w:style>
  <w:style w:type="paragraph" w:styleId="Elencocontinua3">
    <w:name w:val="List Continue 3"/>
    <w:basedOn w:val="Normale"/>
    <w:semiHidden/>
    <w:rsid w:val="00405336"/>
    <w:pPr>
      <w:spacing w:after="120"/>
      <w:ind w:left="1080"/>
      <w:contextualSpacing/>
    </w:pPr>
  </w:style>
  <w:style w:type="paragraph" w:styleId="Elencocontinua4">
    <w:name w:val="List Continue 4"/>
    <w:basedOn w:val="Normale"/>
    <w:semiHidden/>
    <w:rsid w:val="00405336"/>
    <w:pPr>
      <w:spacing w:after="120"/>
      <w:ind w:left="1440"/>
      <w:contextualSpacing/>
    </w:pPr>
  </w:style>
  <w:style w:type="paragraph" w:styleId="Elencocontinua5">
    <w:name w:val="List Continue 5"/>
    <w:basedOn w:val="Normale"/>
    <w:semiHidden/>
    <w:rsid w:val="00405336"/>
    <w:pPr>
      <w:spacing w:after="120"/>
      <w:ind w:left="1800"/>
      <w:contextualSpacing/>
    </w:pPr>
  </w:style>
  <w:style w:type="paragraph" w:styleId="Numeroelenco">
    <w:name w:val="List Number"/>
    <w:basedOn w:val="Normale"/>
    <w:semiHidden/>
    <w:rsid w:val="00405336"/>
    <w:pPr>
      <w:numPr>
        <w:numId w:val="6"/>
      </w:numPr>
      <w:contextualSpacing/>
    </w:pPr>
  </w:style>
  <w:style w:type="paragraph" w:styleId="Numeroelenco2">
    <w:name w:val="List Number 2"/>
    <w:basedOn w:val="Normale"/>
    <w:semiHidden/>
    <w:rsid w:val="00405336"/>
    <w:pPr>
      <w:numPr>
        <w:numId w:val="7"/>
      </w:numPr>
      <w:contextualSpacing/>
    </w:pPr>
  </w:style>
  <w:style w:type="paragraph" w:styleId="Numeroelenco3">
    <w:name w:val="List Number 3"/>
    <w:basedOn w:val="Normale"/>
    <w:semiHidden/>
    <w:rsid w:val="00405336"/>
    <w:pPr>
      <w:numPr>
        <w:numId w:val="8"/>
      </w:numPr>
      <w:contextualSpacing/>
    </w:pPr>
  </w:style>
  <w:style w:type="paragraph" w:styleId="Numeroelenco4">
    <w:name w:val="List Number 4"/>
    <w:basedOn w:val="Normale"/>
    <w:semiHidden/>
    <w:rsid w:val="00405336"/>
    <w:pPr>
      <w:numPr>
        <w:numId w:val="9"/>
      </w:numPr>
      <w:contextualSpacing/>
    </w:pPr>
  </w:style>
  <w:style w:type="paragraph" w:styleId="Numeroelenco5">
    <w:name w:val="List Number 5"/>
    <w:basedOn w:val="Normale"/>
    <w:semiHidden/>
    <w:rsid w:val="00405336"/>
    <w:pPr>
      <w:numPr>
        <w:numId w:val="10"/>
      </w:numPr>
      <w:contextualSpacing/>
    </w:pPr>
  </w:style>
  <w:style w:type="paragraph" w:styleId="Paragrafoelenco">
    <w:name w:val="List Paragraph"/>
    <w:basedOn w:val="Normale"/>
    <w:uiPriority w:val="34"/>
    <w:semiHidden/>
    <w:qFormat/>
    <w:rsid w:val="00405336"/>
    <w:pPr>
      <w:ind w:left="720"/>
    </w:pPr>
  </w:style>
  <w:style w:type="paragraph" w:styleId="Testomacro">
    <w:name w:val="macro"/>
    <w:link w:val="TestomacroCaratter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TestomacroCarattere">
    <w:name w:val="Testo macro Carattere"/>
    <w:basedOn w:val="Carpredefinitoparagrafo"/>
    <w:link w:val="Testomacro"/>
    <w:semiHidden/>
    <w:rsid w:val="00FF04E3"/>
    <w:rPr>
      <w:rFonts w:ascii="Courier New" w:hAnsi="Courier New" w:cs="Courier New"/>
      <w:lang w:val="en-US" w:eastAsia="en-US" w:bidi="ar-SA"/>
    </w:rPr>
  </w:style>
  <w:style w:type="paragraph" w:styleId="Intestazionemessaggio">
    <w:name w:val="Message Header"/>
    <w:basedOn w:val="Normale"/>
    <w:link w:val="IntestazionemessaggioCarattere"/>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IntestazionemessaggioCarattere">
    <w:name w:val="Intestazione messaggio Carattere"/>
    <w:basedOn w:val="Carpredefinitoparagrafo"/>
    <w:link w:val="Intestazionemessaggio"/>
    <w:semiHidden/>
    <w:rsid w:val="00FF04E3"/>
    <w:rPr>
      <w:rFonts w:ascii="Cambria" w:hAnsi="Cambria"/>
      <w:sz w:val="24"/>
      <w:szCs w:val="24"/>
      <w:shd w:val="pct20" w:color="auto" w:fill="auto"/>
    </w:rPr>
  </w:style>
  <w:style w:type="paragraph" w:styleId="Nessunaspaziatura">
    <w:name w:val="No Spacing"/>
    <w:uiPriority w:val="1"/>
    <w:semiHidden/>
    <w:qFormat/>
    <w:rsid w:val="00405336"/>
    <w:rPr>
      <w:sz w:val="24"/>
    </w:rPr>
  </w:style>
  <w:style w:type="paragraph" w:styleId="NormaleWeb">
    <w:name w:val="Normal (Web)"/>
    <w:basedOn w:val="Normale"/>
    <w:uiPriority w:val="99"/>
    <w:semiHidden/>
    <w:rsid w:val="00405336"/>
    <w:rPr>
      <w:szCs w:val="24"/>
    </w:rPr>
  </w:style>
  <w:style w:type="paragraph" w:styleId="Rientronormale">
    <w:name w:val="Normal Indent"/>
    <w:basedOn w:val="Normale"/>
    <w:semiHidden/>
    <w:rsid w:val="00405336"/>
    <w:pPr>
      <w:ind w:left="720"/>
    </w:pPr>
  </w:style>
  <w:style w:type="paragraph" w:styleId="Intestazionenota">
    <w:name w:val="Note Heading"/>
    <w:basedOn w:val="Normale"/>
    <w:next w:val="Normale"/>
    <w:link w:val="IntestazionenotaCarattere"/>
    <w:semiHidden/>
    <w:rsid w:val="00405336"/>
  </w:style>
  <w:style w:type="character" w:customStyle="1" w:styleId="IntestazionenotaCarattere">
    <w:name w:val="Intestazione nota Carattere"/>
    <w:basedOn w:val="Carpredefinitoparagrafo"/>
    <w:link w:val="Intestazionenota"/>
    <w:semiHidden/>
    <w:rsid w:val="00FF04E3"/>
    <w:rPr>
      <w:sz w:val="24"/>
    </w:rPr>
  </w:style>
  <w:style w:type="paragraph" w:styleId="Testonormale">
    <w:name w:val="Plain Text"/>
    <w:basedOn w:val="Normale"/>
    <w:link w:val="TestonormaleCarattere"/>
    <w:semiHidden/>
    <w:rsid w:val="00405336"/>
    <w:rPr>
      <w:rFonts w:ascii="Courier New" w:hAnsi="Courier New" w:cs="Courier New"/>
      <w:sz w:val="20"/>
    </w:rPr>
  </w:style>
  <w:style w:type="character" w:customStyle="1" w:styleId="TestonormaleCarattere">
    <w:name w:val="Testo normale Carattere"/>
    <w:basedOn w:val="Carpredefinitoparagrafo"/>
    <w:link w:val="Testonormale"/>
    <w:semiHidden/>
    <w:rsid w:val="00FF04E3"/>
    <w:rPr>
      <w:rFonts w:ascii="Courier New" w:hAnsi="Courier New" w:cs="Courier New"/>
    </w:rPr>
  </w:style>
  <w:style w:type="paragraph" w:styleId="Citazione">
    <w:name w:val="Quote"/>
    <w:basedOn w:val="Normale"/>
    <w:next w:val="Normale"/>
    <w:link w:val="CitazioneCarattere"/>
    <w:uiPriority w:val="29"/>
    <w:semiHidden/>
    <w:qFormat/>
    <w:rsid w:val="00405336"/>
    <w:rPr>
      <w:i/>
      <w:iCs/>
      <w:color w:val="000000"/>
    </w:rPr>
  </w:style>
  <w:style w:type="character" w:customStyle="1" w:styleId="CitazioneCarattere">
    <w:name w:val="Citazione Carattere"/>
    <w:basedOn w:val="Carpredefinitoparagrafo"/>
    <w:link w:val="Citazione"/>
    <w:uiPriority w:val="29"/>
    <w:semiHidden/>
    <w:rsid w:val="00FF04E3"/>
    <w:rPr>
      <w:i/>
      <w:iCs/>
      <w:color w:val="000000"/>
      <w:sz w:val="24"/>
    </w:rPr>
  </w:style>
  <w:style w:type="paragraph" w:styleId="Formuladiapertura">
    <w:name w:val="Salutation"/>
    <w:basedOn w:val="Normale"/>
    <w:next w:val="Normale"/>
    <w:link w:val="FormuladiaperturaCarattere"/>
    <w:semiHidden/>
    <w:rsid w:val="00405336"/>
  </w:style>
  <w:style w:type="character" w:customStyle="1" w:styleId="FormuladiaperturaCarattere">
    <w:name w:val="Formula di apertura Carattere"/>
    <w:basedOn w:val="Carpredefinitoparagrafo"/>
    <w:link w:val="Formuladiapertura"/>
    <w:semiHidden/>
    <w:rsid w:val="00FF04E3"/>
    <w:rPr>
      <w:sz w:val="24"/>
    </w:rPr>
  </w:style>
  <w:style w:type="paragraph" w:styleId="Firma">
    <w:name w:val="Signature"/>
    <w:basedOn w:val="Normale"/>
    <w:link w:val="FirmaCarattere"/>
    <w:semiHidden/>
    <w:rsid w:val="00405336"/>
    <w:pPr>
      <w:ind w:left="4320"/>
    </w:pPr>
  </w:style>
  <w:style w:type="character" w:customStyle="1" w:styleId="FirmaCarattere">
    <w:name w:val="Firma Carattere"/>
    <w:basedOn w:val="Carpredefinitoparagrafo"/>
    <w:link w:val="Firma"/>
    <w:semiHidden/>
    <w:rsid w:val="00FF04E3"/>
    <w:rPr>
      <w:sz w:val="24"/>
    </w:rPr>
  </w:style>
  <w:style w:type="paragraph" w:styleId="Sottotitolo">
    <w:name w:val="Subtitle"/>
    <w:basedOn w:val="Normale"/>
    <w:next w:val="Normale"/>
    <w:link w:val="SottotitoloCarattere"/>
    <w:semiHidden/>
    <w:qFormat/>
    <w:rsid w:val="00405336"/>
    <w:pPr>
      <w:spacing w:after="60"/>
      <w:jc w:val="center"/>
      <w:outlineLvl w:val="1"/>
    </w:pPr>
    <w:rPr>
      <w:rFonts w:ascii="Cambria" w:hAnsi="Cambria"/>
      <w:szCs w:val="24"/>
    </w:rPr>
  </w:style>
  <w:style w:type="character" w:customStyle="1" w:styleId="SottotitoloCarattere">
    <w:name w:val="Sottotitolo Carattere"/>
    <w:basedOn w:val="Carpredefinitoparagrafo"/>
    <w:link w:val="Sottotitolo"/>
    <w:semiHidden/>
    <w:rsid w:val="00FF04E3"/>
    <w:rPr>
      <w:rFonts w:ascii="Cambria" w:hAnsi="Cambria"/>
      <w:sz w:val="24"/>
      <w:szCs w:val="24"/>
    </w:rPr>
  </w:style>
  <w:style w:type="paragraph" w:styleId="Indicefonti">
    <w:name w:val="table of authorities"/>
    <w:basedOn w:val="Normale"/>
    <w:next w:val="Normale"/>
    <w:semiHidden/>
    <w:rsid w:val="00405336"/>
    <w:pPr>
      <w:ind w:left="240" w:hanging="240"/>
    </w:pPr>
  </w:style>
  <w:style w:type="paragraph" w:styleId="Indicedellefigure">
    <w:name w:val="table of figures"/>
    <w:basedOn w:val="Normale"/>
    <w:next w:val="Normale"/>
    <w:semiHidden/>
    <w:rsid w:val="00405336"/>
  </w:style>
  <w:style w:type="paragraph" w:styleId="Titolo">
    <w:name w:val="Title"/>
    <w:basedOn w:val="Normale"/>
    <w:next w:val="Normale"/>
    <w:link w:val="TitoloCarattere"/>
    <w:semiHidden/>
    <w:qFormat/>
    <w:rsid w:val="00405336"/>
    <w:pPr>
      <w:spacing w:before="240" w:after="60"/>
      <w:jc w:val="center"/>
      <w:outlineLvl w:val="0"/>
    </w:pPr>
    <w:rPr>
      <w:rFonts w:ascii="Cambria" w:hAnsi="Cambria"/>
      <w:b/>
      <w:bCs/>
      <w:kern w:val="28"/>
      <w:sz w:val="32"/>
      <w:szCs w:val="32"/>
    </w:rPr>
  </w:style>
  <w:style w:type="character" w:customStyle="1" w:styleId="TitoloCarattere">
    <w:name w:val="Titolo Carattere"/>
    <w:basedOn w:val="Carpredefinitoparagrafo"/>
    <w:link w:val="Titolo"/>
    <w:semiHidden/>
    <w:rsid w:val="00FF04E3"/>
    <w:rPr>
      <w:rFonts w:ascii="Cambria" w:hAnsi="Cambria"/>
      <w:b/>
      <w:bCs/>
      <w:kern w:val="28"/>
      <w:sz w:val="32"/>
      <w:szCs w:val="32"/>
    </w:rPr>
  </w:style>
  <w:style w:type="paragraph" w:styleId="Titoloindicefonti">
    <w:name w:val="toa heading"/>
    <w:basedOn w:val="Normale"/>
    <w:next w:val="Normale"/>
    <w:semiHidden/>
    <w:rsid w:val="00405336"/>
    <w:pPr>
      <w:spacing w:before="120"/>
    </w:pPr>
    <w:rPr>
      <w:rFonts w:ascii="Cambria" w:hAnsi="Cambria"/>
      <w:b/>
      <w:bCs/>
      <w:szCs w:val="24"/>
    </w:rPr>
  </w:style>
  <w:style w:type="paragraph" w:styleId="Sommario1">
    <w:name w:val="toc 1"/>
    <w:basedOn w:val="Normale"/>
    <w:next w:val="Normale"/>
    <w:autoRedefine/>
    <w:semiHidden/>
    <w:rsid w:val="00405336"/>
  </w:style>
  <w:style w:type="paragraph" w:styleId="Sommario2">
    <w:name w:val="toc 2"/>
    <w:basedOn w:val="Normale"/>
    <w:next w:val="Normale"/>
    <w:autoRedefine/>
    <w:semiHidden/>
    <w:rsid w:val="00405336"/>
    <w:pPr>
      <w:ind w:left="240"/>
    </w:pPr>
  </w:style>
  <w:style w:type="paragraph" w:styleId="Sommario3">
    <w:name w:val="toc 3"/>
    <w:basedOn w:val="Normale"/>
    <w:next w:val="Normale"/>
    <w:autoRedefine/>
    <w:semiHidden/>
    <w:rsid w:val="00405336"/>
    <w:pPr>
      <w:ind w:left="480"/>
    </w:pPr>
  </w:style>
  <w:style w:type="paragraph" w:styleId="Sommario4">
    <w:name w:val="toc 4"/>
    <w:basedOn w:val="Normale"/>
    <w:next w:val="Normale"/>
    <w:autoRedefine/>
    <w:semiHidden/>
    <w:rsid w:val="00405336"/>
    <w:pPr>
      <w:ind w:left="720"/>
    </w:pPr>
  </w:style>
  <w:style w:type="paragraph" w:styleId="Sommario5">
    <w:name w:val="toc 5"/>
    <w:basedOn w:val="Normale"/>
    <w:next w:val="Normale"/>
    <w:autoRedefine/>
    <w:semiHidden/>
    <w:rsid w:val="00405336"/>
    <w:pPr>
      <w:ind w:left="960"/>
    </w:pPr>
  </w:style>
  <w:style w:type="paragraph" w:styleId="Sommario6">
    <w:name w:val="toc 6"/>
    <w:basedOn w:val="Normale"/>
    <w:next w:val="Normale"/>
    <w:autoRedefine/>
    <w:semiHidden/>
    <w:rsid w:val="00405336"/>
    <w:pPr>
      <w:ind w:left="1200"/>
    </w:pPr>
  </w:style>
  <w:style w:type="paragraph" w:styleId="Sommario7">
    <w:name w:val="toc 7"/>
    <w:basedOn w:val="Normale"/>
    <w:next w:val="Normale"/>
    <w:autoRedefine/>
    <w:semiHidden/>
    <w:rsid w:val="00405336"/>
    <w:pPr>
      <w:ind w:left="1440"/>
    </w:pPr>
  </w:style>
  <w:style w:type="paragraph" w:styleId="Sommario8">
    <w:name w:val="toc 8"/>
    <w:basedOn w:val="Normale"/>
    <w:next w:val="Normale"/>
    <w:autoRedefine/>
    <w:semiHidden/>
    <w:rsid w:val="00405336"/>
    <w:pPr>
      <w:ind w:left="1680"/>
    </w:pPr>
  </w:style>
  <w:style w:type="paragraph" w:styleId="Sommario9">
    <w:name w:val="toc 9"/>
    <w:basedOn w:val="Normale"/>
    <w:next w:val="Normale"/>
    <w:autoRedefine/>
    <w:semiHidden/>
    <w:rsid w:val="00405336"/>
    <w:pPr>
      <w:ind w:left="1920"/>
    </w:pPr>
  </w:style>
  <w:style w:type="paragraph" w:styleId="Titolosommario">
    <w:name w:val="TOC Heading"/>
    <w:basedOn w:val="Titolo1"/>
    <w:next w:val="Normale"/>
    <w:uiPriority w:val="39"/>
    <w:semiHidden/>
    <w:unhideWhenUsed/>
    <w:qFormat/>
    <w:rsid w:val="00405336"/>
    <w:pPr>
      <w:outlineLvl w:val="9"/>
    </w:pPr>
    <w:rPr>
      <w:rFonts w:ascii="Cambria" w:hAnsi="Cambria"/>
      <w:sz w:val="32"/>
      <w:szCs w:val="32"/>
    </w:rPr>
  </w:style>
  <w:style w:type="character" w:styleId="Collegamentoipertestuale">
    <w:name w:val="Hyperlink"/>
    <w:basedOn w:val="Carpredefinitoparagrafo"/>
    <w:semiHidden/>
    <w:rsid w:val="007402FC"/>
    <w:rPr>
      <w:color w:val="0000FF"/>
      <w:u w:val="single"/>
    </w:rPr>
  </w:style>
  <w:style w:type="character" w:styleId="Enfasicorsivo">
    <w:name w:val="Emphasis"/>
    <w:basedOn w:val="Carpredefinitoparagrafo"/>
    <w:uiPriority w:val="20"/>
    <w:qFormat/>
    <w:rsid w:val="00B42F9C"/>
    <w:rPr>
      <w:i/>
      <w:iCs/>
    </w:rPr>
  </w:style>
  <w:style w:type="character" w:styleId="Rimandocommento">
    <w:name w:val="annotation reference"/>
    <w:basedOn w:val="Carpredefinitoparagrafo"/>
    <w:semiHidden/>
    <w:rsid w:val="009258B8"/>
    <w:rPr>
      <w:sz w:val="16"/>
      <w:szCs w:val="16"/>
    </w:rPr>
  </w:style>
  <w:style w:type="character" w:styleId="Collegamentovisitato">
    <w:name w:val="FollowedHyperlink"/>
    <w:basedOn w:val="Carpredefinitoparagrafo"/>
    <w:semiHidden/>
    <w:unhideWhenUsed/>
    <w:rsid w:val="00611A1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178651">
      <w:bodyDiv w:val="1"/>
      <w:marLeft w:val="0"/>
      <w:marRight w:val="0"/>
      <w:marTop w:val="0"/>
      <w:marBottom w:val="0"/>
      <w:divBdr>
        <w:top w:val="none" w:sz="0" w:space="0" w:color="auto"/>
        <w:left w:val="none" w:sz="0" w:space="0" w:color="auto"/>
        <w:bottom w:val="none" w:sz="0" w:space="0" w:color="auto"/>
        <w:right w:val="none" w:sz="0" w:space="0" w:color="auto"/>
      </w:divBdr>
    </w:div>
    <w:div w:id="1469545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iovanni.bellomo@unipg.it" TargetMode="External"/><Relationship Id="rId13" Type="http://schemas.openxmlformats.org/officeDocument/2006/relationships/image" Target="media/image4.png"/><Relationship Id="rId18" Type="http://schemas.openxmlformats.org/officeDocument/2006/relationships/image" Target="media/image9.tiff"/><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tiff"/><Relationship Id="rId5" Type="http://schemas.openxmlformats.org/officeDocument/2006/relationships/webSettings" Target="webSettings.xml"/><Relationship Id="rId15" Type="http://schemas.openxmlformats.org/officeDocument/2006/relationships/image" Target="media/image6.tiff"/><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10.tiff"/><Relationship Id="rId4" Type="http://schemas.openxmlformats.org/officeDocument/2006/relationships/settings" Target="settings.xml"/><Relationship Id="rId9" Type="http://schemas.openxmlformats.org/officeDocument/2006/relationships/hyperlink" Target="mailto:luchinat@cerm.unifi.it" TargetMode="External"/><Relationship Id="rId14" Type="http://schemas.openxmlformats.org/officeDocument/2006/relationships/image" Target="media/image5.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5B2B56-2A89-4BEC-8704-A6FBF911BF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3339</Words>
  <Characters>19037</Characters>
  <Application>Microsoft Office Word</Application>
  <DocSecurity>0</DocSecurity>
  <Lines>158</Lines>
  <Paragraphs>44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Supporting Online Material for</vt:lpstr>
      <vt:lpstr>Supporting Online Material for</vt:lpstr>
    </vt:vector>
  </TitlesOfParts>
  <Company>AAAS</Company>
  <LinksUpToDate>false</LinksUpToDate>
  <CharactersWithSpaces>22332</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creator>Brooks Hanson</dc:creator>
  <cp:lastModifiedBy>Giovanni Bellomo</cp:lastModifiedBy>
  <cp:revision>3</cp:revision>
  <cp:lastPrinted>2022-07-11T13:10:00Z</cp:lastPrinted>
  <dcterms:created xsi:type="dcterms:W3CDTF">2022-08-25T13:36:00Z</dcterms:created>
  <dcterms:modified xsi:type="dcterms:W3CDTF">2022-08-26T13:11:00Z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zotero-version="6.0.9"&gt;&lt;session id="VJ66wMI7"/&gt;&lt;style id="http://www.zotero.org/styles/pnas" hasBibliography="1" bibliographyStyleHasBeenSet="1"/&gt;&lt;prefs&gt;&lt;pref name="fieldType" value="Field"/&gt;&lt;/prefs&gt;&lt;/data&gt;</vt:lpwstr>
  </property>
</Properties>
</file>