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00"/>
        <w:gridCol w:w="1960"/>
        <w:gridCol w:w="980"/>
        <w:gridCol w:w="520"/>
        <w:gridCol w:w="1900"/>
        <w:gridCol w:w="1000"/>
      </w:tblGrid>
      <w:tr w:rsidR="00EF786C" w:rsidRPr="00B00FA2" w14:paraId="68057536" w14:textId="77777777" w:rsidTr="006643CA">
        <w:trPr>
          <w:trHeight w:val="765"/>
        </w:trPr>
        <w:tc>
          <w:tcPr>
            <w:tcW w:w="10460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3BA2AB7" w14:textId="5E4F07BF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Arial" w:eastAsia="游ゴシック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>Supplemental T</w:t>
            </w:r>
            <w:r w:rsidRPr="00B00FA2">
              <w:rPr>
                <w:rFonts w:ascii="Arial" w:eastAsia="游ゴシック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>able. Univariate and multivariate analyses of the factors related with extended hospital stay &gt;2 weeks in MIAVR</w:t>
            </w:r>
          </w:p>
        </w:tc>
      </w:tr>
      <w:tr w:rsidR="00EF786C" w:rsidRPr="00B00FA2" w14:paraId="1676BBC7" w14:textId="77777777" w:rsidTr="006643CA">
        <w:trPr>
          <w:trHeight w:val="405"/>
        </w:trPr>
        <w:tc>
          <w:tcPr>
            <w:tcW w:w="410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46E8471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940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EDBA524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>Univariable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B1180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00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FBB108D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>Multivariable</w:t>
            </w:r>
          </w:p>
        </w:tc>
      </w:tr>
      <w:tr w:rsidR="00EF786C" w:rsidRPr="00B00FA2" w14:paraId="21DAF968" w14:textId="77777777" w:rsidTr="006643CA">
        <w:trPr>
          <w:trHeight w:val="405"/>
        </w:trPr>
        <w:tc>
          <w:tcPr>
            <w:tcW w:w="41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40E90DD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DD86ABE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>OR (95% CI)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283C98D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4D7E77C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9D861E7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>OR (95% CI)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D30BD4D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>P value</w:t>
            </w:r>
          </w:p>
        </w:tc>
      </w:tr>
      <w:tr w:rsidR="00EF786C" w:rsidRPr="00B00FA2" w14:paraId="01007764" w14:textId="77777777" w:rsidTr="006643CA">
        <w:trPr>
          <w:trHeight w:val="390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EDABA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>Extended hospital stay &gt;2 weeks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A0A81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1D726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78FF1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9E0CC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1E08D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F786C" w:rsidRPr="00B00FA2" w14:paraId="334E35E5" w14:textId="77777777" w:rsidTr="006643CA">
        <w:trPr>
          <w:trHeight w:val="375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0D59A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Age &gt;75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F371B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4.39 (1.47-13)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1FB0F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9546D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8BB9C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3.68 (0.81-16.7)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1F343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0.09</w:t>
            </w:r>
          </w:p>
        </w:tc>
      </w:tr>
      <w:tr w:rsidR="00EF786C" w:rsidRPr="00B00FA2" w14:paraId="6DFE35D5" w14:textId="77777777" w:rsidTr="006643CA">
        <w:trPr>
          <w:trHeight w:val="375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662E3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Female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C905C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2.39 (0.83-6.86)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AD07E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0.107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D5F04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3165D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DB5A5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-</w:t>
            </w:r>
          </w:p>
        </w:tc>
      </w:tr>
      <w:tr w:rsidR="00EF786C" w:rsidRPr="00B00FA2" w14:paraId="78132379" w14:textId="77777777" w:rsidTr="006643CA">
        <w:trPr>
          <w:trHeight w:val="375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423BD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BMI &lt;18.5 kg/m</w:t>
            </w: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BF123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6.43 (1.26-33)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E9FA3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EF47A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5B202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1.29 (0.14-12.4)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AA75A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0.823</w:t>
            </w:r>
          </w:p>
        </w:tc>
      </w:tr>
      <w:tr w:rsidR="00EF786C" w:rsidRPr="00B00FA2" w14:paraId="619BD5CA" w14:textId="77777777" w:rsidTr="006643CA">
        <w:trPr>
          <w:trHeight w:val="375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4DBDC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BMI &gt;28 kg/m</w:t>
            </w: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346FD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1.28 (0.17-9.61)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71701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0.813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A3297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3B1A8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35BF7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-</w:t>
            </w:r>
          </w:p>
        </w:tc>
      </w:tr>
      <w:tr w:rsidR="00EF786C" w:rsidRPr="00B00FA2" w14:paraId="7064B4A6" w14:textId="77777777" w:rsidTr="006643CA">
        <w:trPr>
          <w:trHeight w:val="375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59607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NYHA 3,4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956BE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3.74 (1.13-12.3)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1ACCF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F6FB8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DBCB0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1.25 (0.24-6.42)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C736A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0.79</w:t>
            </w:r>
          </w:p>
        </w:tc>
      </w:tr>
      <w:tr w:rsidR="00EF786C" w:rsidRPr="00B00FA2" w14:paraId="35FCE52C" w14:textId="77777777" w:rsidTr="006643CA">
        <w:trPr>
          <w:trHeight w:val="375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329FB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Preoperative albumin &lt;3.5 g/dl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E6EC0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6.43 (1.26-33)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BC385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8A440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20A69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10.1 (1.22-83.6)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62BD9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0.03</w:t>
            </w:r>
          </w:p>
        </w:tc>
      </w:tr>
      <w:tr w:rsidR="00EF786C" w:rsidRPr="00B00FA2" w14:paraId="5AF32EA9" w14:textId="77777777" w:rsidTr="006643CA">
        <w:trPr>
          <w:trHeight w:val="375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08B72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Anemia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272AD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2.43 (0.92-6.42)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61DA7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0.073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C8276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5A6D5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0.77 (0.19-3.05)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E1B89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0.708</w:t>
            </w:r>
          </w:p>
        </w:tc>
      </w:tr>
      <w:tr w:rsidR="00EF786C" w:rsidRPr="00B00FA2" w14:paraId="064BBE48" w14:textId="77777777" w:rsidTr="006643CA">
        <w:trPr>
          <w:trHeight w:val="375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1E5B5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Chronic kidney disease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62233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1.04 (0.4-2.68)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AE961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0.934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7E277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7B9DB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20377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-</w:t>
            </w:r>
          </w:p>
        </w:tc>
      </w:tr>
      <w:tr w:rsidR="00EF786C" w:rsidRPr="00B00FA2" w14:paraId="2CE8BAE2" w14:textId="77777777" w:rsidTr="006643CA">
        <w:trPr>
          <w:trHeight w:val="375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F7FAA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Low LVEF &lt;50%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15662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1.63 (0.45-5.95)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B94DD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0.458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AC305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85D67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3EFF1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-</w:t>
            </w:r>
          </w:p>
        </w:tc>
      </w:tr>
      <w:tr w:rsidR="00EF786C" w:rsidRPr="00B00FA2" w14:paraId="71155F22" w14:textId="77777777" w:rsidTr="006643CA">
        <w:trPr>
          <w:trHeight w:val="375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62AC4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Severe aortic stenosis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3AA06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4.7 (1.37-16)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E75BA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760B2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57DBC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3.26 (0.59-18)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54C86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0.175</w:t>
            </w:r>
          </w:p>
        </w:tc>
      </w:tr>
      <w:tr w:rsidR="00EF786C" w:rsidRPr="00B00FA2" w14:paraId="59E5BDBF" w14:textId="77777777" w:rsidTr="006643CA">
        <w:trPr>
          <w:trHeight w:val="375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F8CDE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Blood transfusion (+) during surgery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C01AF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1.52 (0.51-4.5)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952AA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0.446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53786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FDB83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4DD2C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-</w:t>
            </w:r>
          </w:p>
        </w:tc>
      </w:tr>
      <w:tr w:rsidR="00EF786C" w:rsidRPr="00B00FA2" w14:paraId="1EDFD4F7" w14:textId="77777777" w:rsidTr="006643CA">
        <w:trPr>
          <w:trHeight w:val="375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D1D47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Postoperative complications (+)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92547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27.4 (3.33-226)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7F1A0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D895B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B0FD8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30.4 (2.46-376)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BBC9F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0.008</w:t>
            </w:r>
          </w:p>
        </w:tc>
      </w:tr>
      <w:tr w:rsidR="00EF786C" w:rsidRPr="00B00FA2" w14:paraId="1664DDA5" w14:textId="77777777" w:rsidTr="006643CA">
        <w:trPr>
          <w:trHeight w:val="390"/>
        </w:trPr>
        <w:tc>
          <w:tcPr>
            <w:tcW w:w="41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BF9B9DC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 PAVR (vs. SHAVR)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65BF442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2.17 (0.83-5.68)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0B63875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0.115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9A0A7FC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3595353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4DE7CC1" w14:textId="77777777" w:rsidR="00EF786C" w:rsidRPr="00B00FA2" w:rsidRDefault="00EF786C" w:rsidP="006643CA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-</w:t>
            </w:r>
          </w:p>
        </w:tc>
      </w:tr>
      <w:tr w:rsidR="00EF786C" w:rsidRPr="00B00FA2" w14:paraId="75F5F043" w14:textId="77777777" w:rsidTr="006643CA">
        <w:trPr>
          <w:trHeight w:val="1080"/>
        </w:trPr>
        <w:tc>
          <w:tcPr>
            <w:tcW w:w="10460" w:type="dxa"/>
            <w:gridSpan w:val="6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7BB37" w14:textId="77777777" w:rsidR="00EF786C" w:rsidRPr="00B00FA2" w:rsidRDefault="00EF786C" w:rsidP="006643CA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AVR, aortic valve replacement; BMI, body mass index; CPB, cardiopulmonary bypass; LVEF, left </w:t>
            </w: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 xml:space="preserve">ventricular ejection fraction; MIAVR, minimally invasive AVR; PAVR, AVR through partial sternotomy </w:t>
            </w:r>
            <w:r w:rsidRPr="00B00FA2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approach; SHAVR, trans-right infra-axillary AVR with Stonehenge technique</w:t>
            </w:r>
          </w:p>
        </w:tc>
      </w:tr>
    </w:tbl>
    <w:p w14:paraId="223523A4" w14:textId="77777777" w:rsidR="00C222E6" w:rsidRPr="00EF786C" w:rsidRDefault="00C222E6"/>
    <w:sectPr w:rsidR="00C222E6" w:rsidRPr="00EF786C" w:rsidSect="00EF786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86C"/>
    <w:rsid w:val="00C222E6"/>
    <w:rsid w:val="00EF7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4E12C1"/>
  <w15:chartTrackingRefBased/>
  <w15:docId w15:val="{EF11A362-4062-4B3A-A0FB-3B710CD52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78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tashima yasushi</dc:creator>
  <cp:keywords/>
  <dc:description/>
  <cp:lastModifiedBy>tashima yasushi</cp:lastModifiedBy>
  <cp:revision>1</cp:revision>
  <dcterms:created xsi:type="dcterms:W3CDTF">2022-05-07T03:37:00Z</dcterms:created>
  <dcterms:modified xsi:type="dcterms:W3CDTF">2022-05-07T03:39:00Z</dcterms:modified>
</cp:coreProperties>
</file>