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B8090" w14:textId="77777777" w:rsidR="00F66B70" w:rsidRPr="00F66B70" w:rsidRDefault="00F66B70" w:rsidP="00F66B70">
      <w:pPr>
        <w:widowControl/>
        <w:spacing w:line="360" w:lineRule="auto"/>
        <w:jc w:val="center"/>
        <w:rPr>
          <w:rFonts w:ascii="Arial" w:eastAsia="新細明體" w:hAnsi="Arial" w:cs="Arial"/>
          <w:b/>
          <w:kern w:val="0"/>
          <w:szCs w:val="24"/>
        </w:rPr>
      </w:pPr>
      <w:r w:rsidRPr="00F66B70">
        <w:rPr>
          <w:rFonts w:ascii="Arial" w:eastAsia="新細明體" w:hAnsi="Arial" w:cs="Arial"/>
          <w:b/>
          <w:color w:val="000000"/>
          <w:kern w:val="0"/>
          <w:szCs w:val="24"/>
        </w:rPr>
        <w:t>Clinical spectrum and comorbidities of Dravet Syndrome in Taiwan</w:t>
      </w:r>
    </w:p>
    <w:p w14:paraId="2DDFCDB6" w14:textId="77777777" w:rsidR="00F66B70" w:rsidRPr="00F66B70" w:rsidRDefault="00F66B70" w:rsidP="00F66B70">
      <w:pPr>
        <w:widowControl/>
        <w:spacing w:after="225" w:line="360" w:lineRule="auto"/>
        <w:textAlignment w:val="baseline"/>
        <w:outlineLvl w:val="2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</w:rPr>
        <w:t>Chia-Hsuan Huang</w:t>
      </w:r>
      <w:r w:rsidRPr="00F66B70">
        <w:rPr>
          <w:rFonts w:ascii="Arial" w:eastAsia="新細明體" w:hAnsi="Arial" w:cs="Arial"/>
          <w:szCs w:val="24"/>
          <w:vertAlign w:val="superscript"/>
        </w:rPr>
        <w:t>1</w:t>
      </w:r>
      <w:r w:rsidRPr="00F66B70">
        <w:rPr>
          <w:rFonts w:ascii="Arial" w:eastAsia="新細明體" w:hAnsi="Arial" w:cs="Arial"/>
          <w:szCs w:val="24"/>
        </w:rPr>
        <w:t xml:space="preserve">, </w:t>
      </w:r>
      <w:hyperlink r:id="rId6" w:history="1">
        <w:r w:rsidRPr="00F66B70">
          <w:rPr>
            <w:rFonts w:ascii="Arial" w:eastAsia="新細明體" w:hAnsi="Arial" w:cs="Arial"/>
            <w:szCs w:val="24"/>
          </w:rPr>
          <w:t>Pi-Lien Hung</w:t>
        </w:r>
      </w:hyperlink>
      <w:r w:rsidRPr="00F66B70">
        <w:rPr>
          <w:rFonts w:ascii="Arial" w:eastAsia="新細明體" w:hAnsi="Arial" w:cs="Arial"/>
          <w:szCs w:val="24"/>
          <w:vertAlign w:val="superscript"/>
        </w:rPr>
        <w:t>2</w:t>
      </w:r>
      <w:r w:rsidRPr="00F66B70">
        <w:rPr>
          <w:rFonts w:ascii="Arial" w:eastAsia="新細明體" w:hAnsi="Arial" w:cs="Arial"/>
          <w:szCs w:val="24"/>
        </w:rPr>
        <w:t xml:space="preserve">, </w:t>
      </w:r>
      <w:hyperlink r:id="rId7" w:history="1">
        <w:r w:rsidRPr="00F66B70">
          <w:rPr>
            <w:rFonts w:ascii="Arial" w:eastAsia="新細明體" w:hAnsi="Arial" w:cs="Arial"/>
            <w:szCs w:val="24"/>
          </w:rPr>
          <w:t>Pi-Chuan Fan</w:t>
        </w:r>
      </w:hyperlink>
      <w:r w:rsidRPr="00F66B70">
        <w:rPr>
          <w:rFonts w:ascii="Arial" w:eastAsia="新細明體" w:hAnsi="Arial" w:cs="Arial"/>
          <w:szCs w:val="24"/>
          <w:vertAlign w:val="superscript"/>
        </w:rPr>
        <w:t>3</w:t>
      </w:r>
      <w:r w:rsidRPr="00F66B70">
        <w:rPr>
          <w:rFonts w:ascii="Arial" w:eastAsia="新細明體" w:hAnsi="Arial" w:cs="Arial"/>
          <w:szCs w:val="24"/>
        </w:rPr>
        <w:t>, Kuang-Lin Lin</w:t>
      </w:r>
      <w:r w:rsidRPr="00F66B70">
        <w:rPr>
          <w:rFonts w:ascii="Arial" w:eastAsia="新細明體" w:hAnsi="Arial" w:cs="Arial"/>
          <w:szCs w:val="24"/>
          <w:vertAlign w:val="superscript"/>
        </w:rPr>
        <w:t>4</w:t>
      </w:r>
      <w:r w:rsidRPr="00F66B70">
        <w:rPr>
          <w:rFonts w:ascii="Arial" w:eastAsia="新細明體" w:hAnsi="Arial" w:cs="Arial"/>
          <w:szCs w:val="24"/>
        </w:rPr>
        <w:t>, Ting-Rong Hsu</w:t>
      </w:r>
      <w:r w:rsidRPr="00F66B70">
        <w:rPr>
          <w:rFonts w:ascii="Arial" w:eastAsia="新細明體" w:hAnsi="Arial" w:cs="Arial"/>
          <w:szCs w:val="24"/>
          <w:vertAlign w:val="superscript"/>
        </w:rPr>
        <w:t>5</w:t>
      </w:r>
      <w:r w:rsidRPr="00F66B70">
        <w:rPr>
          <w:rFonts w:ascii="Arial" w:eastAsia="新細明體" w:hAnsi="Arial" w:cs="Arial"/>
          <w:szCs w:val="24"/>
        </w:rPr>
        <w:t>, I-Jun Chou</w:t>
      </w:r>
      <w:r w:rsidRPr="00F66B70">
        <w:rPr>
          <w:rFonts w:ascii="Arial" w:eastAsia="新細明體" w:hAnsi="Arial" w:cs="Arial"/>
          <w:szCs w:val="24"/>
          <w:vertAlign w:val="superscript"/>
        </w:rPr>
        <w:t>4</w:t>
      </w:r>
      <w:r w:rsidRPr="00F66B70">
        <w:rPr>
          <w:rFonts w:ascii="Arial" w:eastAsia="新細明體" w:hAnsi="Arial" w:cs="Arial"/>
          <w:szCs w:val="24"/>
        </w:rPr>
        <w:t xml:space="preserve">, </w:t>
      </w:r>
      <w:hyperlink r:id="rId8" w:history="1">
        <w:r w:rsidRPr="00F66B70">
          <w:rPr>
            <w:rFonts w:ascii="Arial" w:eastAsia="新細明體" w:hAnsi="Arial" w:cs="Arial"/>
            <w:szCs w:val="24"/>
          </w:rPr>
          <w:t>Che-Sheng Ho</w:t>
        </w:r>
      </w:hyperlink>
      <w:r w:rsidRPr="00F66B70">
        <w:rPr>
          <w:rFonts w:ascii="Arial" w:eastAsia="新細明體" w:hAnsi="Arial" w:cs="Arial"/>
          <w:szCs w:val="24"/>
          <w:vertAlign w:val="superscript"/>
        </w:rPr>
        <w:t>6</w:t>
      </w:r>
      <w:r w:rsidRPr="00F66B70">
        <w:rPr>
          <w:rFonts w:ascii="Arial" w:eastAsia="新細明體" w:hAnsi="Arial" w:cs="Arial"/>
          <w:szCs w:val="24"/>
        </w:rPr>
        <w:t>, I-Ching Chou</w:t>
      </w:r>
      <w:r w:rsidRPr="00F66B70">
        <w:rPr>
          <w:rFonts w:ascii="Arial" w:eastAsia="新細明體" w:hAnsi="Arial" w:cs="Arial"/>
          <w:szCs w:val="24"/>
          <w:vertAlign w:val="superscript"/>
        </w:rPr>
        <w:t>7</w:t>
      </w:r>
      <w:r w:rsidRPr="00F66B70">
        <w:rPr>
          <w:rFonts w:ascii="Arial" w:eastAsia="新細明體" w:hAnsi="Arial" w:cs="Arial"/>
          <w:szCs w:val="24"/>
        </w:rPr>
        <w:t>, Wei-Sheng Lin</w:t>
      </w:r>
      <w:r w:rsidRPr="00F66B70">
        <w:rPr>
          <w:rFonts w:ascii="Arial" w:eastAsia="新細明體" w:hAnsi="Arial" w:cs="Arial"/>
          <w:szCs w:val="24"/>
          <w:vertAlign w:val="superscript"/>
        </w:rPr>
        <w:t>5</w:t>
      </w:r>
      <w:r w:rsidRPr="00F66B70">
        <w:rPr>
          <w:rFonts w:ascii="Arial" w:eastAsia="新細明體" w:hAnsi="Arial" w:cs="Arial"/>
          <w:szCs w:val="24"/>
        </w:rPr>
        <w:t>, Inn-Chi Lee</w:t>
      </w:r>
      <w:r w:rsidRPr="00F66B70">
        <w:rPr>
          <w:rFonts w:ascii="Arial" w:eastAsia="新細明體" w:hAnsi="Arial" w:cs="Arial"/>
          <w:szCs w:val="24"/>
          <w:vertAlign w:val="superscript"/>
        </w:rPr>
        <w:t>8</w:t>
      </w:r>
      <w:r w:rsidRPr="00F66B70">
        <w:rPr>
          <w:rFonts w:ascii="Arial" w:eastAsia="新細明體" w:hAnsi="Arial" w:cs="Arial"/>
          <w:szCs w:val="24"/>
        </w:rPr>
        <w:t>, Hueng-Chuen Fan</w:t>
      </w:r>
      <w:r w:rsidRPr="00F66B70">
        <w:rPr>
          <w:rFonts w:ascii="Arial" w:eastAsia="新細明體" w:hAnsi="Arial" w:cs="Arial"/>
          <w:szCs w:val="24"/>
          <w:vertAlign w:val="superscript"/>
        </w:rPr>
        <w:t>9</w:t>
      </w:r>
      <w:r w:rsidRPr="00F66B70">
        <w:rPr>
          <w:rFonts w:ascii="Arial" w:eastAsia="新細明體" w:hAnsi="Arial" w:cs="Arial"/>
          <w:szCs w:val="24"/>
        </w:rPr>
        <w:t>, Shyi-Jou Chen</w:t>
      </w:r>
      <w:r w:rsidRPr="00F66B70">
        <w:rPr>
          <w:rFonts w:ascii="Arial" w:eastAsia="新細明體" w:hAnsi="Arial" w:cs="Arial"/>
          <w:szCs w:val="24"/>
          <w:vertAlign w:val="superscript"/>
        </w:rPr>
        <w:t>10</w:t>
      </w:r>
      <w:r w:rsidRPr="00F66B70">
        <w:rPr>
          <w:rFonts w:ascii="Arial" w:eastAsia="新細明體" w:hAnsi="Arial" w:cs="Arial"/>
          <w:szCs w:val="24"/>
        </w:rPr>
        <w:t xml:space="preserve">, </w:t>
      </w:r>
      <w:hyperlink r:id="rId9" w:history="1">
        <w:r w:rsidRPr="00F66B70">
          <w:rPr>
            <w:rFonts w:ascii="Arial" w:eastAsia="新細明體" w:hAnsi="Arial" w:cs="Arial"/>
            <w:szCs w:val="24"/>
          </w:rPr>
          <w:t>Jao-Shwann Liang</w:t>
        </w:r>
      </w:hyperlink>
      <w:r w:rsidRPr="00F66B70">
        <w:rPr>
          <w:rFonts w:ascii="Arial" w:eastAsia="新細明體" w:hAnsi="Arial" w:cs="Arial"/>
          <w:szCs w:val="24"/>
          <w:vertAlign w:val="superscript"/>
        </w:rPr>
        <w:t>11</w:t>
      </w:r>
      <w:r w:rsidRPr="00F66B70">
        <w:rPr>
          <w:rFonts w:ascii="Arial" w:eastAsia="新細明體" w:hAnsi="Arial" w:cs="Arial"/>
          <w:szCs w:val="24"/>
        </w:rPr>
        <w:t xml:space="preserve">, </w:t>
      </w:r>
      <w:hyperlink r:id="rId10" w:history="1">
        <w:r w:rsidRPr="00F66B70">
          <w:rPr>
            <w:rFonts w:ascii="Arial" w:eastAsia="新細明體" w:hAnsi="Arial" w:cs="Arial"/>
            <w:szCs w:val="24"/>
          </w:rPr>
          <w:t>Yi-Fang Tu</w:t>
        </w:r>
      </w:hyperlink>
      <w:r w:rsidRPr="00F66B70">
        <w:rPr>
          <w:rFonts w:ascii="Arial" w:eastAsia="新細明體" w:hAnsi="Arial" w:cs="Arial"/>
          <w:szCs w:val="24"/>
          <w:vertAlign w:val="superscript"/>
        </w:rPr>
        <w:t>12</w:t>
      </w:r>
      <w:r w:rsidRPr="00F66B70">
        <w:rPr>
          <w:rFonts w:ascii="Arial" w:eastAsia="新細明體" w:hAnsi="Arial" w:cs="Arial"/>
          <w:szCs w:val="24"/>
        </w:rPr>
        <w:t>, Tung-Ming Chang</w:t>
      </w:r>
      <w:r w:rsidRPr="00F66B70">
        <w:rPr>
          <w:rFonts w:ascii="Arial" w:eastAsia="新細明體" w:hAnsi="Arial" w:cs="Arial"/>
          <w:szCs w:val="24"/>
          <w:vertAlign w:val="superscript"/>
        </w:rPr>
        <w:t>13</w:t>
      </w:r>
      <w:r w:rsidRPr="00F66B70">
        <w:rPr>
          <w:rFonts w:ascii="Arial" w:eastAsia="新細明體" w:hAnsi="Arial" w:cs="Arial"/>
          <w:szCs w:val="24"/>
        </w:rPr>
        <w:t xml:space="preserve">, </w:t>
      </w:r>
      <w:hyperlink r:id="rId11" w:history="1">
        <w:r w:rsidRPr="00F66B70">
          <w:rPr>
            <w:rFonts w:ascii="Arial" w:eastAsia="新細明體" w:hAnsi="Arial" w:cs="Arial"/>
            <w:szCs w:val="24"/>
          </w:rPr>
          <w:t>Lee-Chin Wong</w:t>
        </w:r>
      </w:hyperlink>
      <w:r w:rsidRPr="00F66B70">
        <w:rPr>
          <w:rFonts w:ascii="Arial" w:eastAsia="新細明體" w:hAnsi="Arial" w:cs="Arial"/>
          <w:szCs w:val="24"/>
          <w:vertAlign w:val="superscript"/>
        </w:rPr>
        <w:t>14</w:t>
      </w:r>
      <w:r w:rsidRPr="00F66B70">
        <w:rPr>
          <w:rFonts w:ascii="Arial" w:eastAsia="新細明體" w:hAnsi="Arial" w:cs="Arial"/>
          <w:szCs w:val="24"/>
        </w:rPr>
        <w:t>, Kun-Long Hung</w:t>
      </w:r>
      <w:r w:rsidRPr="00F66B70">
        <w:rPr>
          <w:rFonts w:ascii="Arial" w:eastAsia="新細明體" w:hAnsi="Arial" w:cs="Arial"/>
          <w:szCs w:val="24"/>
          <w:vertAlign w:val="superscript"/>
        </w:rPr>
        <w:t>15</w:t>
      </w:r>
      <w:r w:rsidRPr="00F66B70">
        <w:rPr>
          <w:rFonts w:ascii="Arial" w:eastAsia="新細明體" w:hAnsi="Arial" w:cs="Arial"/>
          <w:szCs w:val="24"/>
        </w:rPr>
        <w:t>, Wang-Tso Lee</w:t>
      </w:r>
      <w:r w:rsidRPr="00F66B70">
        <w:rPr>
          <w:rFonts w:ascii="Arial" w:eastAsia="新細明體" w:hAnsi="Arial" w:cs="Arial"/>
          <w:szCs w:val="24"/>
          <w:vertAlign w:val="superscript"/>
        </w:rPr>
        <w:t>3,*</w:t>
      </w:r>
    </w:p>
    <w:p w14:paraId="7DE377D6" w14:textId="77777777" w:rsidR="00F66B70" w:rsidRPr="00F66B70" w:rsidRDefault="00F66B70" w:rsidP="00F66B70">
      <w:pPr>
        <w:tabs>
          <w:tab w:val="left" w:pos="378"/>
        </w:tabs>
        <w:spacing w:line="360" w:lineRule="auto"/>
        <w:jc w:val="both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1</w:t>
      </w:r>
      <w:r w:rsidRPr="00F66B70">
        <w:rPr>
          <w:rFonts w:ascii="Arial" w:eastAsia="新細明體" w:hAnsi="Arial" w:cs="Arial"/>
          <w:szCs w:val="24"/>
        </w:rPr>
        <w:t>Division of Pediatric Neurology, Department of Pediatrics. National Taiwan University Hospital Yunlin Branch, Yunlin County, Taiwan</w:t>
      </w:r>
    </w:p>
    <w:p w14:paraId="1A7939D7" w14:textId="77777777" w:rsidR="00F66B70" w:rsidRPr="00F66B70" w:rsidRDefault="00F66B70" w:rsidP="00F66B70">
      <w:pPr>
        <w:widowControl/>
        <w:spacing w:line="360" w:lineRule="auto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2</w:t>
      </w:r>
      <w:r w:rsidRPr="00F66B70">
        <w:rPr>
          <w:rFonts w:ascii="Arial" w:eastAsia="新細明體" w:hAnsi="Arial" w:cs="Arial"/>
          <w:szCs w:val="24"/>
        </w:rPr>
        <w:t>Department of Pediatric Neurology, Chang Gung Memorial Hospital-Kaohsiung, Kaohsiung, Taiwan</w:t>
      </w:r>
    </w:p>
    <w:p w14:paraId="37ACB291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3</w:t>
      </w:r>
      <w:r w:rsidRPr="00F66B70">
        <w:rPr>
          <w:rFonts w:ascii="Arial" w:eastAsia="新細明體" w:hAnsi="Arial" w:cs="Arial"/>
          <w:szCs w:val="24"/>
        </w:rPr>
        <w:t>Department of Pediatrics, National Taiwan University Hospital and National Taiwan University College of Medicine, Taipei, Taiwan.</w:t>
      </w:r>
    </w:p>
    <w:p w14:paraId="774B26C2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  <w:vertAlign w:val="superscript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4</w:t>
      </w:r>
      <w:r w:rsidRPr="00F66B70">
        <w:rPr>
          <w:rFonts w:ascii="Arial" w:eastAsia="新細明體" w:hAnsi="Arial" w:cs="Arial"/>
          <w:szCs w:val="24"/>
        </w:rPr>
        <w:t>Division of Pediatric Neurology, Chang Gung Children's Hospital and Chang Gung Memorial Hospital, Chang Gung University College of Medicine, Taoyuan, Taiwan</w:t>
      </w:r>
    </w:p>
    <w:p w14:paraId="191AE8A0" w14:textId="77777777" w:rsidR="00F66B70" w:rsidRPr="00F66B70" w:rsidRDefault="00F66B70" w:rsidP="00F66B70">
      <w:pPr>
        <w:widowControl/>
        <w:spacing w:line="360" w:lineRule="auto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5</w:t>
      </w:r>
      <w:r w:rsidRPr="00F66B70">
        <w:rPr>
          <w:rFonts w:ascii="Arial" w:eastAsia="新細明體" w:hAnsi="Arial" w:cs="Arial"/>
          <w:szCs w:val="24"/>
        </w:rPr>
        <w:t>Department of Pediatrics, Taipei Veterans General Hospital, Taipei, Taiwan</w:t>
      </w:r>
    </w:p>
    <w:p w14:paraId="385AF740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6</w:t>
      </w:r>
      <w:r w:rsidRPr="00F66B70">
        <w:rPr>
          <w:rFonts w:ascii="Arial" w:eastAsia="新細明體" w:hAnsi="Arial" w:cs="Arial"/>
          <w:szCs w:val="24"/>
        </w:rPr>
        <w:t>Department of Pediatrics, Mackay Memorial Hospital, Taipei, Taiwan</w:t>
      </w:r>
    </w:p>
    <w:p w14:paraId="14CC23C6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7</w:t>
      </w:r>
      <w:r w:rsidRPr="00F66B70">
        <w:rPr>
          <w:rFonts w:ascii="Arial" w:eastAsia="新細明體" w:hAnsi="Arial" w:cs="Arial"/>
          <w:szCs w:val="24"/>
        </w:rPr>
        <w:t>Division of Pediatrics Neurology, China Medical University Children's Hospital, Taichung, Taiwan</w:t>
      </w:r>
    </w:p>
    <w:p w14:paraId="76852E61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8</w:t>
      </w:r>
      <w:r w:rsidRPr="00F66B70">
        <w:rPr>
          <w:rFonts w:ascii="Arial" w:eastAsia="新細明體" w:hAnsi="Arial" w:cs="Arial"/>
          <w:szCs w:val="24"/>
        </w:rPr>
        <w:t>Department of Pediatrics, School of Medicine, Institute of Medicine, Chung Shan Medical University Hospital, Chung Shan Medical University, Taichung, Taiwan</w:t>
      </w:r>
    </w:p>
    <w:p w14:paraId="6E513C11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9</w:t>
      </w:r>
      <w:r w:rsidRPr="00F66B70">
        <w:rPr>
          <w:rFonts w:ascii="Arial" w:eastAsia="新細明體" w:hAnsi="Arial" w:cs="Arial"/>
          <w:szCs w:val="24"/>
        </w:rPr>
        <w:t>Department of Pediatrics, Tungs' Taichung Metroharbor Hospital, Taichung, Taiwan</w:t>
      </w:r>
    </w:p>
    <w:p w14:paraId="3D7A49B1" w14:textId="77777777" w:rsidR="00F66B70" w:rsidRPr="00F66B70" w:rsidRDefault="00F66B70" w:rsidP="00F66B70">
      <w:pPr>
        <w:widowControl/>
        <w:spacing w:line="360" w:lineRule="auto"/>
        <w:ind w:leftChars="17" w:left="41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lastRenderedPageBreak/>
        <w:t>10</w:t>
      </w:r>
      <w:r w:rsidRPr="00F66B70">
        <w:rPr>
          <w:rFonts w:ascii="Arial" w:eastAsia="新細明體" w:hAnsi="Arial" w:cs="Arial"/>
          <w:szCs w:val="24"/>
        </w:rPr>
        <w:t>Department of Pediatrics, Tri-Service General Hospital, National Defense Medical Center, Taipei, Taiwan</w:t>
      </w:r>
    </w:p>
    <w:p w14:paraId="1769EC56" w14:textId="77777777" w:rsidR="00F66B70" w:rsidRPr="00F66B70" w:rsidRDefault="00F66B70" w:rsidP="00F66B70">
      <w:pPr>
        <w:widowControl/>
        <w:spacing w:line="360" w:lineRule="auto"/>
        <w:ind w:leftChars="47" w:left="311" w:hanging="198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11</w:t>
      </w:r>
      <w:r w:rsidRPr="00F66B70">
        <w:rPr>
          <w:rFonts w:ascii="Arial" w:eastAsia="新細明體" w:hAnsi="Arial" w:cs="Arial"/>
          <w:szCs w:val="24"/>
        </w:rPr>
        <w:t>Department of Pediatrics, Far Eastern Memorial Hospital, New Taipei City, Taiwan</w:t>
      </w:r>
    </w:p>
    <w:p w14:paraId="559C5B55" w14:textId="77777777" w:rsidR="00F66B70" w:rsidRPr="00F66B70" w:rsidRDefault="00F66B70" w:rsidP="00F66B70">
      <w:pPr>
        <w:widowControl/>
        <w:spacing w:line="360" w:lineRule="auto"/>
        <w:ind w:leftChars="47" w:left="311" w:hanging="198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12</w:t>
      </w:r>
      <w:r w:rsidRPr="00F66B70">
        <w:rPr>
          <w:rFonts w:ascii="Arial" w:eastAsia="新細明體" w:hAnsi="Arial" w:cs="Arial"/>
          <w:szCs w:val="24"/>
        </w:rPr>
        <w:t>Department of Pediatrics, National Cheng Kung University Hospital, College of Medicine, National Cheng Kung University, Tainan, Taiwan</w:t>
      </w:r>
    </w:p>
    <w:p w14:paraId="6A68BFA4" w14:textId="77777777" w:rsidR="00F66B70" w:rsidRPr="00F66B70" w:rsidRDefault="00F66B70" w:rsidP="00F66B70">
      <w:pPr>
        <w:widowControl/>
        <w:spacing w:line="360" w:lineRule="auto"/>
        <w:ind w:leftChars="47" w:left="311" w:hanging="198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13</w:t>
      </w:r>
      <w:r w:rsidRPr="00F66B70">
        <w:rPr>
          <w:rFonts w:ascii="Arial" w:eastAsia="新細明體" w:hAnsi="Arial" w:cs="Arial"/>
          <w:szCs w:val="24"/>
        </w:rPr>
        <w:t>Department of Pediatric Neurology, Changhua Christian Children's Hospital Changhua, Taiwan</w:t>
      </w:r>
    </w:p>
    <w:p w14:paraId="4F8CE8C5" w14:textId="77777777" w:rsidR="00F66B70" w:rsidRPr="00F66B70" w:rsidRDefault="00F66B70" w:rsidP="00F66B70">
      <w:pPr>
        <w:widowControl/>
        <w:spacing w:line="360" w:lineRule="auto"/>
        <w:ind w:leftChars="47" w:left="311" w:hanging="198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14</w:t>
      </w:r>
      <w:r w:rsidRPr="00F66B70">
        <w:rPr>
          <w:rFonts w:ascii="Arial" w:eastAsia="新細明體" w:hAnsi="Arial" w:cs="Arial"/>
          <w:szCs w:val="24"/>
        </w:rPr>
        <w:t>Department of Pediatrics, Cathay General Hospital, Taipei, Taiwan</w:t>
      </w:r>
    </w:p>
    <w:p w14:paraId="6BCAA082" w14:textId="77777777" w:rsidR="00F66B70" w:rsidRPr="00F66B70" w:rsidRDefault="00F66B70" w:rsidP="00F66B70">
      <w:pPr>
        <w:widowControl/>
        <w:spacing w:line="360" w:lineRule="auto"/>
        <w:ind w:leftChars="47" w:left="311" w:hanging="198"/>
        <w:rPr>
          <w:rFonts w:ascii="Arial" w:eastAsia="新細明體" w:hAnsi="Arial" w:cs="Arial"/>
          <w:szCs w:val="24"/>
        </w:rPr>
      </w:pPr>
      <w:r w:rsidRPr="00F66B70">
        <w:rPr>
          <w:rFonts w:ascii="Arial" w:eastAsia="新細明體" w:hAnsi="Arial" w:cs="Arial"/>
          <w:szCs w:val="24"/>
          <w:vertAlign w:val="superscript"/>
        </w:rPr>
        <w:t>15</w:t>
      </w:r>
      <w:r w:rsidRPr="00F66B70">
        <w:rPr>
          <w:rFonts w:ascii="Arial" w:eastAsia="Times New Roman" w:hAnsi="Arial" w:cs="Arial"/>
          <w:color w:val="000000"/>
          <w:kern w:val="0"/>
          <w:sz w:val="18"/>
          <w:szCs w:val="18"/>
          <w:lang w:eastAsia="de-DE" w:bidi="en-US"/>
        </w:rPr>
        <w:t xml:space="preserve"> </w:t>
      </w:r>
      <w:r w:rsidRPr="00F66B70">
        <w:rPr>
          <w:rFonts w:ascii="Arial" w:eastAsia="新細明體" w:hAnsi="Arial" w:cs="Arial"/>
          <w:szCs w:val="24"/>
        </w:rPr>
        <w:t>Department of Pediatrics, Fu-Jen Catholic University Hospital, New Taipei City, Taiwan</w:t>
      </w:r>
    </w:p>
    <w:p w14:paraId="408F8465" w14:textId="577C9E5A" w:rsidR="00F66B70" w:rsidRDefault="00F66B70" w:rsidP="00542E95">
      <w:pPr>
        <w:rPr>
          <w:rFonts w:ascii="Calibri" w:eastAsia="新細明體" w:hAnsi="Calibri" w:cs="Times New Roman"/>
        </w:rPr>
      </w:pPr>
    </w:p>
    <w:p w14:paraId="62D3B7BD" w14:textId="6F3CADB7" w:rsidR="00F66B70" w:rsidRDefault="00F66B70" w:rsidP="00542E95">
      <w:pPr>
        <w:rPr>
          <w:rFonts w:ascii="Calibri" w:eastAsia="新細明體" w:hAnsi="Calibri" w:cs="Times New Roman"/>
        </w:rPr>
      </w:pPr>
    </w:p>
    <w:p w14:paraId="05E14071" w14:textId="2D71E560" w:rsidR="00F66B70" w:rsidRDefault="00F66B70" w:rsidP="00542E95">
      <w:pPr>
        <w:rPr>
          <w:rFonts w:ascii="Calibri" w:eastAsia="新細明體" w:hAnsi="Calibri" w:cs="Times New Roman"/>
        </w:rPr>
      </w:pPr>
    </w:p>
    <w:p w14:paraId="057961CE" w14:textId="1CA9CBB8" w:rsidR="00F66B70" w:rsidRDefault="00F66B70" w:rsidP="00542E95">
      <w:pPr>
        <w:rPr>
          <w:rFonts w:ascii="Calibri" w:eastAsia="新細明體" w:hAnsi="Calibri" w:cs="Times New Roman"/>
        </w:rPr>
      </w:pPr>
    </w:p>
    <w:p w14:paraId="3DE776CB" w14:textId="77777777" w:rsidR="00F66B70" w:rsidRDefault="00F66B70" w:rsidP="00542E95">
      <w:pPr>
        <w:rPr>
          <w:rFonts w:ascii="Calibri" w:eastAsia="新細明體" w:hAnsi="Calibri" w:cs="Times New Roman"/>
        </w:rPr>
      </w:pPr>
      <w:bookmarkStart w:id="0" w:name="_GoBack"/>
      <w:bookmarkEnd w:id="0"/>
    </w:p>
    <w:p w14:paraId="6BB3F184" w14:textId="77777777" w:rsidR="00F66B70" w:rsidRDefault="00F66B70" w:rsidP="00542E95">
      <w:pPr>
        <w:rPr>
          <w:rFonts w:ascii="Calibri" w:eastAsia="新細明體" w:hAnsi="Calibri" w:cs="Times New Roman"/>
        </w:rPr>
      </w:pPr>
    </w:p>
    <w:p w14:paraId="656E898A" w14:textId="73C51B44" w:rsidR="00542E95" w:rsidRPr="00542E95" w:rsidRDefault="00542E95" w:rsidP="00542E95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t xml:space="preserve">Supp </w:t>
      </w:r>
      <w:r w:rsidRPr="00542E95">
        <w:rPr>
          <w:rFonts w:ascii="Calibri" w:eastAsia="新細明體" w:hAnsi="Calibri" w:cs="Times New Roman"/>
        </w:rPr>
        <w:t xml:space="preserve">Table </w:t>
      </w:r>
      <w:r>
        <w:rPr>
          <w:rFonts w:ascii="Calibri" w:eastAsia="新細明體" w:hAnsi="Calibri" w:cs="Times New Roman" w:hint="eastAsia"/>
        </w:rPr>
        <w:t>1</w:t>
      </w:r>
      <w:r w:rsidRPr="00542E95">
        <w:rPr>
          <w:rFonts w:ascii="Calibri" w:eastAsia="新細明體" w:hAnsi="Calibri" w:cs="Times New Roman"/>
        </w:rPr>
        <w:t>. Influence of DS caregiving on Oberst Caregiving Burden Scale domain</w:t>
      </w:r>
    </w:p>
    <w:tbl>
      <w:tblPr>
        <w:tblW w:w="77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578"/>
        <w:gridCol w:w="993"/>
        <w:gridCol w:w="398"/>
        <w:gridCol w:w="1161"/>
        <w:gridCol w:w="441"/>
        <w:gridCol w:w="126"/>
        <w:gridCol w:w="993"/>
        <w:gridCol w:w="567"/>
      </w:tblGrid>
      <w:tr w:rsidR="00542E95" w:rsidRPr="00542E95" w14:paraId="227871EB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F5A4F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 xml:space="preserve">Distribution of responses </w:t>
            </w:r>
          </w:p>
        </w:tc>
        <w:tc>
          <w:tcPr>
            <w:tcW w:w="4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8671B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Response (n=38)</w:t>
            </w:r>
          </w:p>
        </w:tc>
      </w:tr>
      <w:tr w:rsidR="00542E95" w:rsidRPr="00542E95" w14:paraId="2D9B0998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7088F" w14:textId="77777777" w:rsidR="00542E95" w:rsidRPr="00542E95" w:rsidRDefault="00542E95" w:rsidP="00542E95">
            <w:pPr>
              <w:widowControl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014AA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No problem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598DF" w14:textId="2F6865F4" w:rsidR="00542E95" w:rsidRPr="00542E95" w:rsidRDefault="00542E95" w:rsidP="00542E95">
            <w:pPr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Some problem</w:t>
            </w:r>
            <w:r>
              <w:rPr>
                <w:rFonts w:ascii="Calibri" w:eastAsia="新細明體" w:hAnsi="Calibri" w:cs="Times New Roman"/>
                <w:szCs w:val="24"/>
              </w:rPr>
              <w:t>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68F0F" w14:textId="77777777" w:rsidR="00542E95" w:rsidRPr="00542E95" w:rsidRDefault="00542E95" w:rsidP="00542E95">
            <w:pPr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Extreme problem</w:t>
            </w:r>
          </w:p>
        </w:tc>
      </w:tr>
      <w:tr w:rsidR="00542E95" w:rsidRPr="00542E95" w14:paraId="2F285856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BC936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Additional household tasks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2F0EA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01BE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21%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CD3D3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744F4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66%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D35DC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FE01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13%</w:t>
            </w:r>
          </w:p>
        </w:tc>
      </w:tr>
      <w:tr w:rsidR="00542E95" w:rsidRPr="00542E95" w14:paraId="4D82E612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1AB44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Symptoms observation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4293E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F0BB0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24%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0227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66280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74%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DC8B4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</w:t>
            </w:r>
          </w:p>
        </w:tc>
        <w:tc>
          <w:tcPr>
            <w:tcW w:w="111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97324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3%</w:t>
            </w:r>
          </w:p>
        </w:tc>
      </w:tr>
      <w:tr w:rsidR="00542E95" w:rsidRPr="00542E95" w14:paraId="4BE94524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1310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Further medical plan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1E5DA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BCB04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24%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824BB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5F053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63%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18A8D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5</w:t>
            </w:r>
          </w:p>
        </w:tc>
        <w:tc>
          <w:tcPr>
            <w:tcW w:w="111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D1A5E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13%</w:t>
            </w:r>
          </w:p>
        </w:tc>
      </w:tr>
      <w:tr w:rsidR="00542E95" w:rsidRPr="00542E95" w14:paraId="09EECF66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E4A5F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Financial problem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8059C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2F7A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34%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6344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FB91D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47%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D9888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7</w:t>
            </w:r>
          </w:p>
        </w:tc>
        <w:tc>
          <w:tcPr>
            <w:tcW w:w="111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4AC9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18%</w:t>
            </w:r>
          </w:p>
        </w:tc>
      </w:tr>
      <w:tr w:rsidR="00542E95" w:rsidRPr="00542E95" w14:paraId="60E2B1B7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72F6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Medical or nursing treatments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8657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B72DF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34%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2C8DA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25FE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53%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E501A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5</w:t>
            </w:r>
          </w:p>
        </w:tc>
        <w:tc>
          <w:tcPr>
            <w:tcW w:w="111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AC38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13%</w:t>
            </w:r>
          </w:p>
        </w:tc>
      </w:tr>
      <w:tr w:rsidR="00542E95" w:rsidRPr="00542E95" w14:paraId="5AAFEC32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9D5B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Medication use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9B121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D2F9C" w14:textId="77777777" w:rsidR="00542E95" w:rsidRPr="00542E95" w:rsidRDefault="00542E95" w:rsidP="00542E95">
            <w:pPr>
              <w:widowControl/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37%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8277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E2DF6" w14:textId="77777777" w:rsidR="00542E95" w:rsidRPr="00542E95" w:rsidRDefault="00542E95" w:rsidP="00542E95">
            <w:pPr>
              <w:widowControl/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55%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5FF46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3</w:t>
            </w:r>
          </w:p>
        </w:tc>
        <w:tc>
          <w:tcPr>
            <w:tcW w:w="111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EF027" w14:textId="77777777" w:rsidR="00542E95" w:rsidRPr="00542E95" w:rsidRDefault="00542E95" w:rsidP="00542E95">
            <w:pPr>
              <w:widowControl/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8%</w:t>
            </w:r>
          </w:p>
        </w:tc>
      </w:tr>
      <w:tr w:rsidR="00542E95" w:rsidRPr="00542E95" w14:paraId="1F65AC30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26D0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Patient care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EBB94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ED138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42%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D0A83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93423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50%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1CF7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3</w:t>
            </w:r>
          </w:p>
        </w:tc>
        <w:tc>
          <w:tcPr>
            <w:tcW w:w="111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0331D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8%</w:t>
            </w:r>
          </w:p>
        </w:tc>
      </w:tr>
      <w:tr w:rsidR="00542E95" w:rsidRPr="00542E95" w14:paraId="4582177A" w14:textId="77777777" w:rsidTr="00542E95">
        <w:trPr>
          <w:gridAfter w:val="1"/>
          <w:wAfter w:w="567" w:type="dxa"/>
          <w:trHeight w:val="292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B8050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Mobility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62C7D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5B6C9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50%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23520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D136C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47%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EE762" w14:textId="77777777" w:rsidR="00542E95" w:rsidRPr="00542E95" w:rsidRDefault="00542E95" w:rsidP="00542E95">
            <w:pPr>
              <w:rPr>
                <w:rFonts w:ascii="Calibri" w:eastAsia="新細明體" w:hAnsi="Calibri" w:cs="Times New Roman"/>
                <w:szCs w:val="24"/>
              </w:rPr>
            </w:pPr>
            <w:r w:rsidRPr="00542E95">
              <w:rPr>
                <w:rFonts w:ascii="Calibri" w:eastAsia="新細明體" w:hAnsi="Calibri" w:cs="Times New Roman"/>
                <w:szCs w:val="24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F6994" w14:textId="77777777" w:rsidR="00542E95" w:rsidRPr="00542E95" w:rsidRDefault="00542E95" w:rsidP="00542E95">
            <w:pPr>
              <w:jc w:val="right"/>
              <w:rPr>
                <w:rFonts w:ascii="Calibri" w:eastAsia="新細明體" w:hAnsi="Calibri" w:cs="Arial"/>
                <w:szCs w:val="24"/>
              </w:rPr>
            </w:pPr>
            <w:r w:rsidRPr="00542E95">
              <w:rPr>
                <w:rFonts w:ascii="Calibri" w:eastAsia="新細明體" w:hAnsi="Calibri" w:cs="Arial"/>
                <w:szCs w:val="24"/>
              </w:rPr>
              <w:t>3%</w:t>
            </w:r>
          </w:p>
        </w:tc>
      </w:tr>
      <w:tr w:rsidR="00542E95" w:rsidRPr="00542E95" w14:paraId="4A41D972" w14:textId="77777777" w:rsidTr="00542E95">
        <w:trPr>
          <w:trHeight w:val="453"/>
        </w:trPr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58F9E9" w14:textId="77777777" w:rsidR="00542E95" w:rsidRDefault="00542E95" w:rsidP="00542E95">
            <w:pPr>
              <w:widowControl/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</w:pPr>
          </w:p>
          <w:p w14:paraId="0AA402D6" w14:textId="77777777" w:rsidR="00542E95" w:rsidRDefault="00542E95" w:rsidP="00542E95">
            <w:pPr>
              <w:widowControl/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</w:pPr>
          </w:p>
          <w:p w14:paraId="434F0EE5" w14:textId="77777777" w:rsidR="00542E95" w:rsidRDefault="00542E95" w:rsidP="00542E95">
            <w:pPr>
              <w:widowControl/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lastRenderedPageBreak/>
              <w:t xml:space="preserve">Supp </w:t>
            </w: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 xml:space="preserve">Table </w:t>
            </w:r>
            <w:r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>2</w:t>
            </w: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 xml:space="preserve">. Most common caregiver concerns </w:t>
            </w:r>
          </w:p>
          <w:p w14:paraId="2ACB6C74" w14:textId="330E368A" w:rsidR="00542E95" w:rsidRPr="00542E95" w:rsidRDefault="00542E95" w:rsidP="00542E9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0C5C68" w14:textId="77777777" w:rsidR="00542E95" w:rsidRPr="00542E95" w:rsidRDefault="00542E95" w:rsidP="00542E95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42E95" w:rsidRPr="00542E95" w14:paraId="5572A7D3" w14:textId="77777777" w:rsidTr="00542E95">
        <w:trPr>
          <w:trHeight w:val="453"/>
        </w:trPr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FD82F" w14:textId="77777777" w:rsidR="00542E95" w:rsidRPr="00542E95" w:rsidRDefault="00542E95" w:rsidP="00542E9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  <w:r w:rsidRPr="00542E95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Concern </w:t>
            </w:r>
            <w:r w:rsidRPr="00542E95">
              <w:rPr>
                <w:rFonts w:ascii="新細明體" w:eastAsia="新細明體" w:hAnsi="新細明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5560E3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n=38</w:t>
            </w:r>
          </w:p>
        </w:tc>
      </w:tr>
      <w:tr w:rsidR="00542E95" w:rsidRPr="00542E95" w14:paraId="4AF3E64B" w14:textId="77777777" w:rsidTr="00542E95">
        <w:trPr>
          <w:trHeight w:val="584"/>
        </w:trPr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9D2ECF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kern w:val="0"/>
                <w:szCs w:val="24"/>
              </w:rPr>
              <w:t>Lack of independence/constant care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976EA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kern w:val="0"/>
                <w:szCs w:val="24"/>
              </w:rPr>
              <w:t>23(60.5%)</w:t>
            </w:r>
          </w:p>
        </w:tc>
      </w:tr>
      <w:tr w:rsidR="00542E95" w:rsidRPr="00542E95" w14:paraId="08DBCF88" w14:textId="77777777" w:rsidTr="00542E95">
        <w:trPr>
          <w:trHeight w:val="584"/>
        </w:trPr>
        <w:tc>
          <w:tcPr>
            <w:tcW w:w="6237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6ABAF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kern w:val="0"/>
                <w:szCs w:val="24"/>
              </w:rPr>
              <w:t>Seizure control</w:t>
            </w:r>
          </w:p>
        </w:tc>
        <w:tc>
          <w:tcPr>
            <w:tcW w:w="15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850349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kern w:val="0"/>
                <w:szCs w:val="24"/>
              </w:rPr>
              <w:t>22 (57.9%)</w:t>
            </w:r>
          </w:p>
        </w:tc>
      </w:tr>
      <w:tr w:rsidR="00542E95" w:rsidRPr="00542E95" w14:paraId="4869F237" w14:textId="77777777" w:rsidTr="00542E95">
        <w:trPr>
          <w:trHeight w:val="584"/>
        </w:trPr>
        <w:tc>
          <w:tcPr>
            <w:tcW w:w="6237" w:type="dxa"/>
            <w:gridSpan w:val="7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B536DF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kern w:val="0"/>
                <w:szCs w:val="24"/>
              </w:rPr>
              <w:t>Speech/communication</w:t>
            </w:r>
          </w:p>
        </w:tc>
        <w:tc>
          <w:tcPr>
            <w:tcW w:w="1560" w:type="dxa"/>
            <w:gridSpan w:val="2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06F822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kern w:val="0"/>
                <w:szCs w:val="24"/>
              </w:rPr>
              <w:t>19 (50%)</w:t>
            </w:r>
          </w:p>
        </w:tc>
      </w:tr>
      <w:tr w:rsidR="00542E95" w:rsidRPr="00542E95" w14:paraId="2B3475AC" w14:textId="77777777" w:rsidTr="00542E95">
        <w:trPr>
          <w:trHeight w:val="584"/>
        </w:trPr>
        <w:tc>
          <w:tcPr>
            <w:tcW w:w="6237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7DF4DC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1" w:name="_Hlk42690548"/>
            <w:r w:rsidRPr="00542E95">
              <w:rPr>
                <w:rFonts w:ascii="Calibri" w:eastAsia="新細明體" w:hAnsi="Calibri" w:cs="新細明體"/>
                <w:bCs/>
                <w:kern w:val="0"/>
                <w:szCs w:val="24"/>
              </w:rPr>
              <w:t>Sibling impacts/Long-term care when parents are gone</w:t>
            </w:r>
          </w:p>
        </w:tc>
        <w:tc>
          <w:tcPr>
            <w:tcW w:w="15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75D56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kern w:val="0"/>
                <w:szCs w:val="24"/>
              </w:rPr>
              <w:t>19 (50%)</w:t>
            </w:r>
          </w:p>
        </w:tc>
        <w:bookmarkEnd w:id="1"/>
      </w:tr>
      <w:tr w:rsidR="00542E95" w:rsidRPr="00542E95" w14:paraId="63FAA59A" w14:textId="77777777" w:rsidTr="00542E95">
        <w:trPr>
          <w:trHeight w:val="453"/>
        </w:trPr>
        <w:tc>
          <w:tcPr>
            <w:tcW w:w="6237" w:type="dxa"/>
            <w:gridSpan w:val="7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321A0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kern w:val="0"/>
                <w:szCs w:val="24"/>
              </w:rPr>
              <w:t>Cognitive/developmental delay/regression</w:t>
            </w:r>
          </w:p>
        </w:tc>
        <w:tc>
          <w:tcPr>
            <w:tcW w:w="1560" w:type="dxa"/>
            <w:gridSpan w:val="2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DBE4F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kern w:val="0"/>
                <w:szCs w:val="24"/>
              </w:rPr>
              <w:t>11(28.9%)</w:t>
            </w:r>
          </w:p>
        </w:tc>
      </w:tr>
      <w:tr w:rsidR="00542E95" w:rsidRPr="00542E95" w14:paraId="2B0DCE79" w14:textId="77777777" w:rsidTr="00542E95">
        <w:trPr>
          <w:trHeight w:val="584"/>
        </w:trPr>
        <w:tc>
          <w:tcPr>
            <w:tcW w:w="6237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AFFB09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kern w:val="0"/>
                <w:szCs w:val="24"/>
              </w:rPr>
              <w:t>Behavioral issues including violence and autistic traits</w:t>
            </w:r>
          </w:p>
        </w:tc>
        <w:tc>
          <w:tcPr>
            <w:tcW w:w="15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3E45EF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kern w:val="0"/>
                <w:szCs w:val="24"/>
              </w:rPr>
              <w:t>3(7.9%)</w:t>
            </w:r>
          </w:p>
        </w:tc>
      </w:tr>
      <w:tr w:rsidR="00542E95" w:rsidRPr="00542E95" w14:paraId="258C2C99" w14:textId="77777777" w:rsidTr="00542E95">
        <w:trPr>
          <w:trHeight w:val="584"/>
        </w:trPr>
        <w:tc>
          <w:tcPr>
            <w:tcW w:w="6237" w:type="dxa"/>
            <w:gridSpan w:val="7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B6BA1E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>SUDEP or death</w:t>
            </w:r>
          </w:p>
        </w:tc>
        <w:tc>
          <w:tcPr>
            <w:tcW w:w="1560" w:type="dxa"/>
            <w:gridSpan w:val="2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EF9A6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4(10.5%)</w:t>
            </w:r>
          </w:p>
        </w:tc>
      </w:tr>
      <w:tr w:rsidR="00542E95" w:rsidRPr="00542E95" w14:paraId="3E1B686E" w14:textId="77777777" w:rsidTr="00542E95">
        <w:trPr>
          <w:trHeight w:val="453"/>
        </w:trPr>
        <w:tc>
          <w:tcPr>
            <w:tcW w:w="6237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97B484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 xml:space="preserve">Anxiety/depression/isolation </w:t>
            </w:r>
          </w:p>
        </w:tc>
        <w:tc>
          <w:tcPr>
            <w:tcW w:w="15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F4D1A5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2(5.2%)</w:t>
            </w:r>
          </w:p>
        </w:tc>
      </w:tr>
      <w:tr w:rsidR="00542E95" w:rsidRPr="00542E95" w14:paraId="5E492D9B" w14:textId="77777777" w:rsidTr="00542E95">
        <w:trPr>
          <w:trHeight w:val="453"/>
        </w:trPr>
        <w:tc>
          <w:tcPr>
            <w:tcW w:w="6237" w:type="dxa"/>
            <w:gridSpan w:val="7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2145C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 xml:space="preserve">Finances </w:t>
            </w:r>
          </w:p>
        </w:tc>
        <w:tc>
          <w:tcPr>
            <w:tcW w:w="1560" w:type="dxa"/>
            <w:gridSpan w:val="2"/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53E370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7(18.4%)</w:t>
            </w:r>
          </w:p>
        </w:tc>
      </w:tr>
      <w:tr w:rsidR="00542E95" w:rsidRPr="00542E95" w14:paraId="1BB52995" w14:textId="77777777" w:rsidTr="00542E95">
        <w:trPr>
          <w:trHeight w:val="453"/>
        </w:trPr>
        <w:tc>
          <w:tcPr>
            <w:tcW w:w="6237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77F0E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>Medication side effects </w:t>
            </w:r>
          </w:p>
        </w:tc>
        <w:tc>
          <w:tcPr>
            <w:tcW w:w="15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821D91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5(13.2%)</w:t>
            </w:r>
          </w:p>
        </w:tc>
      </w:tr>
      <w:tr w:rsidR="00542E95" w:rsidRPr="00542E95" w14:paraId="4197C5E9" w14:textId="77777777" w:rsidTr="00542E95">
        <w:trPr>
          <w:trHeight w:val="584"/>
        </w:trPr>
        <w:tc>
          <w:tcPr>
            <w:tcW w:w="7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08EDCF" w14:textId="77777777" w:rsidR="00542E95" w:rsidRPr="00542E95" w:rsidRDefault="00542E95" w:rsidP="00542E95">
            <w:pPr>
              <w:widowControl/>
              <w:spacing w:after="1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42E95">
              <w:rPr>
                <w:rFonts w:ascii="Calibri" w:eastAsia="新細明體" w:hAnsi="Calibri" w:cs="新細明體"/>
                <w:bCs/>
                <w:color w:val="000000"/>
                <w:kern w:val="0"/>
                <w:szCs w:val="24"/>
              </w:rPr>
              <w:t xml:space="preserve">Caregivers were asked to “List the top 3 concerns for the patient or family” after seizure control in open response. </w:t>
            </w:r>
          </w:p>
        </w:tc>
      </w:tr>
    </w:tbl>
    <w:p w14:paraId="76905FD2" w14:textId="77777777" w:rsidR="00542E95" w:rsidRPr="00542E95" w:rsidRDefault="00542E95" w:rsidP="00542E95">
      <w:pPr>
        <w:rPr>
          <w:rFonts w:ascii="Calibri" w:eastAsia="新細明體" w:hAnsi="Calibri" w:cs="Times New Roman"/>
        </w:rPr>
      </w:pPr>
    </w:p>
    <w:p w14:paraId="1BB8F5E0" w14:textId="77777777" w:rsidR="00542E95" w:rsidRPr="00542E95" w:rsidRDefault="00542E95" w:rsidP="00542E95">
      <w:pPr>
        <w:rPr>
          <w:rFonts w:ascii="Calibri" w:eastAsia="新細明體" w:hAnsi="Calibri" w:cs="Times New Roman"/>
        </w:rPr>
      </w:pPr>
    </w:p>
    <w:p w14:paraId="38D52085" w14:textId="77777777" w:rsidR="00427511" w:rsidRPr="00542E95" w:rsidRDefault="00427511"/>
    <w:sectPr w:rsidR="00427511" w:rsidRPr="00542E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74D52" w14:textId="77777777" w:rsidR="00F66B70" w:rsidRDefault="00F66B70" w:rsidP="00F66B70">
      <w:r>
        <w:separator/>
      </w:r>
    </w:p>
  </w:endnote>
  <w:endnote w:type="continuationSeparator" w:id="0">
    <w:p w14:paraId="2598A3B9" w14:textId="77777777" w:rsidR="00F66B70" w:rsidRDefault="00F66B70" w:rsidP="00F6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338FB" w14:textId="77777777" w:rsidR="00F66B70" w:rsidRDefault="00F66B70" w:rsidP="00F66B70">
      <w:r>
        <w:separator/>
      </w:r>
    </w:p>
  </w:footnote>
  <w:footnote w:type="continuationSeparator" w:id="0">
    <w:p w14:paraId="51D04082" w14:textId="77777777" w:rsidR="00F66B70" w:rsidRDefault="00F66B70" w:rsidP="00F6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95"/>
    <w:rsid w:val="00427511"/>
    <w:rsid w:val="00542E95"/>
    <w:rsid w:val="00F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9DC8C"/>
  <w15:chartTrackingRefBased/>
  <w15:docId w15:val="{2350633D-5445-436B-815A-B490851E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542E95"/>
    <w:rPr>
      <w:rFonts w:ascii="Calibri" w:eastAsia="新細明體" w:hAnsi="Calibri" w:cs="Times New Roman"/>
    </w:rPr>
  </w:style>
  <w:style w:type="character" w:customStyle="1" w:styleId="a4">
    <w:name w:val="註解文字 字元"/>
    <w:basedOn w:val="a0"/>
    <w:link w:val="a3"/>
    <w:uiPriority w:val="99"/>
    <w:semiHidden/>
    <w:rsid w:val="00542E95"/>
    <w:rPr>
      <w:rFonts w:ascii="Calibri" w:eastAsia="新細明體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542E9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6B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6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6B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Ho+CS&amp;cauthor_id=239201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?term=Fan+PC&amp;cauthor_id=316624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Hung+PL&amp;cauthor_id=14984898" TargetMode="External"/><Relationship Id="rId11" Type="http://schemas.openxmlformats.org/officeDocument/2006/relationships/hyperlink" Target="https://pubmed.ncbi.nlm.nih.gov/?term=Wong+LC&amp;cauthor_id=3145498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ubmed.ncbi.nlm.nih.gov/?term=Tu+YF&amp;cauthor_id=315414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med.ncbi.nlm.nih.gov/?term=Liang+JS&amp;cauthor_id=3112280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Wang-Tso Lee</dc:creator>
  <cp:keywords/>
  <dc:description/>
  <cp:lastModifiedBy>Lee</cp:lastModifiedBy>
  <cp:revision>2</cp:revision>
  <dcterms:created xsi:type="dcterms:W3CDTF">2021-02-01T16:04:00Z</dcterms:created>
  <dcterms:modified xsi:type="dcterms:W3CDTF">2021-02-10T01:31:00Z</dcterms:modified>
</cp:coreProperties>
</file>