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spacing w:after="240" w:line="480" w:lineRule="auto"/>
        <w:ind w:right="14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Discover Oncology</w:t>
      </w:r>
    </w:p>
    <w:p w:rsidR="00000000" w:rsidDel="00000000" w:rsidP="00000000" w:rsidRDefault="00000000" w:rsidRPr="00000000" w14:paraId="00000002">
      <w:pPr>
        <w:widowControl w:val="0"/>
        <w:spacing w:after="240" w:line="480" w:lineRule="auto"/>
        <w:ind w:right="14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DNA methylation patterns suggest the involvement of </w:t>
      </w:r>
      <w:r w:rsidDel="00000000" w:rsidR="00000000" w:rsidRPr="00000000">
        <w:rPr>
          <w:rFonts w:ascii="Arial" w:cs="Arial" w:eastAsia="Arial" w:hAnsi="Arial"/>
          <w:b w:val="1"/>
          <w:i w:val="1"/>
          <w:sz w:val="24"/>
          <w:szCs w:val="24"/>
          <w:rtl w:val="0"/>
        </w:rPr>
        <w:t xml:space="preserve">DNMT3B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 and </w:t>
      </w:r>
      <w:r w:rsidDel="00000000" w:rsidR="00000000" w:rsidRPr="00000000">
        <w:rPr>
          <w:rFonts w:ascii="Arial" w:cs="Arial" w:eastAsia="Arial" w:hAnsi="Arial"/>
          <w:b w:val="1"/>
          <w:i w:val="1"/>
          <w:sz w:val="24"/>
          <w:szCs w:val="24"/>
          <w:rtl w:val="0"/>
        </w:rPr>
        <w:t xml:space="preserve">TET1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 in osteosarcoma development</w:t>
      </w:r>
    </w:p>
    <w:p w:rsidR="00000000" w:rsidDel="00000000" w:rsidP="00000000" w:rsidRDefault="00000000" w:rsidRPr="00000000" w14:paraId="00000003">
      <w:pPr>
        <w:widowControl w:val="0"/>
        <w:spacing w:after="240" w:line="480" w:lineRule="auto"/>
        <w:ind w:right="14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Sara Ferreira Pires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superscript"/>
          <w:rtl w:val="0"/>
        </w:rPr>
        <w:t xml:space="preserve">1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Juliana Sobral de Barros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superscript"/>
          <w:rtl w:val="0"/>
        </w:rPr>
        <w:t xml:space="preserve">1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Silvia Souza da Costa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superscript"/>
          <w:rtl w:val="0"/>
        </w:rPr>
        <w:t xml:space="preserve">1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Marília de Oliveira Scliar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superscript"/>
          <w:rtl w:val="0"/>
        </w:rPr>
        <w:t xml:space="preserve">1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André van Helvoort Lengert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super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Érica Boldrini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superscript"/>
          <w:rtl w:val="0"/>
        </w:rPr>
        <w:t xml:space="preserve">3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Sandra Regina Morini da Silva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superscript"/>
          <w:rtl w:val="0"/>
        </w:rPr>
        <w:t xml:space="preserve">4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Ljubica Tasic</w:t>
      </w:r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vertAlign w:val="superscript"/>
          <w:rtl w:val="0"/>
        </w:rPr>
        <w:t xml:space="preserve">5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Daniel Onofre Vidal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super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Ana Cristina Victorino Krepischi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superscript"/>
          <w:rtl w:val="0"/>
        </w:rPr>
        <w:t xml:space="preserve">1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Mariana Maschietto</w:t>
      </w:r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vertAlign w:val="superscript"/>
          <w:rtl w:val="0"/>
        </w:rPr>
        <w:t xml:space="preserve">6,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*</w:t>
      </w:r>
    </w:p>
    <w:p w:rsidR="00000000" w:rsidDel="00000000" w:rsidP="00000000" w:rsidRDefault="00000000" w:rsidRPr="00000000" w14:paraId="00000004">
      <w:pPr>
        <w:widowControl w:val="0"/>
        <w:spacing w:after="240" w:before="240" w:line="360" w:lineRule="auto"/>
        <w:ind w:right="14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superscript"/>
          <w:rtl w:val="0"/>
        </w:rPr>
        <w:t xml:space="preserve">1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Human Genome and Stem-Cell Research Center, Institute of Biosciences, Department of Genetics and Evolutionary Biology, University of São Paulo, São Paulo, Brazil</w:t>
      </w:r>
    </w:p>
    <w:p w:rsidR="00000000" w:rsidDel="00000000" w:rsidP="00000000" w:rsidRDefault="00000000" w:rsidRPr="00000000" w14:paraId="00000005">
      <w:pPr>
        <w:widowControl w:val="0"/>
        <w:spacing w:after="240" w:before="240" w:line="360" w:lineRule="auto"/>
        <w:ind w:right="140"/>
        <w:jc w:val="both"/>
        <w:rPr>
          <w:rFonts w:ascii="Arial" w:cs="Arial" w:eastAsia="Arial" w:hAnsi="Arial"/>
          <w:sz w:val="20"/>
          <w:szCs w:val="20"/>
          <w:highlight w:val="whit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super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rtl w:val="0"/>
        </w:rPr>
        <w:t xml:space="preserve">Molecular Oncology Research Center (CPOM), Barretos Cancer Hospital, Barretos, Brazil</w:t>
      </w:r>
    </w:p>
    <w:p w:rsidR="00000000" w:rsidDel="00000000" w:rsidP="00000000" w:rsidRDefault="00000000" w:rsidRPr="00000000" w14:paraId="00000006">
      <w:pPr>
        <w:widowControl w:val="0"/>
        <w:spacing w:after="240" w:before="240" w:line="360" w:lineRule="auto"/>
        <w:ind w:right="14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superscript"/>
          <w:rtl w:val="0"/>
        </w:rPr>
        <w:t xml:space="preserve">3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Barretos Children's Cancer Hospital, Barretos, Brazil</w:t>
      </w:r>
    </w:p>
    <w:p w:rsidR="00000000" w:rsidDel="00000000" w:rsidP="00000000" w:rsidRDefault="00000000" w:rsidRPr="00000000" w14:paraId="00000007">
      <w:pPr>
        <w:widowControl w:val="0"/>
        <w:spacing w:after="240" w:before="240" w:line="360" w:lineRule="auto"/>
        <w:ind w:right="14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superscript"/>
          <w:rtl w:val="0"/>
        </w:rPr>
        <w:t xml:space="preserve">4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Department of Pathology, Barretos Cancer Hospital, Barretos, Brazil</w:t>
      </w:r>
    </w:p>
    <w:p w:rsidR="00000000" w:rsidDel="00000000" w:rsidP="00000000" w:rsidRDefault="00000000" w:rsidRPr="00000000" w14:paraId="00000008">
      <w:pPr>
        <w:widowControl w:val="0"/>
        <w:spacing w:after="240" w:before="240" w:line="360" w:lineRule="auto"/>
        <w:ind w:right="14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vertAlign w:val="superscript"/>
          <w:rtl w:val="0"/>
        </w:rPr>
        <w:t xml:space="preserve">5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Laboratory of Biological Chemistry, Institute of Chemistry, University of Campinas, Campinas, Brazil</w:t>
      </w:r>
    </w:p>
    <w:p w:rsidR="00000000" w:rsidDel="00000000" w:rsidP="00000000" w:rsidRDefault="00000000" w:rsidRPr="00000000" w14:paraId="00000009">
      <w:pPr>
        <w:widowControl w:val="0"/>
        <w:spacing w:after="240" w:before="240" w:line="360" w:lineRule="auto"/>
        <w:ind w:right="14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vertAlign w:val="superscript"/>
          <w:rtl w:val="0"/>
        </w:rPr>
        <w:t xml:space="preserve">6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Brazilian Biosciences National Laboratory (LNBio), Brazilian Center for Research in Energy and Materials (CNPEM), Campinas, Brazil</w:t>
      </w:r>
    </w:p>
    <w:p w:rsidR="00000000" w:rsidDel="00000000" w:rsidP="00000000" w:rsidRDefault="00000000" w:rsidRPr="00000000" w14:paraId="0000000A">
      <w:pPr>
        <w:widowControl w:val="0"/>
        <w:spacing w:after="0" w:before="240" w:line="360" w:lineRule="auto"/>
        <w:ind w:right="14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B">
      <w:pPr>
        <w:widowControl w:val="0"/>
        <w:spacing w:after="0" w:before="240" w:line="360" w:lineRule="auto"/>
        <w:ind w:right="14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Corresponding author:</w:t>
      </w:r>
    </w:p>
    <w:p w:rsidR="00000000" w:rsidDel="00000000" w:rsidP="00000000" w:rsidRDefault="00000000" w:rsidRPr="00000000" w14:paraId="0000000C">
      <w:pPr>
        <w:widowControl w:val="0"/>
        <w:spacing w:after="0" w:before="240" w:line="360" w:lineRule="auto"/>
        <w:ind w:right="14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Mariana Maschietto</w:t>
      </w:r>
    </w:p>
    <w:p w:rsidR="00000000" w:rsidDel="00000000" w:rsidP="00000000" w:rsidRDefault="00000000" w:rsidRPr="00000000" w14:paraId="0000000D">
      <w:pPr>
        <w:widowControl w:val="0"/>
        <w:spacing w:after="0" w:before="240" w:line="360" w:lineRule="auto"/>
        <w:ind w:right="140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E-mail: </w:t>
      </w:r>
      <w:r w:rsidDel="00000000" w:rsidR="00000000" w:rsidRPr="00000000">
        <w:rPr>
          <w:rFonts w:ascii="Arial" w:cs="Arial" w:eastAsia="Arial" w:hAnsi="Arial"/>
          <w:color w:val="000080"/>
          <w:sz w:val="20"/>
          <w:szCs w:val="20"/>
          <w:rtl w:val="0"/>
        </w:rPr>
        <w:t xml:space="preserve">marianamasc@gmail.com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 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  </w:t>
      </w:r>
    </w:p>
    <w:p w:rsidR="00000000" w:rsidDel="00000000" w:rsidP="00000000" w:rsidRDefault="00000000" w:rsidRPr="00000000" w14:paraId="0000000E">
      <w:pPr>
        <w:widowControl w:val="0"/>
        <w:spacing w:after="240" w:before="240" w:line="360" w:lineRule="auto"/>
        <w:ind w:right="140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956.0" w:type="dxa"/>
        <w:jc w:val="left"/>
        <w:tblInd w:w="0.0" w:type="dxa"/>
        <w:tblBorders>
          <w:top w:color="bfbfbf" w:space="0" w:sz="4" w:val="single"/>
          <w:left w:color="bfbfbf" w:space="0" w:sz="4" w:val="single"/>
          <w:bottom w:color="bfbfbf" w:space="0" w:sz="4" w:val="single"/>
          <w:right w:color="bfbfbf" w:space="0" w:sz="4" w:val="single"/>
          <w:insideH w:color="bfbfbf" w:space="0" w:sz="4" w:val="single"/>
          <w:insideV w:color="bfbfbf" w:space="0" w:sz="4" w:val="single"/>
        </w:tblBorders>
        <w:tblLayout w:type="fixed"/>
        <w:tblLook w:val="0400"/>
      </w:tblPr>
      <w:tblGrid>
        <w:gridCol w:w="6808"/>
        <w:gridCol w:w="1023"/>
        <w:gridCol w:w="1125"/>
        <w:tblGridChange w:id="0">
          <w:tblGrid>
            <w:gridCol w:w="6808"/>
            <w:gridCol w:w="1023"/>
            <w:gridCol w:w="1125"/>
          </w:tblGrid>
        </w:tblGridChange>
      </w:tblGrid>
      <w:tr>
        <w:trPr>
          <w:cantSplit w:val="0"/>
          <w:trHeight w:val="510" w:hRule="atLeast"/>
          <w:tblHeader w:val="0"/>
        </w:trPr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18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11">
            <w:pPr>
              <w:spacing w:line="360" w:lineRule="auto"/>
              <w:jc w:val="both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Supplementary Table S4. Most significantly enriched chemical or genetic perturbations of the genes mapped to the DMRs.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18" w:val="single"/>
              <w:left w:color="000000" w:space="0" w:sz="0" w:val="nil"/>
              <w:bottom w:color="000000" w:space="0" w:sz="18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14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Category</w:t>
            </w:r>
          </w:p>
        </w:tc>
        <w:tc>
          <w:tcPr>
            <w:tcBorders>
              <w:top w:color="000000" w:space="0" w:sz="18" w:val="single"/>
              <w:left w:color="000000" w:space="0" w:sz="0" w:val="nil"/>
              <w:bottom w:color="000000" w:space="0" w:sz="18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15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# Genes</w:t>
            </w:r>
          </w:p>
        </w:tc>
        <w:tc>
          <w:tcPr>
            <w:tcBorders>
              <w:top w:color="000000" w:space="0" w:sz="18" w:val="single"/>
              <w:left w:color="000000" w:space="0" w:sz="0" w:val="nil"/>
              <w:bottom w:color="000000" w:space="0" w:sz="18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16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FDR</w:t>
            </w:r>
          </w:p>
        </w:tc>
      </w:tr>
      <w:tr>
        <w:trPr>
          <w:cantSplit w:val="0"/>
          <w:trHeight w:val="737" w:hRule="atLeast"/>
          <w:tblHeader w:val="0"/>
        </w:trPr>
        <w:tc>
          <w:tcPr>
            <w:tcBorders>
              <w:top w:color="000000" w:space="0" w:sz="18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1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Set 'H3K27 bound': genes possessing the trimethylated H3K27 (H3K27me3) mark in their promoters in human embryonic stem cells, as identified by ChIP on chip</w:t>
            </w:r>
          </w:p>
        </w:tc>
        <w:tc>
          <w:tcPr>
            <w:tcBorders>
              <w:top w:color="000000" w:space="0" w:sz="18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1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55</w:t>
            </w:r>
          </w:p>
        </w:tc>
        <w:tc>
          <w:tcPr>
            <w:tcBorders>
              <w:top w:color="000000" w:space="0" w:sz="18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1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2.92 e</w:t>
            </w:r>
            <w:r w:rsidDel="00000000" w:rsidR="00000000" w:rsidRPr="00000000">
              <w:rPr>
                <w:sz w:val="20"/>
                <w:szCs w:val="20"/>
                <w:vertAlign w:val="superscript"/>
                <w:rtl w:val="0"/>
              </w:rPr>
              <w:t xml:space="preserve">-24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7" w:hRule="atLeast"/>
          <w:tblHeader w:val="0"/>
        </w:trPr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1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Set 'Eed targets': genes identified by ChIP on chip as targets of the Polycomb protein EED [GeneID=8726] in human embryonic stem cells</w:t>
            </w:r>
          </w:p>
        </w:tc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1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49</w:t>
            </w:r>
          </w:p>
        </w:tc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1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2.49 e</w:t>
            </w:r>
            <w:r w:rsidDel="00000000" w:rsidR="00000000" w:rsidRPr="00000000">
              <w:rPr>
                <w:sz w:val="20"/>
                <w:szCs w:val="20"/>
                <w:vertAlign w:val="superscript"/>
                <w:rtl w:val="0"/>
              </w:rPr>
              <w:t xml:space="preserve">-20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7" w:hRule="atLeast"/>
          <w:tblHeader w:val="0"/>
        </w:trPr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1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Set 'Suz12 targets': genes identified by ChIP on chip as targets of the Polycomb protein SUZ12 [GeneID=23512] in human embryonic stem cells</w:t>
            </w:r>
          </w:p>
        </w:tc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1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45</w:t>
            </w:r>
          </w:p>
        </w:tc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1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1.4 e</w:t>
            </w:r>
            <w:r w:rsidDel="00000000" w:rsidR="00000000" w:rsidRPr="00000000">
              <w:rPr>
                <w:sz w:val="20"/>
                <w:szCs w:val="20"/>
                <w:vertAlign w:val="superscript"/>
                <w:rtl w:val="0"/>
              </w:rPr>
              <w:t xml:space="preserve">-17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47" w:hRule="atLeast"/>
          <w:tblHeader w:val="0"/>
        </w:trPr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2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Set 'PRC2 targets': Polycomb Repression Complex 2 (PRC) targets; identified by ChIP on chip on human embryonic stem cells as genes that: possess the trimethylated H3K27 mark in their promoters and are bound by SUZ12 [GeneID=23512] and EED [GeneID=8726] Polycomb proteins</w:t>
            </w:r>
          </w:p>
        </w:tc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2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36</w:t>
            </w:r>
          </w:p>
        </w:tc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2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4.41 e</w:t>
            </w:r>
            <w:r w:rsidDel="00000000" w:rsidR="00000000" w:rsidRPr="00000000">
              <w:rPr>
                <w:sz w:val="20"/>
                <w:szCs w:val="20"/>
                <w:vertAlign w:val="superscript"/>
                <w:rtl w:val="0"/>
              </w:rPr>
              <w:t xml:space="preserve">-17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7" w:hRule="atLeast"/>
          <w:tblHeader w:val="0"/>
        </w:trPr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2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Genes up-regulated in NB4 cells (acute promyelocytic leukemia, APL) in response to tretinoin [PubChem=444795]; based on Chip-seq data</w:t>
            </w:r>
          </w:p>
        </w:tc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2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38</w:t>
            </w:r>
          </w:p>
        </w:tc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2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5.55 e</w:t>
            </w:r>
            <w:r w:rsidDel="00000000" w:rsidR="00000000" w:rsidRPr="00000000">
              <w:rPr>
                <w:sz w:val="20"/>
                <w:szCs w:val="20"/>
                <w:vertAlign w:val="superscript"/>
                <w:rtl w:val="0"/>
              </w:rPr>
              <w:t xml:space="preserve">-15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2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Genes with hypermethylated DNA in lung cancer samples</w:t>
            </w:r>
          </w:p>
        </w:tc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2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26</w:t>
            </w:r>
          </w:p>
        </w:tc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2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1.85 e</w:t>
            </w:r>
            <w:r w:rsidDel="00000000" w:rsidR="00000000" w:rsidRPr="00000000">
              <w:rPr>
                <w:sz w:val="20"/>
                <w:szCs w:val="20"/>
                <w:vertAlign w:val="superscript"/>
                <w:rtl w:val="0"/>
              </w:rPr>
              <w:t xml:space="preserve">-14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7" w:hRule="atLeast"/>
          <w:tblHeader w:val="0"/>
        </w:trPr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2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Genes with high-CpG-density promoters (HCP) bearing histone H3 dimethylation at K4 (H3K4me2) and trimethylation at K27 (H3K27me3) in brain</w:t>
            </w:r>
          </w:p>
        </w:tc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2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40</w:t>
            </w:r>
          </w:p>
        </w:tc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2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1.83 e</w:t>
            </w:r>
            <w:r w:rsidDel="00000000" w:rsidR="00000000" w:rsidRPr="00000000">
              <w:rPr>
                <w:sz w:val="20"/>
                <w:szCs w:val="20"/>
                <w:vertAlign w:val="superscript"/>
                <w:rtl w:val="0"/>
              </w:rPr>
              <w:t xml:space="preserve">-13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7" w:hRule="atLeast"/>
          <w:tblHeader w:val="0"/>
        </w:trPr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2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Genes requiring MLL [GeneID=4297] for H3K4me3 and expression in MEF cells (embryonic fibroblast)</w:t>
            </w:r>
          </w:p>
        </w:tc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2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18</w:t>
            </w:r>
          </w:p>
        </w:tc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2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1.03 e</w:t>
            </w:r>
            <w:r w:rsidDel="00000000" w:rsidR="00000000" w:rsidRPr="00000000">
              <w:rPr>
                <w:sz w:val="20"/>
                <w:szCs w:val="20"/>
                <w:vertAlign w:val="superscript"/>
                <w:rtl w:val="0"/>
              </w:rPr>
              <w:t xml:space="preserve">-8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7" w:hRule="atLeast"/>
          <w:tblHeader w:val="0"/>
        </w:trPr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2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Genes up-regulated in vascular smooth muscle cells (VSMC) by MAPK8 (JNK1) [GeneID=5599]</w:t>
            </w:r>
          </w:p>
        </w:tc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3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32</w:t>
            </w:r>
          </w:p>
        </w:tc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3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1.14 e</w:t>
            </w:r>
            <w:r w:rsidDel="00000000" w:rsidR="00000000" w:rsidRPr="00000000">
              <w:rPr>
                <w:sz w:val="20"/>
                <w:szCs w:val="20"/>
                <w:vertAlign w:val="superscript"/>
                <w:rtl w:val="0"/>
              </w:rPr>
              <w:t xml:space="preserve">-6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7" w:hRule="atLeast"/>
          <w:tblHeader w:val="0"/>
        </w:trPr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3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Genes with high-CpG-density promoters (HCP) bearing the H3K27 trimethylation (H3K27me3) mark in brain</w:t>
            </w:r>
          </w:p>
        </w:tc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3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</w:t>
            </w:r>
          </w:p>
        </w:tc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3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1.57 e</w:t>
            </w:r>
            <w:r w:rsidDel="00000000" w:rsidR="00000000" w:rsidRPr="00000000">
              <w:rPr>
                <w:sz w:val="20"/>
                <w:szCs w:val="20"/>
                <w:vertAlign w:val="superscript"/>
                <w:rtl w:val="0"/>
              </w:rPr>
              <w:t xml:space="preserve">-6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7" w:hRule="atLeast"/>
          <w:tblHeader w:val="0"/>
        </w:trPr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3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Genes whose promoters display lower levels of histone H3 trimethylation mark at K27 (H3K27me3) in hepatocellular carcinoma (HCC) compared to normal liver</w:t>
            </w:r>
          </w:p>
        </w:tc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3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</w:t>
            </w:r>
          </w:p>
        </w:tc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3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7.44 e</w:t>
            </w:r>
            <w:r w:rsidDel="00000000" w:rsidR="00000000" w:rsidRPr="00000000">
              <w:rPr>
                <w:sz w:val="20"/>
                <w:szCs w:val="20"/>
                <w:vertAlign w:val="superscript"/>
                <w:rtl w:val="0"/>
              </w:rPr>
              <w:t xml:space="preserve">-6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7" w:hRule="atLeast"/>
          <w:tblHeader w:val="0"/>
        </w:trPr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3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Genes down-regulated in the urogenital sinus (UGS) of day E16 females exposed to the androgen dihydrotestosterone [PubChem=10635] for 48 h</w:t>
            </w:r>
          </w:p>
        </w:tc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3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17</w:t>
            </w:r>
          </w:p>
        </w:tc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3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8.17 e</w:t>
            </w:r>
            <w:r w:rsidDel="00000000" w:rsidR="00000000" w:rsidRPr="00000000">
              <w:rPr>
                <w:sz w:val="20"/>
                <w:szCs w:val="20"/>
                <w:vertAlign w:val="superscript"/>
                <w:rtl w:val="0"/>
              </w:rPr>
              <w:t xml:space="preserve">-6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7" w:hRule="atLeast"/>
          <w:tblHeader w:val="0"/>
        </w:trPr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3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Genes down-regulated in MEF cells (embryonic fibroblasts) isolated from RB1 [GeneID=5925] knockout mice: chronic loss of function (LOF) of RB1</w:t>
            </w:r>
          </w:p>
        </w:tc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3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3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1.26 e</w:t>
            </w:r>
            <w:r w:rsidDel="00000000" w:rsidR="00000000" w:rsidRPr="00000000">
              <w:rPr>
                <w:sz w:val="20"/>
                <w:szCs w:val="20"/>
                <w:vertAlign w:val="superscript"/>
                <w:rtl w:val="0"/>
              </w:rPr>
              <w:t xml:space="preserve">-5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7" w:hRule="atLeast"/>
          <w:tblHeader w:val="0"/>
        </w:trPr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3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Genes up-regulated in pancreatic islets upon knockout of HNF1A [GeneID=6927]</w:t>
            </w:r>
          </w:p>
        </w:tc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3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</w:t>
            </w:r>
          </w:p>
        </w:tc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2.5 e</w:t>
            </w:r>
            <w:r w:rsidDel="00000000" w:rsidR="00000000" w:rsidRPr="00000000">
              <w:rPr>
                <w:sz w:val="20"/>
                <w:szCs w:val="20"/>
                <w:vertAlign w:val="superscript"/>
                <w:rtl w:val="0"/>
              </w:rPr>
              <w:t xml:space="preserve">-5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7" w:hRule="atLeast"/>
          <w:tblHeader w:val="0"/>
        </w:trPr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Genes whose DNA is hypo-methylated in hepatocellular carcinoma (HCC) compared to normal liver</w:t>
            </w:r>
          </w:p>
        </w:tc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24</w:t>
            </w:r>
          </w:p>
        </w:tc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2.93 e</w:t>
            </w:r>
            <w:r w:rsidDel="00000000" w:rsidR="00000000" w:rsidRPr="00000000">
              <w:rPr>
                <w:sz w:val="20"/>
                <w:szCs w:val="20"/>
                <w:vertAlign w:val="superscript"/>
                <w:rtl w:val="0"/>
              </w:rPr>
              <w:t xml:space="preserve">-5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7" w:hRule="atLeast"/>
          <w:tblHeader w:val="0"/>
        </w:trPr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Genes forming the macrophage-enriched metabolic network (MEMN) claimed to have a causal relationship with the metabolic syndrome traits</w:t>
            </w:r>
          </w:p>
        </w:tc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29</w:t>
            </w:r>
          </w:p>
        </w:tc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4.33 e</w:t>
            </w:r>
            <w:r w:rsidDel="00000000" w:rsidR="00000000" w:rsidRPr="00000000">
              <w:rPr>
                <w:sz w:val="20"/>
                <w:szCs w:val="20"/>
                <w:vertAlign w:val="superscript"/>
                <w:rtl w:val="0"/>
              </w:rPr>
              <w:t xml:space="preserve">-5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20" w:hRule="atLeast"/>
          <w:tblHeader w:val="0"/>
        </w:trPr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Genes bearing H3K27me3 mark or whose promoters are bound by the polycomb proteins SUZ12 or EED [GeneID=23512;8726]; their DNA is methylated de novo in cancer</w:t>
            </w:r>
          </w:p>
        </w:tc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8.57 e</w:t>
            </w:r>
            <w:r w:rsidDel="00000000" w:rsidR="00000000" w:rsidRPr="00000000">
              <w:rPr>
                <w:sz w:val="20"/>
                <w:szCs w:val="20"/>
                <w:vertAlign w:val="superscript"/>
                <w:rtl w:val="0"/>
              </w:rPr>
              <w:t xml:space="preserve">-5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7" w:hRule="atLeast"/>
          <w:tblHeader w:val="0"/>
        </w:trPr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Selected genes down-regulated in the TLX1 [GeneID=3195] Tet On iEBHX15-4 cells (pro-erythroblasts) at 6 h time point</w:t>
            </w:r>
          </w:p>
        </w:tc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8.57 e</w:t>
            </w:r>
            <w:r w:rsidDel="00000000" w:rsidR="00000000" w:rsidRPr="00000000">
              <w:rPr>
                <w:sz w:val="20"/>
                <w:szCs w:val="20"/>
                <w:vertAlign w:val="superscript"/>
                <w:rtl w:val="0"/>
              </w:rPr>
              <w:t xml:space="preserve">-5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7" w:hRule="atLeast"/>
          <w:tblHeader w:val="0"/>
        </w:trPr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Genes with high-CpG-density promoters (HCP) bearing histone H3 trimethylation mark at K27 (H3K27me3) in neural progenitor cells (NPC)</w:t>
            </w:r>
          </w:p>
        </w:tc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</w:t>
            </w:r>
          </w:p>
        </w:tc>
        <w:tc>
          <w:tcPr>
            <w:tcBorders>
              <w:top w:color="d9d9d9" w:space="0" w:sz="4" w:val="single"/>
              <w:left w:color="000000" w:space="0" w:sz="0" w:val="nil"/>
              <w:bottom w:color="d9d9d9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1.21 e</w:t>
            </w:r>
            <w:r w:rsidDel="00000000" w:rsidR="00000000" w:rsidRPr="00000000">
              <w:rPr>
                <w:sz w:val="20"/>
                <w:szCs w:val="20"/>
                <w:vertAlign w:val="superscript"/>
                <w:rtl w:val="0"/>
              </w:rPr>
              <w:t xml:space="preserve">-4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d9d9d9" w:space="0" w:sz="4" w:val="single"/>
              <w:left w:color="000000" w:space="0" w:sz="0" w:val="nil"/>
              <w:bottom w:color="000000" w:space="0" w:sz="18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5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Genes down-regulated in basal subtype of breast cancer samples</w:t>
            </w:r>
          </w:p>
        </w:tc>
        <w:tc>
          <w:tcPr>
            <w:tcBorders>
              <w:top w:color="d9d9d9" w:space="0" w:sz="4" w:val="single"/>
              <w:left w:color="000000" w:space="0" w:sz="0" w:val="nil"/>
              <w:bottom w:color="000000" w:space="0" w:sz="18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5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</w:t>
            </w:r>
          </w:p>
        </w:tc>
        <w:tc>
          <w:tcPr>
            <w:tcBorders>
              <w:top w:color="d9d9d9" w:space="0" w:sz="4" w:val="single"/>
              <w:left w:color="000000" w:space="0" w:sz="0" w:val="nil"/>
              <w:bottom w:color="000000" w:space="0" w:sz="18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5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1.38 e</w:t>
            </w:r>
            <w:r w:rsidDel="00000000" w:rsidR="00000000" w:rsidRPr="00000000">
              <w:rPr>
                <w:sz w:val="20"/>
                <w:szCs w:val="20"/>
                <w:vertAlign w:val="superscript"/>
                <w:rtl w:val="0"/>
              </w:rPr>
              <w:t xml:space="preserve">-4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gridSpan w:val="3"/>
            <w:tcBorders>
              <w:top w:color="000000" w:space="0" w:sz="1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5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Abbreviations: #: number; FDR: false discovery rate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Hyperlink">
    <w:name w:val="Hyperlink"/>
    <w:basedOn w:val="Fontepargpadro"/>
    <w:uiPriority w:val="99"/>
    <w:unhideWhenUsed w:val="1"/>
    <w:rsid w:val="001160D7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1160D7"/>
    <w:rPr>
      <w:color w:val="605e5c"/>
      <w:shd w:color="auto" w:fill="e1dfdd" w:val="clear"/>
    </w:rPr>
  </w:style>
  <w:style w:type="table" w:styleId="TabeladeGradeClara">
    <w:name w:val="Grid Table Light"/>
    <w:basedOn w:val="Tabelanormal"/>
    <w:uiPriority w:val="40"/>
    <w:rsid w:val="001160D7"/>
    <w:pPr>
      <w:spacing w:after="0" w:line="240" w:lineRule="auto"/>
    </w:pPr>
    <w:tblPr>
      <w:tblBorders>
        <w:top w:color="bfbfbf" w:space="0" w:sz="4" w:themeColor="background1" w:themeShade="0000BF" w:val="single"/>
        <w:left w:color="bfbfbf" w:space="0" w:sz="4" w:themeColor="background1" w:themeShade="0000BF" w:val="single"/>
        <w:bottom w:color="bfbfbf" w:space="0" w:sz="4" w:themeColor="background1" w:themeShade="0000BF" w:val="single"/>
        <w:right w:color="bfbfbf" w:space="0" w:sz="4" w:themeColor="background1" w:themeShade="0000BF" w:val="single"/>
        <w:insideH w:color="bfbfbf" w:space="0" w:sz="4" w:themeColor="background1" w:themeShade="0000BF" w:val="single"/>
        <w:insideV w:color="bfbfbf" w:space="0" w:sz="4" w:themeColor="background1" w:themeShade="0000BF" w:val="single"/>
      </w:tblBorders>
    </w:tblPr>
  </w:style>
  <w:style w:type="paragraph" w:styleId="Cabealho">
    <w:name w:val="header"/>
    <w:basedOn w:val="Normal"/>
    <w:link w:val="CabealhoChar"/>
    <w:uiPriority w:val="99"/>
    <w:unhideWhenUsed w:val="1"/>
    <w:rsid w:val="00B30A22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B30A22"/>
  </w:style>
  <w:style w:type="paragraph" w:styleId="Rodap">
    <w:name w:val="footer"/>
    <w:basedOn w:val="Normal"/>
    <w:link w:val="RodapChar"/>
    <w:uiPriority w:val="99"/>
    <w:unhideWhenUsed w:val="1"/>
    <w:rsid w:val="00B30A22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B30A22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sZaZa5F3qbPDBha1wY4fjqSY+Vw==">AMUW2mVXzs0CQVi5oAbOElt0usaNopcWv17Rglc4Ulv+6iuO4rh0+ZCQLOgvmLLJqcmhHe8MEvu1sXqv9UtPGnQP/glTCIwJndF4PG9GuI1AEpO7SCNrwgM=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2021-03-05T23:26:00Z</dcterms:created>
  <dc:creator>Sara Ferreira Pires</dc:creator>
</cp:coreProperties>
</file>