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68F2E" w14:textId="77777777" w:rsidR="00CE733B" w:rsidRPr="000F7870" w:rsidRDefault="00CE733B" w:rsidP="00CE733B">
      <w:pPr>
        <w:wordWrap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F7870">
        <w:rPr>
          <w:rFonts w:ascii="Times New Roman" w:hAnsi="Times New Roman" w:cs="Times New Roman"/>
          <w:b/>
          <w:sz w:val="28"/>
          <w:szCs w:val="28"/>
        </w:rPr>
        <w:t xml:space="preserve">Tracing the origin of Korean invasive populations of the spotted lanternfly, </w:t>
      </w:r>
      <w:proofErr w:type="spellStart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>Lycorma</w:t>
      </w:r>
      <w:proofErr w:type="spellEnd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proofErr w:type="spellStart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>delicatula</w:t>
      </w:r>
      <w:proofErr w:type="spellEnd"/>
      <w:r w:rsidRPr="000F7870">
        <w:rPr>
          <w:rFonts w:ascii="Times New Roman" w:hAnsi="Times New Roman" w:cs="Times New Roman"/>
          <w:b/>
          <w:sz w:val="28"/>
          <w:szCs w:val="28"/>
        </w:rPr>
        <w:t xml:space="preserve"> (Hemiptera: </w:t>
      </w:r>
      <w:proofErr w:type="spellStart"/>
      <w:r w:rsidRPr="000F7870">
        <w:rPr>
          <w:rFonts w:ascii="Times New Roman" w:hAnsi="Times New Roman" w:cs="Times New Roman"/>
          <w:b/>
          <w:sz w:val="28"/>
          <w:szCs w:val="28"/>
        </w:rPr>
        <w:t>Fulgoridae</w:t>
      </w:r>
      <w:proofErr w:type="spellEnd"/>
      <w:r w:rsidRPr="000F7870">
        <w:rPr>
          <w:rFonts w:ascii="Times New Roman" w:hAnsi="Times New Roman" w:cs="Times New Roman"/>
          <w:b/>
          <w:sz w:val="28"/>
          <w:szCs w:val="28"/>
        </w:rPr>
        <w:t>)</w:t>
      </w:r>
    </w:p>
    <w:p w14:paraId="4F6FA3EA" w14:textId="77777777" w:rsidR="00CE733B" w:rsidRPr="00E346DC" w:rsidRDefault="00CE733B" w:rsidP="00CE733B">
      <w:pPr>
        <w:wordWrap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8F0176F" w14:textId="77777777" w:rsidR="00CE733B" w:rsidRPr="00E346DC" w:rsidRDefault="00CE733B" w:rsidP="00CE733B">
      <w:pPr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Hyojoong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Kim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†, *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Sohee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Kim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†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Yerim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*</w:t>
      </w:r>
      <w:r w:rsidRPr="00E346DC">
        <w:rPr>
          <w:rFonts w:ascii="Times New Roman" w:hAnsi="Times New Roman" w:cs="Times New Roman"/>
          <w:bCs/>
          <w:sz w:val="24"/>
          <w:szCs w:val="24"/>
        </w:rPr>
        <w:t>, Heung-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Sik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Seong-Jin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>, Jong-Ho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</w:p>
    <w:p w14:paraId="7DBFC57A" w14:textId="77777777" w:rsidR="00CE733B" w:rsidRPr="00E346DC" w:rsidRDefault="00CE733B" w:rsidP="00CE733B">
      <w:pPr>
        <w:pStyle w:val="a5"/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Animal Systematics Laboratory., Department of Biology,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Kunsan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National University 54150, Republic of Korea</w:t>
      </w:r>
    </w:p>
    <w:p w14:paraId="4107D673" w14:textId="77777777" w:rsidR="00CE733B" w:rsidRPr="00E346DC" w:rsidRDefault="00CE733B" w:rsidP="00CE733B">
      <w:pPr>
        <w:pStyle w:val="a5"/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Animal &amp; Plant Quarantine Agency,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Gimcheon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39660, Republic of Korea</w:t>
      </w:r>
    </w:p>
    <w:p w14:paraId="61FFE1EF" w14:textId="77777777" w:rsidR="00CE733B" w:rsidRPr="00CE733B" w:rsidRDefault="00CE733B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39E022E" w14:textId="77777777" w:rsidR="00CE733B" w:rsidRDefault="00CE733B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FBA08C6" w14:textId="308B85EF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>Supplementary material 1</w:t>
      </w:r>
    </w:p>
    <w:p w14:paraId="633792DE" w14:textId="77777777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9A2D05D" w14:textId="37FB2084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381B4A09" wp14:editId="09F40C32">
            <wp:extent cx="5724525" cy="2009775"/>
            <wp:effectExtent l="0" t="0" r="952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24C09" w14:textId="280D5BC3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>Fig. S1.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Spatial autocorrelation analysis at 10 km distance class using Korean pops.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r (blue line) means 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autocorrelation coef</w:t>
      </w:r>
      <w:r w:rsidR="00C60F70">
        <w:rPr>
          <w:rFonts w:ascii="Times New Roman" w:hAnsi="Times New Roman" w:cs="Times New Roman"/>
          <w:color w:val="000000" w:themeColor="text1"/>
          <w:sz w:val="22"/>
        </w:rPr>
        <w:t>fi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cient,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U (dashed red) +95% confidence, L (dashed green) -95% confidence</w:t>
      </w:r>
    </w:p>
    <w:p w14:paraId="693BDE3E" w14:textId="660A3D2A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</w:p>
    <w:p w14:paraId="31D97164" w14:textId="5ED5C465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1AB55EE8" wp14:editId="7136CFFB">
            <wp:extent cx="5734050" cy="196215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9DCB8" w14:textId="3503351B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>Fig. S2.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Spatial autocorrelation analysis at 20 km distance class using Korean pops.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r (blue line) means 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autocorrelation coef</w:t>
      </w:r>
      <w:r w:rsidR="00C60F70">
        <w:rPr>
          <w:rFonts w:ascii="Times New Roman" w:hAnsi="Times New Roman" w:cs="Times New Roman"/>
          <w:color w:val="000000" w:themeColor="text1"/>
          <w:sz w:val="22"/>
        </w:rPr>
        <w:t>fi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cient,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U (dashed red) +95% confidence, L (dashed green) -95% confidence</w:t>
      </w:r>
    </w:p>
    <w:p w14:paraId="332563C6" w14:textId="3CC1D497" w:rsidR="00F83EAE" w:rsidRPr="00015803" w:rsidRDefault="00F83EAE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7305873C" w14:textId="77777777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</w:p>
    <w:p w14:paraId="236BF2F9" w14:textId="315FB3EA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2AE1FC2F" wp14:editId="1C7E390F">
            <wp:extent cx="5715000" cy="2009775"/>
            <wp:effectExtent l="0" t="0" r="0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1701B" w14:textId="78969AE0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>Fig. S3.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Spatial autocorrelation analysis at 20 km distance class using Chinese pops.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r (blue line) means 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autocorrelation coef</w:t>
      </w:r>
      <w:r w:rsidR="00C60F70">
        <w:rPr>
          <w:rFonts w:ascii="Times New Roman" w:hAnsi="Times New Roman" w:cs="Times New Roman"/>
          <w:color w:val="000000" w:themeColor="text1"/>
          <w:sz w:val="22"/>
        </w:rPr>
        <w:t>fi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cient,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U (dashed red) +95% confidence, L (dashed green) -95% confidence</w:t>
      </w:r>
    </w:p>
    <w:p w14:paraId="66E69918" w14:textId="1C45CBAD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</w:p>
    <w:p w14:paraId="3CA35D3A" w14:textId="52A9DF6D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7F57F820" wp14:editId="045F2F65">
            <wp:extent cx="5724525" cy="1971675"/>
            <wp:effectExtent l="0" t="0" r="9525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C0D07" w14:textId="24AD82BE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>Fig. S4.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Spatial autocorrelation analysis at 10 km distance class using Chinese pops.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r (blue line) means 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autocorrelation coef</w:t>
      </w:r>
      <w:r w:rsidR="00C60F70">
        <w:rPr>
          <w:rFonts w:ascii="Times New Roman" w:hAnsi="Times New Roman" w:cs="Times New Roman"/>
          <w:color w:val="000000" w:themeColor="text1"/>
          <w:sz w:val="22"/>
        </w:rPr>
        <w:t>fi</w:t>
      </w:r>
      <w:r w:rsidR="00C60F70" w:rsidRPr="00C60F70">
        <w:rPr>
          <w:rFonts w:ascii="Times New Roman" w:hAnsi="Times New Roman" w:cs="Times New Roman"/>
          <w:color w:val="000000" w:themeColor="text1"/>
          <w:sz w:val="22"/>
        </w:rPr>
        <w:t>cient,</w:t>
      </w:r>
      <w:r w:rsidR="00C60F70">
        <w:rPr>
          <w:rFonts w:ascii="Times New Roman" w:hAnsi="Times New Roman" w:cs="Times New Roman"/>
          <w:color w:val="000000" w:themeColor="text1"/>
          <w:sz w:val="22"/>
        </w:rPr>
        <w:t xml:space="preserve"> U (dashed red) +95% confidence, L (dashed green) -95% confidence</w:t>
      </w:r>
      <w:bookmarkStart w:id="0" w:name="_GoBack"/>
      <w:bookmarkEnd w:id="0"/>
    </w:p>
    <w:p w14:paraId="36FFB9D4" w14:textId="3621F598" w:rsidR="00F83EAE" w:rsidRPr="00015803" w:rsidRDefault="00F83EAE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4FD7982B" w14:textId="77777777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</w:p>
    <w:p w14:paraId="12DCA12F" w14:textId="5A2F055E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28EFCF3C" wp14:editId="448C6C99">
            <wp:extent cx="5734050" cy="22098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0412C" w14:textId="77777777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Fig. S5. 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Genetic structure of </w:t>
      </w:r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L. </w:t>
      </w:r>
      <w:proofErr w:type="spellStart"/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>delicatula</w:t>
      </w:r>
      <w:proofErr w:type="spellEnd"/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for 762 individuals collected from Korea, China and Japan, visualized by individual assignment. In order from the top to the bottom, each genetic structure is shown when </w:t>
      </w:r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>K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= 2, 3, 4 or 5, respectively.</w:t>
      </w:r>
    </w:p>
    <w:p w14:paraId="3170F832" w14:textId="0B88D1FC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</w:p>
    <w:p w14:paraId="1AEC6D77" w14:textId="42F499EC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0E7D41F7" wp14:editId="0E753EBD">
            <wp:extent cx="5724525" cy="2124075"/>
            <wp:effectExtent l="0" t="0" r="9525" b="952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E6D61" w14:textId="77777777" w:rsidR="00F83EAE" w:rsidRPr="00015803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Fig. S6. 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Genetic structure of </w:t>
      </w:r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L. </w:t>
      </w:r>
      <w:proofErr w:type="spellStart"/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>delicatula</w:t>
      </w:r>
      <w:proofErr w:type="spellEnd"/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for 762 individuals collected from Korea, China and Japan, visualized by group (pop.) assignment. In order from the top to the bottom, each genetic structure is shown when </w:t>
      </w:r>
      <w:r w:rsidRPr="00015803">
        <w:rPr>
          <w:rFonts w:ascii="Times New Roman" w:hAnsi="Times New Roman" w:cs="Times New Roman"/>
          <w:i/>
          <w:iCs/>
          <w:color w:val="000000" w:themeColor="text1"/>
          <w:sz w:val="22"/>
        </w:rPr>
        <w:t>K</w:t>
      </w:r>
      <w:r w:rsidRPr="00015803">
        <w:rPr>
          <w:rFonts w:ascii="Times New Roman" w:hAnsi="Times New Roman" w:cs="Times New Roman"/>
          <w:color w:val="000000" w:themeColor="text1"/>
          <w:sz w:val="22"/>
        </w:rPr>
        <w:t xml:space="preserve"> = 2, 3, 4 or 5, respectively.</w:t>
      </w:r>
    </w:p>
    <w:p w14:paraId="2AD63F97" w14:textId="02BAE143" w:rsidR="00F61F3F" w:rsidRDefault="00F61F3F">
      <w:pPr>
        <w:widowControl/>
        <w:wordWrap/>
        <w:autoSpaceDE/>
        <w:autoSpaceDN/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56608C46" w14:textId="24B23966" w:rsidR="00F61F3F" w:rsidRDefault="00F61F3F" w:rsidP="00F61F3F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0FAC3D7F" wp14:editId="76B0079E">
            <wp:extent cx="5275385" cy="4252508"/>
            <wp:effectExtent l="0" t="0" r="1905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123" cy="4260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50D618" w14:textId="553D82CC" w:rsidR="00F61F3F" w:rsidRDefault="00F61F3F" w:rsidP="00F61F3F">
      <w:pPr>
        <w:jc w:val="center"/>
        <w:rPr>
          <w:color w:val="000000" w:themeColor="text1"/>
        </w:rPr>
      </w:pPr>
    </w:p>
    <w:p w14:paraId="28885853" w14:textId="52DB323E" w:rsidR="00B778A4" w:rsidRPr="00B778A4" w:rsidRDefault="00F61F3F" w:rsidP="00B778A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657216">
        <w:rPr>
          <w:rFonts w:ascii="Times New Roman" w:hAnsi="Times New Roman" w:cs="Times New Roman"/>
          <w:b/>
          <w:bCs/>
          <w:color w:val="000000" w:themeColor="text1"/>
        </w:rPr>
        <w:t>Fig. S7.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The </w:t>
      </w:r>
      <w:r w:rsidR="00B778A4">
        <w:rPr>
          <w:rFonts w:ascii="Times New Roman" w:hAnsi="Times New Roman" w:cs="Times New Roman"/>
          <w:color w:val="000000" w:themeColor="text1"/>
        </w:rPr>
        <w:t>four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scenarios (1–</w:t>
      </w:r>
      <w:r w:rsidR="00B778A4">
        <w:rPr>
          <w:rFonts w:ascii="Times New Roman" w:hAnsi="Times New Roman" w:cs="Times New Roman"/>
          <w:color w:val="000000" w:themeColor="text1"/>
        </w:rPr>
        <w:t>4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) for the DIYABC analyses to infer the </w:t>
      </w:r>
      <w:r w:rsidR="004D1AAB">
        <w:rPr>
          <w:rFonts w:ascii="Times New Roman" w:hAnsi="Times New Roman" w:cs="Times New Roman"/>
          <w:color w:val="000000" w:themeColor="text1"/>
        </w:rPr>
        <w:t>invasion route into northern (NG) and/or middle (MG) part of South Korea from Shanghai (SG), China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, using a dataset that includes </w:t>
      </w:r>
      <w:r w:rsidR="004D1AAB">
        <w:rPr>
          <w:rFonts w:ascii="Times New Roman" w:hAnsi="Times New Roman" w:cs="Times New Roman"/>
          <w:color w:val="000000" w:themeColor="text1"/>
        </w:rPr>
        <w:t>168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individuals from </w:t>
      </w:r>
      <w:r w:rsidR="004D1AAB">
        <w:rPr>
          <w:rFonts w:ascii="Times New Roman" w:hAnsi="Times New Roman" w:cs="Times New Roman"/>
          <w:color w:val="000000" w:themeColor="text1"/>
        </w:rPr>
        <w:t>three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</w:t>
      </w:r>
      <w:r w:rsidR="004D1AAB">
        <w:rPr>
          <w:rFonts w:ascii="Times New Roman" w:hAnsi="Times New Roman" w:cs="Times New Roman"/>
          <w:color w:val="000000" w:themeColor="text1"/>
        </w:rPr>
        <w:t>sub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groups, which consisted of </w:t>
      </w:r>
      <w:r w:rsidR="004D1AAB">
        <w:rPr>
          <w:rFonts w:ascii="Times New Roman" w:hAnsi="Times New Roman" w:cs="Times New Roman"/>
          <w:color w:val="000000" w:themeColor="text1"/>
        </w:rPr>
        <w:t>80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individuals from the ‘</w:t>
      </w:r>
      <w:r w:rsidR="00B778A4">
        <w:rPr>
          <w:rFonts w:ascii="Times New Roman" w:hAnsi="Times New Roman" w:cs="Times New Roman"/>
          <w:color w:val="000000" w:themeColor="text1"/>
        </w:rPr>
        <w:t>NG</w:t>
      </w:r>
      <w:r w:rsidR="00B778A4" w:rsidRPr="00B778A4">
        <w:rPr>
          <w:rFonts w:ascii="Times New Roman" w:hAnsi="Times New Roman" w:cs="Times New Roman"/>
          <w:color w:val="000000" w:themeColor="text1"/>
        </w:rPr>
        <w:t>’ group (</w:t>
      </w:r>
      <w:r w:rsidR="004D1AAB" w:rsidRPr="00D26958">
        <w:rPr>
          <w:rFonts w:ascii="Times New Roman" w:hAnsi="Times New Roman" w:cs="Times New Roman"/>
          <w:kern w:val="0"/>
          <w:sz w:val="22"/>
        </w:rPr>
        <w:t>KR10-SL</w:t>
      </w:r>
      <w:r w:rsidR="004D1AAB">
        <w:rPr>
          <w:rFonts w:ascii="Times New Roman" w:hAnsi="Times New Roman" w:cs="Times New Roman"/>
          <w:kern w:val="0"/>
          <w:sz w:val="22"/>
        </w:rPr>
        <w:t xml:space="preserve">, </w:t>
      </w:r>
      <w:r w:rsidR="004D1AAB" w:rsidRPr="00D26958">
        <w:rPr>
          <w:rFonts w:ascii="Times New Roman" w:hAnsi="Times New Roman" w:cs="Times New Roman"/>
          <w:kern w:val="0"/>
          <w:sz w:val="22"/>
        </w:rPr>
        <w:t>KR10-IN</w:t>
      </w:r>
      <w:r w:rsidR="004D1AAB">
        <w:rPr>
          <w:rFonts w:ascii="Times New Roman" w:hAnsi="Times New Roman" w:cs="Times New Roman"/>
          <w:kern w:val="0"/>
          <w:sz w:val="22"/>
        </w:rPr>
        <w:t xml:space="preserve">, </w:t>
      </w:r>
      <w:r w:rsidR="004D1AAB" w:rsidRPr="00D26958">
        <w:rPr>
          <w:rFonts w:ascii="Times New Roman" w:hAnsi="Times New Roman" w:cs="Times New Roman"/>
          <w:kern w:val="0"/>
          <w:sz w:val="22"/>
        </w:rPr>
        <w:t>KR10-SW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); </w:t>
      </w:r>
      <w:r w:rsidR="004D1AAB">
        <w:rPr>
          <w:rFonts w:ascii="Times New Roman" w:hAnsi="Times New Roman" w:cs="Times New Roman"/>
          <w:color w:val="000000" w:themeColor="text1"/>
        </w:rPr>
        <w:t>62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from the ‘</w:t>
      </w:r>
      <w:r w:rsidR="00B778A4">
        <w:rPr>
          <w:rFonts w:ascii="Times New Roman" w:hAnsi="Times New Roman" w:cs="Times New Roman"/>
          <w:color w:val="000000" w:themeColor="text1"/>
        </w:rPr>
        <w:t>MG</w:t>
      </w:r>
      <w:r w:rsidR="00B778A4" w:rsidRPr="00B778A4">
        <w:rPr>
          <w:rFonts w:ascii="Times New Roman" w:hAnsi="Times New Roman" w:cs="Times New Roman"/>
          <w:color w:val="000000" w:themeColor="text1"/>
        </w:rPr>
        <w:t>’ group (</w:t>
      </w:r>
      <w:r w:rsidR="004D1AAB" w:rsidRPr="00D26958">
        <w:rPr>
          <w:rFonts w:ascii="Times New Roman" w:hAnsi="Times New Roman" w:cs="Times New Roman"/>
          <w:kern w:val="0"/>
          <w:sz w:val="22"/>
        </w:rPr>
        <w:t>KR10-CA</w:t>
      </w:r>
      <w:r w:rsidR="004D1AAB">
        <w:rPr>
          <w:rFonts w:ascii="Times New Roman" w:hAnsi="Times New Roman" w:cs="Times New Roman"/>
          <w:kern w:val="0"/>
          <w:sz w:val="22"/>
        </w:rPr>
        <w:t xml:space="preserve">, </w:t>
      </w:r>
      <w:r w:rsidR="004D1AAB" w:rsidRPr="00D26958">
        <w:rPr>
          <w:rFonts w:ascii="Times New Roman" w:hAnsi="Times New Roman" w:cs="Times New Roman"/>
          <w:kern w:val="0"/>
          <w:sz w:val="22"/>
        </w:rPr>
        <w:t>KR10-NS</w:t>
      </w:r>
      <w:r w:rsidR="004D1AAB">
        <w:rPr>
          <w:rFonts w:ascii="Times New Roman" w:hAnsi="Times New Roman" w:cs="Times New Roman"/>
          <w:kern w:val="0"/>
          <w:sz w:val="22"/>
        </w:rPr>
        <w:t xml:space="preserve">, </w:t>
      </w:r>
      <w:r w:rsidR="004D1AAB" w:rsidRPr="00D26958">
        <w:rPr>
          <w:rFonts w:ascii="Times New Roman" w:hAnsi="Times New Roman" w:cs="Times New Roman"/>
          <w:kern w:val="0"/>
          <w:sz w:val="22"/>
        </w:rPr>
        <w:t>KR10-BA</w:t>
      </w:r>
      <w:r w:rsidR="00B778A4">
        <w:rPr>
          <w:rFonts w:ascii="Times New Roman" w:hAnsi="Times New Roman" w:cs="Times New Roman"/>
          <w:color w:val="000000" w:themeColor="text1"/>
        </w:rPr>
        <w:t>)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; </w:t>
      </w:r>
      <w:r w:rsidR="00F07B9F">
        <w:rPr>
          <w:rFonts w:ascii="Times New Roman" w:hAnsi="Times New Roman" w:cs="Times New Roman"/>
          <w:color w:val="000000" w:themeColor="text1"/>
        </w:rPr>
        <w:t xml:space="preserve">and </w:t>
      </w:r>
      <w:r w:rsidR="004D1AAB">
        <w:rPr>
          <w:rFonts w:ascii="Times New Roman" w:hAnsi="Times New Roman" w:cs="Times New Roman"/>
          <w:color w:val="000000" w:themeColor="text1"/>
        </w:rPr>
        <w:t>26</w:t>
      </w:r>
      <w:r w:rsidR="00B778A4" w:rsidRPr="00B778A4">
        <w:rPr>
          <w:rFonts w:ascii="Times New Roman" w:hAnsi="Times New Roman" w:cs="Times New Roman"/>
          <w:color w:val="000000" w:themeColor="text1"/>
        </w:rPr>
        <w:t xml:space="preserve"> from the ‘</w:t>
      </w:r>
      <w:r w:rsidR="00F07B9F">
        <w:rPr>
          <w:rFonts w:ascii="Times New Roman" w:hAnsi="Times New Roman" w:cs="Times New Roman"/>
          <w:color w:val="000000" w:themeColor="text1"/>
        </w:rPr>
        <w:t>SG</w:t>
      </w:r>
      <w:r w:rsidR="00B778A4" w:rsidRPr="00B778A4">
        <w:rPr>
          <w:rFonts w:ascii="Times New Roman" w:hAnsi="Times New Roman" w:cs="Times New Roman"/>
          <w:color w:val="000000" w:themeColor="text1"/>
        </w:rPr>
        <w:t>’ group (</w:t>
      </w:r>
      <w:r w:rsidR="004D1AAB">
        <w:rPr>
          <w:rFonts w:ascii="Times New Roman" w:hAnsi="Times New Roman" w:cs="Times New Roman"/>
          <w:kern w:val="0"/>
          <w:sz w:val="22"/>
        </w:rPr>
        <w:t>CN10-SH</w:t>
      </w:r>
      <w:r w:rsidR="00B778A4" w:rsidRPr="00B778A4">
        <w:rPr>
          <w:rFonts w:ascii="Times New Roman" w:hAnsi="Times New Roman" w:cs="Times New Roman"/>
          <w:color w:val="000000" w:themeColor="text1"/>
        </w:rPr>
        <w:t>).</w:t>
      </w:r>
      <w:r w:rsidR="00B778A4">
        <w:rPr>
          <w:rFonts w:ascii="Times New Roman" w:hAnsi="Times New Roman" w:cs="Times New Roman"/>
          <w:color w:val="000000" w:themeColor="text1"/>
        </w:rPr>
        <w:t xml:space="preserve"> ‘</w:t>
      </w:r>
      <w:proofErr w:type="spellStart"/>
      <w:r w:rsidR="00B778A4">
        <w:rPr>
          <w:rFonts w:ascii="Times New Roman" w:hAnsi="Times New Roman" w:cs="Times New Roman" w:hint="eastAsia"/>
          <w:color w:val="000000" w:themeColor="text1"/>
        </w:rPr>
        <w:t>g</w:t>
      </w:r>
      <w:r w:rsidR="00B778A4">
        <w:rPr>
          <w:rFonts w:ascii="Times New Roman" w:hAnsi="Times New Roman" w:cs="Times New Roman"/>
          <w:color w:val="000000" w:themeColor="text1"/>
        </w:rPr>
        <w:t>b</w:t>
      </w:r>
      <w:proofErr w:type="spellEnd"/>
      <w:r w:rsidR="00B778A4">
        <w:rPr>
          <w:rFonts w:ascii="Times New Roman" w:hAnsi="Times New Roman" w:cs="Times New Roman"/>
          <w:color w:val="000000" w:themeColor="text1"/>
        </w:rPr>
        <w:t xml:space="preserve">’ </w:t>
      </w:r>
      <w:r w:rsidR="00B778A4">
        <w:rPr>
          <w:rFonts w:ascii="Times New Roman" w:hAnsi="Times New Roman" w:cs="Times New Roman" w:hint="eastAsia"/>
          <w:color w:val="000000" w:themeColor="text1"/>
        </w:rPr>
        <w:t>m</w:t>
      </w:r>
      <w:r w:rsidR="00B778A4">
        <w:rPr>
          <w:rFonts w:ascii="Times New Roman" w:hAnsi="Times New Roman" w:cs="Times New Roman"/>
          <w:color w:val="000000" w:themeColor="text1"/>
        </w:rPr>
        <w:t>eans genetic bottleneck</w:t>
      </w:r>
    </w:p>
    <w:p w14:paraId="0DC4A3EE" w14:textId="11B13063" w:rsidR="00B83A81" w:rsidRPr="00B778A4" w:rsidRDefault="00B83A81" w:rsidP="00B778A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578A55D8" w14:textId="77777777" w:rsidR="00B83A81" w:rsidRDefault="00B83A8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40EE80F2" w14:textId="710C1615" w:rsidR="00F61F3F" w:rsidRDefault="00F61F3F" w:rsidP="00F61F3F">
      <w:pPr>
        <w:jc w:val="left"/>
        <w:rPr>
          <w:rFonts w:ascii="Times New Roman" w:hAnsi="Times New Roman" w:cs="Times New Roman"/>
          <w:color w:val="000000" w:themeColor="text1"/>
        </w:rPr>
      </w:pPr>
    </w:p>
    <w:p w14:paraId="46D305B6" w14:textId="017DD960" w:rsidR="00E51B8D" w:rsidRDefault="00F61F3F" w:rsidP="00B83A81">
      <w:pPr>
        <w:widowControl/>
        <w:wordWrap/>
        <w:autoSpaceDE/>
        <w:autoSpaceDN/>
        <w:spacing w:after="160" w:line="259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3EBE1535" wp14:editId="6F5E1700">
            <wp:extent cx="5547995" cy="1741666"/>
            <wp:effectExtent l="0" t="0" r="0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545" cy="17587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58DD4C" w14:textId="112E9690" w:rsidR="00F61F3F" w:rsidRDefault="00F61F3F" w:rsidP="00B83A81">
      <w:pPr>
        <w:jc w:val="left"/>
        <w:rPr>
          <w:color w:val="000000" w:themeColor="text1"/>
        </w:rPr>
      </w:pPr>
    </w:p>
    <w:p w14:paraId="570BF9A1" w14:textId="5408DE2A" w:rsidR="00B83A81" w:rsidRPr="009B386B" w:rsidRDefault="00F61F3F" w:rsidP="00B83A81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sz w:val="22"/>
        </w:rPr>
      </w:pPr>
      <w:r w:rsidRPr="00B83A81">
        <w:rPr>
          <w:rFonts w:ascii="Times New Roman" w:hAnsi="Times New Roman" w:cs="Times New Roman"/>
          <w:b/>
          <w:bCs/>
          <w:color w:val="000000" w:themeColor="text1"/>
        </w:rPr>
        <w:t>Fig. S8.</w:t>
      </w:r>
      <w:r w:rsidR="00B83A81">
        <w:rPr>
          <w:rFonts w:ascii="Times New Roman" w:hAnsi="Times New Roman" w:cs="Times New Roman"/>
          <w:color w:val="000000" w:themeColor="text1"/>
        </w:rPr>
        <w:t xml:space="preserve"> </w:t>
      </w:r>
      <w:r w:rsidR="00B83A81" w:rsidRPr="00B83A81">
        <w:rPr>
          <w:rFonts w:ascii="Times New Roman" w:hAnsi="Times New Roman" w:cs="Times New Roman"/>
          <w:color w:val="000000" w:themeColor="text1"/>
        </w:rPr>
        <w:t xml:space="preserve">Plots output by DIYABC showing the posterior probability (y-axis) of the three scenarios through the </w:t>
      </w:r>
      <w:proofErr w:type="spellStart"/>
      <w:r w:rsidR="00B83A81" w:rsidRPr="00B83A81">
        <w:rPr>
          <w:rFonts w:ascii="Times New Roman" w:hAnsi="Times New Roman" w:cs="Times New Roman"/>
          <w:color w:val="000000" w:themeColor="text1"/>
        </w:rPr>
        <w:t>the</w:t>
      </w:r>
      <w:proofErr w:type="spellEnd"/>
      <w:r w:rsidR="00B83A81" w:rsidRPr="00B83A81">
        <w:rPr>
          <w:rFonts w:ascii="Times New Roman" w:hAnsi="Times New Roman" w:cs="Times New Roman"/>
          <w:color w:val="000000" w:themeColor="text1"/>
        </w:rPr>
        <w:t xml:space="preserve"> logistic </w:t>
      </w:r>
      <w:r w:rsidR="00B83A81">
        <w:rPr>
          <w:rFonts w:ascii="Times New Roman" w:hAnsi="Times New Roman" w:cs="Times New Roman"/>
          <w:color w:val="000000" w:themeColor="text1"/>
        </w:rPr>
        <w:t xml:space="preserve">regression </w:t>
      </w:r>
      <w:r w:rsidR="00B83A81" w:rsidRPr="00B83A81">
        <w:rPr>
          <w:rFonts w:ascii="Times New Roman" w:hAnsi="Times New Roman" w:cs="Times New Roman"/>
          <w:color w:val="000000" w:themeColor="text1"/>
        </w:rPr>
        <w:t xml:space="preserve">(left) and direct </w:t>
      </w:r>
      <w:r w:rsidR="00B83A81">
        <w:rPr>
          <w:rFonts w:ascii="Times New Roman" w:hAnsi="Times New Roman" w:cs="Times New Roman"/>
          <w:color w:val="000000" w:themeColor="text1"/>
        </w:rPr>
        <w:t xml:space="preserve">estimate </w:t>
      </w:r>
      <w:r w:rsidR="00B83A81" w:rsidRPr="00B83A81">
        <w:rPr>
          <w:rFonts w:ascii="Times New Roman" w:hAnsi="Times New Roman" w:cs="Times New Roman"/>
          <w:color w:val="000000" w:themeColor="text1"/>
        </w:rPr>
        <w:t>(right) approaches as output by DIYABC. The x-axis correspond</w:t>
      </w:r>
      <w:r w:rsidR="00B83A81">
        <w:rPr>
          <w:rFonts w:ascii="Times New Roman" w:hAnsi="Times New Roman" w:cs="Times New Roman"/>
          <w:color w:val="000000" w:themeColor="text1"/>
        </w:rPr>
        <w:t>s</w:t>
      </w:r>
      <w:r w:rsidR="00B83A81" w:rsidRPr="00B83A81">
        <w:rPr>
          <w:rFonts w:ascii="Times New Roman" w:hAnsi="Times New Roman" w:cs="Times New Roman"/>
          <w:color w:val="000000" w:themeColor="text1"/>
        </w:rPr>
        <w:t xml:space="preserve"> to the different </w:t>
      </w:r>
      <w:proofErr w:type="spellStart"/>
      <w:r w:rsidR="00B83A81" w:rsidRPr="00B83A81">
        <w:rPr>
          <w:rFonts w:ascii="Times New Roman" w:hAnsi="Times New Roman" w:cs="Times New Roman"/>
          <w:i/>
          <w:iCs/>
          <w:color w:val="000000" w:themeColor="text1"/>
        </w:rPr>
        <w:t>n</w:t>
      </w:r>
      <w:r w:rsidR="00B83A81" w:rsidRPr="00B83A81">
        <w:rPr>
          <w:rFonts w:ascii="Times New Roman" w:hAnsi="Times New Roman" w:cs="Times New Roman"/>
          <w:color w:val="000000" w:themeColor="text1"/>
          <w:vertAlign w:val="subscript"/>
        </w:rPr>
        <w:t>δ</w:t>
      </w:r>
      <w:proofErr w:type="spellEnd"/>
      <w:r w:rsidR="00B83A81" w:rsidRPr="00B83A81">
        <w:rPr>
          <w:rFonts w:ascii="Times New Roman" w:hAnsi="Times New Roman" w:cs="Times New Roman"/>
          <w:color w:val="000000" w:themeColor="text1"/>
          <w:vertAlign w:val="subscript"/>
        </w:rPr>
        <w:t xml:space="preserve"> </w:t>
      </w:r>
      <w:r w:rsidR="00B83A81" w:rsidRPr="00B83A81">
        <w:rPr>
          <w:rFonts w:ascii="Times New Roman" w:hAnsi="Times New Roman" w:cs="Times New Roman"/>
          <w:color w:val="000000" w:themeColor="text1"/>
        </w:rPr>
        <w:t>values used in the computations.</w:t>
      </w:r>
    </w:p>
    <w:p w14:paraId="4352BFA5" w14:textId="0174843D" w:rsidR="00F61F3F" w:rsidRPr="00B83A81" w:rsidRDefault="00F61F3F" w:rsidP="00F61F3F">
      <w:pPr>
        <w:jc w:val="left"/>
        <w:rPr>
          <w:rFonts w:ascii="Times New Roman" w:hAnsi="Times New Roman" w:cs="Times New Roman"/>
          <w:color w:val="000000" w:themeColor="text1"/>
        </w:rPr>
      </w:pPr>
    </w:p>
    <w:sectPr w:rsidR="00F61F3F" w:rsidRPr="00B83A8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B042C" w14:textId="77777777" w:rsidR="001E7508" w:rsidRDefault="001E7508" w:rsidP="00C43C8B">
      <w:r>
        <w:separator/>
      </w:r>
    </w:p>
  </w:endnote>
  <w:endnote w:type="continuationSeparator" w:id="0">
    <w:p w14:paraId="52DFF77F" w14:textId="77777777" w:rsidR="001E7508" w:rsidRDefault="001E7508" w:rsidP="00C4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A1D03" w14:textId="77777777" w:rsidR="001E7508" w:rsidRDefault="001E7508" w:rsidP="00C43C8B">
      <w:r>
        <w:separator/>
      </w:r>
    </w:p>
  </w:footnote>
  <w:footnote w:type="continuationSeparator" w:id="0">
    <w:p w14:paraId="719EB3D2" w14:textId="77777777" w:rsidR="001E7508" w:rsidRDefault="001E7508" w:rsidP="00C43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EAE"/>
    <w:rsid w:val="00015803"/>
    <w:rsid w:val="001E7508"/>
    <w:rsid w:val="004A1498"/>
    <w:rsid w:val="004D1AAB"/>
    <w:rsid w:val="00596D19"/>
    <w:rsid w:val="00657216"/>
    <w:rsid w:val="00B778A4"/>
    <w:rsid w:val="00B83A81"/>
    <w:rsid w:val="00C43C8B"/>
    <w:rsid w:val="00C60F70"/>
    <w:rsid w:val="00CE733B"/>
    <w:rsid w:val="00DC32F7"/>
    <w:rsid w:val="00E31918"/>
    <w:rsid w:val="00E51B8D"/>
    <w:rsid w:val="00F07B9F"/>
    <w:rsid w:val="00F61F3F"/>
    <w:rsid w:val="00F8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E7E2D"/>
  <w15:chartTrackingRefBased/>
  <w15:docId w15:val="{DA407F74-4CD5-4CD4-972A-B21BE4DA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1F3F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43C8B"/>
  </w:style>
  <w:style w:type="paragraph" w:styleId="a4">
    <w:name w:val="footer"/>
    <w:basedOn w:val="a"/>
    <w:link w:val="Char0"/>
    <w:uiPriority w:val="99"/>
    <w:unhideWhenUsed/>
    <w:rsid w:val="00C43C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43C8B"/>
  </w:style>
  <w:style w:type="paragraph" w:customStyle="1" w:styleId="a5">
    <w:name w:val="바탕글"/>
    <w:basedOn w:val="a"/>
    <w:link w:val="Char1"/>
    <w:rsid w:val="00CE733B"/>
    <w:pPr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customStyle="1" w:styleId="Char1">
    <w:name w:val="바탕글 Char"/>
    <w:basedOn w:val="a0"/>
    <w:link w:val="a5"/>
    <w:rsid w:val="00CE733B"/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김효중</cp:lastModifiedBy>
  <cp:revision>9</cp:revision>
  <dcterms:created xsi:type="dcterms:W3CDTF">2020-08-18T01:54:00Z</dcterms:created>
  <dcterms:modified xsi:type="dcterms:W3CDTF">2021-02-03T03:46:00Z</dcterms:modified>
</cp:coreProperties>
</file>