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0240" w14:textId="77777777" w:rsidR="00D97916" w:rsidRPr="00AB6A53" w:rsidRDefault="00D97916" w:rsidP="00D97916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Natal origin and age-specific egress of </w:t>
      </w:r>
      <w:r w:rsidRPr="007B328F">
        <w:rPr>
          <w:rFonts w:asciiTheme="minorHAnsi" w:hAnsiTheme="minorHAnsi" w:cstheme="minorHAnsi"/>
          <w:b/>
          <w:sz w:val="22"/>
          <w:szCs w:val="22"/>
        </w:rPr>
        <w:t>Pacific bluefin tuna</w:t>
      </w:r>
      <w:r>
        <w:rPr>
          <w:rFonts w:asciiTheme="minorHAnsi" w:hAnsiTheme="minorHAnsi" w:cstheme="minorHAnsi"/>
          <w:b/>
          <w:sz w:val="22"/>
          <w:szCs w:val="22"/>
        </w:rPr>
        <w:t xml:space="preserve"> from coastal nurseries</w:t>
      </w:r>
      <w:r w:rsidRPr="007B32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12B6">
        <w:rPr>
          <w:rFonts w:asciiTheme="minorHAnsi" w:hAnsiTheme="minorHAnsi" w:cstheme="minorHAnsi"/>
          <w:b/>
          <w:sz w:val="22"/>
          <w:szCs w:val="22"/>
        </w:rPr>
        <w:t xml:space="preserve">revealed with geochemical </w:t>
      </w:r>
      <w:r>
        <w:rPr>
          <w:rFonts w:asciiTheme="minorHAnsi" w:hAnsiTheme="minorHAnsi" w:cstheme="minorHAnsi"/>
          <w:b/>
          <w:sz w:val="22"/>
          <w:szCs w:val="22"/>
        </w:rPr>
        <w:t>markers</w:t>
      </w:r>
    </w:p>
    <w:p w14:paraId="606A0BC4" w14:textId="77777777" w:rsidR="00D97916" w:rsidRDefault="00D97916" w:rsidP="00D97916">
      <w:pPr>
        <w:rPr>
          <w:rFonts w:cstheme="minorHAnsi"/>
          <w:sz w:val="22"/>
          <w:szCs w:val="22"/>
        </w:rPr>
      </w:pPr>
    </w:p>
    <w:p w14:paraId="5F525915" w14:textId="77777777" w:rsidR="00D97916" w:rsidRPr="003618D0" w:rsidRDefault="00D97916" w:rsidP="00D97916">
      <w:pPr>
        <w:rPr>
          <w:rFonts w:cstheme="minorHAnsi"/>
          <w:sz w:val="22"/>
          <w:szCs w:val="22"/>
        </w:rPr>
      </w:pPr>
      <w:r w:rsidRPr="00747032">
        <w:rPr>
          <w:rFonts w:cstheme="minorHAnsi"/>
          <w:sz w:val="22"/>
          <w:szCs w:val="22"/>
        </w:rPr>
        <w:t>Jay R. Rooker</w:t>
      </w:r>
      <w:r w:rsidRPr="00AB3090"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,2*</w:t>
      </w:r>
      <w:r>
        <w:rPr>
          <w:rFonts w:cstheme="minorHAnsi"/>
          <w:sz w:val="22"/>
          <w:szCs w:val="22"/>
        </w:rPr>
        <w:t>, R</w:t>
      </w:r>
      <w:r w:rsidRPr="00747032">
        <w:rPr>
          <w:rFonts w:cstheme="minorHAnsi"/>
          <w:sz w:val="22"/>
          <w:szCs w:val="22"/>
        </w:rPr>
        <w:t>. J. David Wells</w:t>
      </w:r>
      <w:r w:rsidRPr="00AB3090"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,2</w:t>
      </w:r>
      <w:r>
        <w:rPr>
          <w:rFonts w:cstheme="minorHAnsi"/>
          <w:sz w:val="22"/>
          <w:szCs w:val="22"/>
        </w:rPr>
        <w:t>, Barbara A. Block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3</w:t>
      </w:r>
      <w:r>
        <w:rPr>
          <w:rFonts w:cstheme="minorHAnsi"/>
          <w:sz w:val="22"/>
          <w:szCs w:val="22"/>
        </w:rPr>
        <w:t>, Hui Liu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>, Hannes Baumann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4</w:t>
      </w:r>
      <w:r>
        <w:rPr>
          <w:rFonts w:cstheme="minorHAnsi"/>
          <w:sz w:val="22"/>
          <w:szCs w:val="22"/>
        </w:rPr>
        <w:t>, Wei-</w:t>
      </w:r>
      <w:proofErr w:type="spellStart"/>
      <w:r>
        <w:rPr>
          <w:rFonts w:cstheme="minorHAnsi"/>
          <w:sz w:val="22"/>
          <w:szCs w:val="22"/>
        </w:rPr>
        <w:t>Chuan</w:t>
      </w:r>
      <w:proofErr w:type="spellEnd"/>
      <w:r>
        <w:rPr>
          <w:rFonts w:cstheme="minorHAnsi"/>
          <w:sz w:val="22"/>
          <w:szCs w:val="22"/>
        </w:rPr>
        <w:t xml:space="preserve"> Chiang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5</w:t>
      </w:r>
      <w:r w:rsidRPr="00716D36">
        <w:rPr>
          <w:rFonts w:cstheme="minorHAnsi"/>
          <w:color w:val="000000" w:themeColor="text1"/>
          <w:sz w:val="22"/>
          <w:szCs w:val="22"/>
        </w:rPr>
        <w:t>,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cstheme="minorHAnsi"/>
          <w:sz w:val="22"/>
          <w:szCs w:val="22"/>
        </w:rPr>
        <w:t>M</w:t>
      </w:r>
      <w:r w:rsidRPr="00747032">
        <w:rPr>
          <w:rFonts w:cstheme="minorHAnsi"/>
          <w:sz w:val="22"/>
          <w:szCs w:val="22"/>
        </w:rPr>
        <w:t xml:space="preserve">ichelle </w:t>
      </w:r>
      <w:proofErr w:type="spellStart"/>
      <w:r w:rsidRPr="00747032">
        <w:rPr>
          <w:rFonts w:cstheme="minorHAnsi"/>
          <w:sz w:val="22"/>
          <w:szCs w:val="22"/>
        </w:rPr>
        <w:t>Sluis</w:t>
      </w:r>
      <w:proofErr w:type="spellEnd"/>
      <w:r w:rsidRPr="00747032">
        <w:rPr>
          <w:rFonts w:cstheme="minorHAnsi"/>
          <w:sz w:val="22"/>
          <w:szCs w:val="22"/>
        </w:rPr>
        <w:t xml:space="preserve"> Zapp</w:t>
      </w:r>
      <w:r w:rsidRPr="00AB3090"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>, Nathaniel R. Miller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6</w:t>
      </w:r>
      <w:r w:rsidRPr="00FB0228">
        <w:rPr>
          <w:rFonts w:cstheme="minorHAnsi"/>
          <w:color w:val="000000" w:themeColor="text1"/>
          <w:sz w:val="22"/>
          <w:szCs w:val="22"/>
        </w:rPr>
        <w:t>,</w:t>
      </w:r>
      <w:r w:rsidRPr="00DC690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John</w:t>
      </w:r>
      <w:r w:rsidRPr="0074703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A. </w:t>
      </w:r>
      <w:r w:rsidRPr="00747032">
        <w:rPr>
          <w:rFonts w:cstheme="minorHAnsi"/>
          <w:sz w:val="22"/>
          <w:szCs w:val="22"/>
        </w:rPr>
        <w:t>Mohan</w:t>
      </w:r>
      <w:r w:rsidRPr="00AB3090"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>
        <w:rPr>
          <w:rFonts w:cstheme="minorHAnsi"/>
          <w:sz w:val="22"/>
          <w:szCs w:val="22"/>
        </w:rPr>
        <w:t>, S</w:t>
      </w:r>
      <w:r w:rsidRPr="00DC6903">
        <w:rPr>
          <w:rFonts w:cstheme="minorHAnsi"/>
          <w:sz w:val="22"/>
          <w:szCs w:val="22"/>
        </w:rPr>
        <w:t>eiji Ohshimo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7</w:t>
      </w:r>
      <w:r>
        <w:rPr>
          <w:rFonts w:cstheme="minorHAnsi"/>
          <w:sz w:val="22"/>
          <w:szCs w:val="22"/>
        </w:rPr>
        <w:t>, Yosuke Tanaka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8</w:t>
      </w:r>
      <w:r>
        <w:rPr>
          <w:rFonts w:cstheme="minorHAnsi"/>
          <w:sz w:val="22"/>
          <w:szCs w:val="22"/>
        </w:rPr>
        <w:t>, M</w:t>
      </w:r>
      <w:r w:rsidRPr="00747032">
        <w:rPr>
          <w:rFonts w:cstheme="minorHAnsi"/>
          <w:sz w:val="22"/>
          <w:szCs w:val="22"/>
        </w:rPr>
        <w:t>ichael A. Dance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9</w:t>
      </w:r>
      <w:r>
        <w:rPr>
          <w:rFonts w:cstheme="minorHAnsi"/>
          <w:sz w:val="22"/>
          <w:szCs w:val="22"/>
        </w:rPr>
        <w:t>, Heidi Dewar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10</w:t>
      </w:r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Owyn</w:t>
      </w:r>
      <w:proofErr w:type="spellEnd"/>
      <w:r>
        <w:rPr>
          <w:rFonts w:cstheme="minorHAnsi"/>
          <w:sz w:val="22"/>
          <w:szCs w:val="22"/>
        </w:rPr>
        <w:t xml:space="preserve"> E. Snodgrass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10</w:t>
      </w:r>
      <w:r>
        <w:rPr>
          <w:rFonts w:cstheme="minorHAnsi"/>
          <w:sz w:val="22"/>
          <w:szCs w:val="22"/>
        </w:rPr>
        <w:t>, Jen-</w:t>
      </w:r>
      <w:proofErr w:type="spellStart"/>
      <w:r>
        <w:rPr>
          <w:rFonts w:cstheme="minorHAnsi"/>
          <w:sz w:val="22"/>
          <w:szCs w:val="22"/>
        </w:rPr>
        <w:t>Chieh</w:t>
      </w:r>
      <w:proofErr w:type="spellEnd"/>
      <w:r>
        <w:rPr>
          <w:rFonts w:cstheme="minorHAnsi"/>
          <w:sz w:val="22"/>
          <w:szCs w:val="22"/>
        </w:rPr>
        <w:t xml:space="preserve"> Shiao</w:t>
      </w:r>
      <w:r>
        <w:rPr>
          <w:rFonts w:cstheme="minorHAnsi"/>
          <w:color w:val="000000" w:themeColor="text1"/>
          <w:sz w:val="22"/>
          <w:szCs w:val="22"/>
          <w:vertAlign w:val="superscript"/>
        </w:rPr>
        <w:t>11</w:t>
      </w:r>
      <w:r>
        <w:rPr>
          <w:rFonts w:cstheme="minorHAnsi"/>
          <w:color w:val="000000" w:themeColor="text1"/>
          <w:sz w:val="22"/>
          <w:szCs w:val="22"/>
        </w:rPr>
        <w:t xml:space="preserve">  </w:t>
      </w:r>
    </w:p>
    <w:p w14:paraId="753076A2" w14:textId="77777777" w:rsidR="00D97916" w:rsidRDefault="00D97916" w:rsidP="00D97916">
      <w:pPr>
        <w:rPr>
          <w:rFonts w:cstheme="minorHAnsi"/>
          <w:sz w:val="22"/>
          <w:szCs w:val="22"/>
        </w:rPr>
      </w:pPr>
    </w:p>
    <w:p w14:paraId="5F44164B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 w:rsidRPr="00AB3090">
        <w:rPr>
          <w:rFonts w:cstheme="minorHAnsi"/>
          <w:color w:val="000000" w:themeColor="text1"/>
          <w:sz w:val="22"/>
          <w:szCs w:val="22"/>
          <w:vertAlign w:val="superscript"/>
        </w:rPr>
        <w:t>1</w:t>
      </w:r>
      <w:r w:rsidRPr="00AB3090">
        <w:rPr>
          <w:rFonts w:cstheme="minorHAnsi"/>
          <w:color w:val="000000" w:themeColor="text1"/>
          <w:sz w:val="22"/>
          <w:szCs w:val="22"/>
        </w:rPr>
        <w:t>Department of Marine Biology, Texas A&amp;M University</w:t>
      </w:r>
      <w:r>
        <w:rPr>
          <w:rFonts w:cstheme="minorHAnsi"/>
          <w:color w:val="000000" w:themeColor="text1"/>
          <w:sz w:val="22"/>
          <w:szCs w:val="22"/>
        </w:rPr>
        <w:t xml:space="preserve"> at Galveston</w:t>
      </w:r>
      <w:r w:rsidRPr="00AB3090">
        <w:rPr>
          <w:rFonts w:cstheme="minorHAnsi"/>
          <w:color w:val="000000" w:themeColor="text1"/>
          <w:sz w:val="22"/>
          <w:szCs w:val="22"/>
        </w:rPr>
        <w:t>, 1001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AB3090">
        <w:rPr>
          <w:rFonts w:cstheme="minorHAnsi"/>
          <w:color w:val="000000" w:themeColor="text1"/>
          <w:sz w:val="22"/>
          <w:szCs w:val="22"/>
        </w:rPr>
        <w:t>Texas Clipper Road, Galveston, T</w:t>
      </w:r>
      <w:r>
        <w:rPr>
          <w:rFonts w:cstheme="minorHAnsi"/>
          <w:color w:val="000000" w:themeColor="text1"/>
          <w:sz w:val="22"/>
          <w:szCs w:val="22"/>
        </w:rPr>
        <w:t>X</w:t>
      </w:r>
      <w:r w:rsidRPr="00AB3090">
        <w:rPr>
          <w:rFonts w:cstheme="minorHAnsi"/>
          <w:color w:val="000000" w:themeColor="text1"/>
          <w:sz w:val="22"/>
          <w:szCs w:val="22"/>
        </w:rPr>
        <w:t xml:space="preserve"> 77553, USA</w:t>
      </w:r>
    </w:p>
    <w:p w14:paraId="52181562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2</w:t>
      </w:r>
      <w:r>
        <w:rPr>
          <w:rFonts w:cstheme="minorHAnsi"/>
          <w:color w:val="000000" w:themeColor="text1"/>
          <w:sz w:val="22"/>
          <w:szCs w:val="22"/>
        </w:rPr>
        <w:t>Department of Ecology and Conservation Biology, Texas A&amp;M University, College Station, TX 77843-2258</w:t>
      </w:r>
    </w:p>
    <w:p w14:paraId="00F93E27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3</w:t>
      </w:r>
      <w:r>
        <w:rPr>
          <w:rFonts w:cstheme="minorHAnsi"/>
          <w:color w:val="000000" w:themeColor="text1"/>
          <w:sz w:val="22"/>
          <w:szCs w:val="22"/>
        </w:rPr>
        <w:t>Hopkins Marine Station, Stanford University, 120 Oceanview Boulevard, Pacific Grove, CA 93950 USA</w:t>
      </w:r>
    </w:p>
    <w:p w14:paraId="74D200B5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4</w:t>
      </w:r>
      <w:r w:rsidRPr="00AB3090">
        <w:rPr>
          <w:rFonts w:cstheme="minorHAnsi"/>
          <w:sz w:val="22"/>
          <w:szCs w:val="22"/>
        </w:rPr>
        <w:t xml:space="preserve">Department of Marine Sciences, University of Connecticut, 1080 </w:t>
      </w:r>
      <w:proofErr w:type="spellStart"/>
      <w:r w:rsidRPr="00AB3090">
        <w:rPr>
          <w:rFonts w:cstheme="minorHAnsi"/>
          <w:sz w:val="22"/>
          <w:szCs w:val="22"/>
        </w:rPr>
        <w:t>Shennecossett</w:t>
      </w:r>
      <w:proofErr w:type="spellEnd"/>
      <w:r w:rsidRPr="00AB3090">
        <w:rPr>
          <w:rFonts w:cstheme="minorHAnsi"/>
          <w:sz w:val="22"/>
          <w:szCs w:val="22"/>
        </w:rPr>
        <w:t xml:space="preserve"> Road, Groton, CT 06340-6048, USA</w:t>
      </w:r>
    </w:p>
    <w:p w14:paraId="377215D8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5</w:t>
      </w:r>
      <w:r w:rsidRPr="00AB3090">
        <w:rPr>
          <w:rFonts w:cstheme="minorHAnsi"/>
          <w:color w:val="000000" w:themeColor="text1"/>
          <w:sz w:val="22"/>
          <w:szCs w:val="22"/>
        </w:rPr>
        <w:t>Council of Agriculture, Fisheries Research Institute, 199 Hou-</w:t>
      </w:r>
      <w:proofErr w:type="spellStart"/>
      <w:r w:rsidRPr="00AB3090">
        <w:rPr>
          <w:rFonts w:cstheme="minorHAnsi"/>
          <w:color w:val="000000" w:themeColor="text1"/>
          <w:sz w:val="22"/>
          <w:szCs w:val="22"/>
        </w:rPr>
        <w:t>Ih</w:t>
      </w:r>
      <w:proofErr w:type="spellEnd"/>
      <w:r w:rsidRPr="00AB3090">
        <w:rPr>
          <w:rFonts w:cstheme="minorHAnsi"/>
          <w:color w:val="000000" w:themeColor="text1"/>
          <w:sz w:val="22"/>
          <w:szCs w:val="22"/>
        </w:rPr>
        <w:t xml:space="preserve"> Road, Keelung, 20246, Taiwan</w:t>
      </w:r>
    </w:p>
    <w:p w14:paraId="2EBCC8AD" w14:textId="77777777" w:rsidR="00D97916" w:rsidRDefault="00D97916" w:rsidP="00D97916">
      <w:pPr>
        <w:ind w:left="360" w:hanging="360"/>
        <w:rPr>
          <w:rFonts w:cstheme="minorHAnsi"/>
          <w:color w:val="211E1E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6</w:t>
      </w:r>
      <w:r w:rsidRPr="00AB3090">
        <w:rPr>
          <w:rFonts w:cstheme="minorHAnsi"/>
          <w:color w:val="211E1E"/>
          <w:sz w:val="22"/>
          <w:szCs w:val="22"/>
        </w:rPr>
        <w:t xml:space="preserve">Jackson School of Geosciences, The University of Texas at Austin, 2275 Speedway Stop C9000, Austin, TX 78712, USA </w:t>
      </w:r>
    </w:p>
    <w:p w14:paraId="1B6B5A15" w14:textId="77777777" w:rsidR="00D97916" w:rsidRPr="000B7552" w:rsidRDefault="00D97916" w:rsidP="00D97916">
      <w:pPr>
        <w:ind w:left="360" w:hanging="360"/>
        <w:rPr>
          <w:rFonts w:cstheme="minorHAnsi"/>
          <w:color w:val="211E1E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7</w:t>
      </w:r>
      <w:r w:rsidRPr="000B7552">
        <w:rPr>
          <w:rFonts w:cstheme="minorHAnsi"/>
          <w:color w:val="000000"/>
          <w:sz w:val="22"/>
          <w:szCs w:val="22"/>
        </w:rPr>
        <w:t xml:space="preserve">Pelagic Fish Resources Division, Fisheries Stock Assessment </w:t>
      </w:r>
      <w:proofErr w:type="gramStart"/>
      <w:r w:rsidRPr="000B7552">
        <w:rPr>
          <w:rFonts w:cstheme="minorHAnsi"/>
          <w:color w:val="000000"/>
          <w:sz w:val="22"/>
          <w:szCs w:val="22"/>
        </w:rPr>
        <w:t>Center, </w:t>
      </w:r>
      <w:r w:rsidRPr="000B7552">
        <w:rPr>
          <w:rFonts w:cstheme="minorHAnsi"/>
          <w:color w:val="211E1E"/>
          <w:sz w:val="22"/>
          <w:szCs w:val="22"/>
        </w:rPr>
        <w:t xml:space="preserve"> </w:t>
      </w:r>
      <w:r w:rsidRPr="000B7552">
        <w:rPr>
          <w:rFonts w:cstheme="minorHAnsi"/>
          <w:color w:val="000000"/>
          <w:sz w:val="22"/>
          <w:szCs w:val="22"/>
        </w:rPr>
        <w:t>Fisheries</w:t>
      </w:r>
      <w:proofErr w:type="gramEnd"/>
      <w:r w:rsidRPr="000B7552">
        <w:rPr>
          <w:rFonts w:cstheme="minorHAnsi"/>
          <w:color w:val="000000"/>
          <w:sz w:val="22"/>
          <w:szCs w:val="22"/>
        </w:rPr>
        <w:t xml:space="preserve"> Resources Institute, Japan Fisheries Research and Education Agency</w:t>
      </w:r>
      <w:r w:rsidRPr="000B7552">
        <w:rPr>
          <w:rFonts w:cstheme="minorHAnsi"/>
          <w:color w:val="211E1E"/>
          <w:sz w:val="22"/>
          <w:szCs w:val="22"/>
        </w:rPr>
        <w:t xml:space="preserve"> </w:t>
      </w:r>
      <w:r w:rsidRPr="000B7552">
        <w:rPr>
          <w:rFonts w:cstheme="minorHAnsi"/>
          <w:color w:val="000000"/>
          <w:sz w:val="22"/>
          <w:szCs w:val="22"/>
        </w:rPr>
        <w:t xml:space="preserve">1551-8, </w:t>
      </w:r>
      <w:proofErr w:type="spellStart"/>
      <w:r w:rsidRPr="000B7552">
        <w:rPr>
          <w:rFonts w:cstheme="minorHAnsi"/>
          <w:color w:val="000000"/>
          <w:sz w:val="22"/>
          <w:szCs w:val="22"/>
        </w:rPr>
        <w:t>Taira</w:t>
      </w:r>
      <w:proofErr w:type="spellEnd"/>
      <w:r w:rsidRPr="000B7552">
        <w:rPr>
          <w:rFonts w:cstheme="minorHAnsi"/>
          <w:color w:val="000000"/>
          <w:sz w:val="22"/>
          <w:szCs w:val="22"/>
        </w:rPr>
        <w:t>-machi, Nagasaki, 851-2213 Japan</w:t>
      </w:r>
    </w:p>
    <w:p w14:paraId="006BAB2E" w14:textId="77777777" w:rsidR="00D97916" w:rsidRPr="000B7552" w:rsidRDefault="00D97916" w:rsidP="00D97916">
      <w:pPr>
        <w:ind w:left="360" w:hanging="360"/>
        <w:rPr>
          <w:rFonts w:ascii="-webkit-standard" w:hAnsi="-webkit-standard"/>
          <w:color w:val="000000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8</w:t>
      </w:r>
      <w:r w:rsidRPr="000B7552">
        <w:rPr>
          <w:rFonts w:cstheme="minorHAnsi"/>
          <w:color w:val="000000"/>
          <w:sz w:val="22"/>
          <w:szCs w:val="22"/>
        </w:rPr>
        <w:t xml:space="preserve">Highly Migratory Resources Division, Fisheries Stock Assessment Center, Fisheries Resources Institute, Japan Fisheries Research and Education Agency 5-7-1, </w:t>
      </w:r>
      <w:proofErr w:type="spellStart"/>
      <w:r w:rsidRPr="000B7552">
        <w:rPr>
          <w:rFonts w:cstheme="minorHAnsi"/>
          <w:color w:val="000000"/>
          <w:sz w:val="22"/>
          <w:szCs w:val="22"/>
        </w:rPr>
        <w:t>Orido</w:t>
      </w:r>
      <w:proofErr w:type="spellEnd"/>
      <w:r w:rsidRPr="000B7552">
        <w:rPr>
          <w:rFonts w:cstheme="minorHAnsi"/>
          <w:color w:val="000000"/>
          <w:sz w:val="22"/>
          <w:szCs w:val="22"/>
        </w:rPr>
        <w:t>, Shimizu, Shizuoka, 424-8633, Japan</w:t>
      </w:r>
    </w:p>
    <w:p w14:paraId="3D92A521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9</w:t>
      </w:r>
      <w:r w:rsidRPr="00AB3090">
        <w:rPr>
          <w:rFonts w:cstheme="minorHAnsi"/>
          <w:color w:val="000000" w:themeColor="text1"/>
          <w:sz w:val="22"/>
          <w:szCs w:val="22"/>
        </w:rPr>
        <w:t>Department of Oceanography and Coastal Sciences, Louisiana State University, 2255 Energy, Coast and Environment Building Baton Rouge, Louisiana 70803, USA</w:t>
      </w:r>
    </w:p>
    <w:p w14:paraId="3DD5BD47" w14:textId="77777777" w:rsidR="00D97916" w:rsidRPr="003618D0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10</w:t>
      </w:r>
      <w:r w:rsidRPr="003618D0">
        <w:rPr>
          <w:rFonts w:eastAsiaTheme="minorHAnsi" w:cstheme="minorHAnsi"/>
          <w:color w:val="231F20"/>
          <w:sz w:val="22"/>
          <w:szCs w:val="22"/>
        </w:rPr>
        <w:t>Southwest Fisheries Science Center, National Marine Fisheries Service, 8901 La Jolla Shores Drive, La Jolla,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HAnsi"/>
          <w:color w:val="231F20"/>
          <w:sz w:val="22"/>
          <w:szCs w:val="22"/>
        </w:rPr>
        <w:t>CA</w:t>
      </w:r>
      <w:r w:rsidRPr="003618D0">
        <w:rPr>
          <w:rFonts w:eastAsiaTheme="minorHAnsi" w:cstheme="minorHAnsi"/>
          <w:color w:val="231F20"/>
          <w:sz w:val="22"/>
          <w:szCs w:val="22"/>
        </w:rPr>
        <w:t xml:space="preserve"> 92037, USA</w:t>
      </w:r>
    </w:p>
    <w:p w14:paraId="4BCB2D60" w14:textId="6785BE2A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11</w:t>
      </w:r>
      <w:r w:rsidRPr="00AB3090">
        <w:rPr>
          <w:rFonts w:cstheme="minorHAnsi"/>
          <w:color w:val="000000" w:themeColor="text1"/>
          <w:sz w:val="22"/>
          <w:szCs w:val="22"/>
        </w:rPr>
        <w:t>Institute of Oceanography, National Taiwan University, Taipei, No. 1, Sec. 4, Roosevelt Rd, Taipei 10617, Taiwan</w:t>
      </w:r>
    </w:p>
    <w:p w14:paraId="10DD3690" w14:textId="77777777" w:rsidR="00D97916" w:rsidRDefault="00D97916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br w:type="page"/>
      </w:r>
    </w:p>
    <w:p w14:paraId="1FADBF04" w14:textId="77777777" w:rsidR="00D97916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</w:p>
    <w:p w14:paraId="4C989AE2" w14:textId="77777777" w:rsidR="00D97916" w:rsidRPr="00AB3090" w:rsidRDefault="00D97916" w:rsidP="00D97916">
      <w:pPr>
        <w:ind w:left="360" w:hanging="360"/>
        <w:rPr>
          <w:rFonts w:cstheme="minorHAnsi"/>
          <w:color w:val="000000" w:themeColor="text1"/>
          <w:sz w:val="22"/>
          <w:szCs w:val="22"/>
        </w:rPr>
      </w:pPr>
      <w:r w:rsidRPr="00AB3090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01127416" w14:textId="77777777" w:rsidR="00B8778B" w:rsidRDefault="00B8778B" w:rsidP="00B8778B">
      <w:pPr>
        <w:autoSpaceDE w:val="0"/>
        <w:autoSpaceDN w:val="0"/>
        <w:adjustRightInd w:val="0"/>
        <w:rPr>
          <w:rFonts w:cstheme="minorHAnsi"/>
          <w:color w:val="231F20"/>
          <w:sz w:val="22"/>
          <w:szCs w:val="22"/>
        </w:rPr>
      </w:pPr>
      <w:r w:rsidRPr="008609F8">
        <w:rPr>
          <w:rFonts w:cstheme="minorHAnsi"/>
          <w:b/>
          <w:sz w:val="22"/>
          <w:szCs w:val="22"/>
        </w:rPr>
        <w:t>Table S1</w:t>
      </w:r>
      <w:r w:rsidRPr="008609F8">
        <w:rPr>
          <w:rFonts w:cstheme="minorHAnsi"/>
          <w:sz w:val="22"/>
          <w:szCs w:val="22"/>
        </w:rPr>
        <w:t xml:space="preserve">. </w:t>
      </w:r>
      <w:r w:rsidRPr="008609F8">
        <w:rPr>
          <w:rFonts w:cstheme="minorHAnsi"/>
          <w:color w:val="231F20"/>
          <w:sz w:val="22"/>
          <w:szCs w:val="22"/>
        </w:rPr>
        <w:t>Summary statistics of</w:t>
      </w:r>
      <w:r>
        <w:rPr>
          <w:rFonts w:cstheme="minorHAnsi"/>
          <w:color w:val="231F20"/>
          <w:sz w:val="22"/>
          <w:szCs w:val="22"/>
        </w:rPr>
        <w:t xml:space="preserve"> age-0 and adult</w:t>
      </w:r>
      <w:r w:rsidRPr="008609F8">
        <w:rPr>
          <w:rFonts w:cstheme="minorHAnsi"/>
          <w:color w:val="231F20"/>
          <w:sz w:val="22"/>
          <w:szCs w:val="22"/>
        </w:rPr>
        <w:t xml:space="preserve"> </w:t>
      </w:r>
      <w:r>
        <w:rPr>
          <w:rFonts w:cstheme="minorHAnsi"/>
          <w:color w:val="231F20"/>
          <w:sz w:val="22"/>
          <w:szCs w:val="22"/>
        </w:rPr>
        <w:t>Pacific bluefin tuna (PBT)</w:t>
      </w:r>
      <w:r w:rsidRPr="008609F8">
        <w:rPr>
          <w:rFonts w:cstheme="minorHAnsi"/>
          <w:color w:val="231F20"/>
          <w:sz w:val="22"/>
          <w:szCs w:val="22"/>
        </w:rPr>
        <w:t xml:space="preserve"> </w:t>
      </w:r>
      <w:r>
        <w:rPr>
          <w:rFonts w:cstheme="minorHAnsi"/>
          <w:color w:val="231F20"/>
          <w:sz w:val="22"/>
          <w:szCs w:val="22"/>
        </w:rPr>
        <w:t xml:space="preserve">analyzed from the East China Sea </w:t>
      </w:r>
      <w:r w:rsidRPr="008609F8">
        <w:rPr>
          <w:rFonts w:cstheme="minorHAnsi"/>
          <w:color w:val="231F20"/>
          <w:sz w:val="22"/>
          <w:szCs w:val="22"/>
        </w:rPr>
        <w:t>and Sea of Japa</w:t>
      </w:r>
      <w:r>
        <w:rPr>
          <w:rFonts w:cstheme="minorHAnsi"/>
          <w:color w:val="231F20"/>
          <w:sz w:val="22"/>
          <w:szCs w:val="22"/>
        </w:rPr>
        <w:t>n. S</w:t>
      </w:r>
      <w:r w:rsidRPr="008609F8">
        <w:rPr>
          <w:rFonts w:cstheme="minorHAnsi"/>
          <w:color w:val="231F20"/>
          <w:sz w:val="22"/>
          <w:szCs w:val="22"/>
        </w:rPr>
        <w:t>ample size (</w:t>
      </w:r>
      <w:r>
        <w:rPr>
          <w:rFonts w:cstheme="minorHAnsi"/>
          <w:color w:val="231F20"/>
          <w:sz w:val="22"/>
          <w:szCs w:val="22"/>
        </w:rPr>
        <w:t>N</w:t>
      </w:r>
      <w:r w:rsidRPr="008609F8">
        <w:rPr>
          <w:rFonts w:cstheme="minorHAnsi"/>
          <w:color w:val="231F20"/>
          <w:sz w:val="22"/>
          <w:szCs w:val="22"/>
        </w:rPr>
        <w:t xml:space="preserve">), </w:t>
      </w:r>
      <w:r>
        <w:rPr>
          <w:rFonts w:cstheme="minorHAnsi"/>
          <w:color w:val="231F20"/>
          <w:sz w:val="22"/>
          <w:szCs w:val="22"/>
        </w:rPr>
        <w:t xml:space="preserve">collection year and month(s), </w:t>
      </w:r>
      <w:r w:rsidRPr="008609F8">
        <w:rPr>
          <w:rFonts w:cstheme="minorHAnsi"/>
          <w:color w:val="231F20"/>
          <w:sz w:val="22"/>
          <w:szCs w:val="22"/>
        </w:rPr>
        <w:t xml:space="preserve">mean </w:t>
      </w:r>
      <w:r>
        <w:rPr>
          <w:rFonts w:cstheme="minorHAnsi"/>
          <w:color w:val="231F20"/>
          <w:sz w:val="22"/>
          <w:szCs w:val="22"/>
        </w:rPr>
        <w:t xml:space="preserve">fork length </w:t>
      </w:r>
      <w:r w:rsidRPr="008609F8">
        <w:rPr>
          <w:rFonts w:cstheme="minorHAnsi"/>
          <w:color w:val="231F20"/>
          <w:sz w:val="22"/>
          <w:szCs w:val="22"/>
        </w:rPr>
        <w:t>(cm</w:t>
      </w:r>
      <w:r>
        <w:rPr>
          <w:rFonts w:cstheme="minorHAnsi"/>
          <w:color w:val="231F20"/>
          <w:sz w:val="22"/>
          <w:szCs w:val="22"/>
        </w:rPr>
        <w:t xml:space="preserve"> FL </w:t>
      </w:r>
      <w:r w:rsidRPr="008609F8">
        <w:rPr>
          <w:rFonts w:cstheme="minorHAnsi"/>
          <w:color w:val="231F20"/>
          <w:sz w:val="22"/>
          <w:szCs w:val="22"/>
        </w:rPr>
        <w:t>±</w:t>
      </w:r>
      <w:r>
        <w:rPr>
          <w:rFonts w:cstheme="minorHAnsi"/>
          <w:color w:val="231F20"/>
          <w:sz w:val="22"/>
          <w:szCs w:val="22"/>
        </w:rPr>
        <w:t xml:space="preserve"> </w:t>
      </w:r>
      <w:r w:rsidRPr="008609F8">
        <w:rPr>
          <w:rFonts w:cstheme="minorHAnsi"/>
          <w:color w:val="231F20"/>
          <w:sz w:val="22"/>
          <w:szCs w:val="22"/>
        </w:rPr>
        <w:t xml:space="preserve">1 </w:t>
      </w:r>
      <w:r>
        <w:rPr>
          <w:rFonts w:cstheme="minorHAnsi"/>
          <w:color w:val="231F20"/>
          <w:sz w:val="22"/>
          <w:szCs w:val="22"/>
        </w:rPr>
        <w:t>SD</w:t>
      </w:r>
      <w:r w:rsidRPr="008609F8">
        <w:rPr>
          <w:rFonts w:cstheme="minorHAnsi"/>
          <w:color w:val="231F20"/>
          <w:sz w:val="22"/>
          <w:szCs w:val="22"/>
        </w:rPr>
        <w:t>)</w:t>
      </w:r>
      <w:r>
        <w:rPr>
          <w:rFonts w:cstheme="minorHAnsi"/>
          <w:color w:val="231F20"/>
          <w:sz w:val="22"/>
          <w:szCs w:val="22"/>
        </w:rPr>
        <w:t xml:space="preserve"> shown.  </w:t>
      </w:r>
    </w:p>
    <w:p w14:paraId="3BFC20D9" w14:textId="77777777" w:rsidR="00B8778B" w:rsidRPr="008609F8" w:rsidRDefault="00B8778B" w:rsidP="00B8778B">
      <w:pPr>
        <w:autoSpaceDE w:val="0"/>
        <w:autoSpaceDN w:val="0"/>
        <w:adjustRightInd w:val="0"/>
        <w:rPr>
          <w:rFonts w:cstheme="minorHAnsi"/>
          <w:color w:val="231F20"/>
          <w:sz w:val="22"/>
          <w:szCs w:val="22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1160"/>
        <w:gridCol w:w="1600"/>
        <w:gridCol w:w="1040"/>
        <w:gridCol w:w="960"/>
        <w:gridCol w:w="1060"/>
        <w:gridCol w:w="1440"/>
        <w:gridCol w:w="1020"/>
      </w:tblGrid>
      <w:tr w:rsidR="00B8778B" w:rsidRPr="006040B8" w14:paraId="7CF5BF99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284E8CB" w14:textId="77777777" w:rsidR="00B8778B" w:rsidRPr="006040B8" w:rsidRDefault="00B8778B" w:rsidP="00D365D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 Class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FE38F62" w14:textId="77777777" w:rsidR="00B8778B" w:rsidRPr="006040B8" w:rsidRDefault="00B8778B" w:rsidP="00D365D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800820F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68A6305" w14:textId="77777777" w:rsidR="00B8778B" w:rsidRPr="006040B8" w:rsidRDefault="00B8778B" w:rsidP="00D365D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605B466" w14:textId="77777777" w:rsidR="00B8778B" w:rsidRPr="006040B8" w:rsidRDefault="00B8778B" w:rsidP="00D365D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3E67105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Mean FL (cm)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A8A76A1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 SD</w:t>
            </w:r>
          </w:p>
        </w:tc>
      </w:tr>
      <w:tr w:rsidR="00B8778B" w:rsidRPr="006040B8" w14:paraId="3508BAE0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ADD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Age-0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EAE8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China Sea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B267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F761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158A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05AE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70A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</w:t>
            </w:r>
          </w:p>
        </w:tc>
      </w:tr>
      <w:tr w:rsidR="00B8778B" w:rsidRPr="006040B8" w14:paraId="5CD1B225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0F6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Age-0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B230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China Sea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A697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CFD0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3A0C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Nov-Dec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63E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A57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</w:t>
            </w:r>
          </w:p>
        </w:tc>
      </w:tr>
      <w:tr w:rsidR="00B8778B" w:rsidRPr="006040B8" w14:paraId="3A16D4EC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2DC6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Age-0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FA32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 of Japan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DFB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2A67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18E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Sep-Oct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9CA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5C82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</w:tr>
      <w:tr w:rsidR="00B8778B" w:rsidRPr="006040B8" w14:paraId="0F53688B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894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Age-0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D3F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 of Japan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EAB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B55C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6FF3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Jun-Oct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9BD7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436D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</w:t>
            </w:r>
          </w:p>
        </w:tc>
      </w:tr>
      <w:tr w:rsidR="00B8778B" w:rsidRPr="006040B8" w14:paraId="4D6D116B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5BF7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070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5AE2" w14:textId="77777777" w:rsidR="00B8778B" w:rsidRPr="006040B8" w:rsidRDefault="00B8778B" w:rsidP="00D365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73E7" w14:textId="77777777" w:rsidR="00B8778B" w:rsidRPr="006040B8" w:rsidRDefault="00B8778B" w:rsidP="00D365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6305" w14:textId="77777777" w:rsidR="00B8778B" w:rsidRPr="006040B8" w:rsidRDefault="00B8778B" w:rsidP="00D365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BA1" w14:textId="77777777" w:rsidR="00B8778B" w:rsidRPr="006040B8" w:rsidRDefault="00B8778B" w:rsidP="00D365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2026" w14:textId="77777777" w:rsidR="00B8778B" w:rsidRPr="006040B8" w:rsidRDefault="00B8778B" w:rsidP="00D365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78B" w:rsidRPr="006040B8" w14:paraId="4B8DEEC0" w14:textId="77777777" w:rsidTr="00D365DD">
        <w:trPr>
          <w:trHeight w:val="3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17E0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DCB1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China Sea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56EE" w14:textId="77777777" w:rsidR="00B8778B" w:rsidRPr="006040B8" w:rsidRDefault="00B8778B" w:rsidP="00D365D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C020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965" w14:textId="77777777" w:rsidR="00B8778B" w:rsidRPr="006040B8" w:rsidRDefault="00B8778B" w:rsidP="00D365D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F593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227.9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F919" w14:textId="77777777" w:rsidR="00B8778B" w:rsidRPr="006040B8" w:rsidRDefault="00B8778B" w:rsidP="00D365D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40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21.2</w:t>
            </w:r>
          </w:p>
        </w:tc>
      </w:tr>
    </w:tbl>
    <w:p w14:paraId="1F0D1E35" w14:textId="77777777" w:rsidR="00B8778B" w:rsidRDefault="00B8778B" w:rsidP="00B8778B"/>
    <w:p w14:paraId="554CA4A7" w14:textId="77777777" w:rsidR="00B8778B" w:rsidRDefault="00B8778B" w:rsidP="00B8778B">
      <w:r>
        <w:br w:type="page"/>
      </w:r>
    </w:p>
    <w:p w14:paraId="78558CDB" w14:textId="77777777" w:rsidR="00B8778B" w:rsidRDefault="00B8778B" w:rsidP="00B8778B">
      <w:pPr>
        <w:autoSpaceDE w:val="0"/>
        <w:autoSpaceDN w:val="0"/>
        <w:adjustRightInd w:val="0"/>
        <w:rPr>
          <w:rFonts w:cstheme="minorHAnsi"/>
          <w:color w:val="231F20"/>
          <w:sz w:val="22"/>
          <w:szCs w:val="22"/>
        </w:rPr>
      </w:pPr>
      <w:r w:rsidRPr="008609F8">
        <w:rPr>
          <w:rFonts w:cstheme="minorHAnsi"/>
          <w:b/>
          <w:sz w:val="22"/>
          <w:szCs w:val="22"/>
        </w:rPr>
        <w:lastRenderedPageBreak/>
        <w:t>Table S</w:t>
      </w:r>
      <w:r>
        <w:rPr>
          <w:rFonts w:cstheme="minorHAnsi"/>
          <w:b/>
          <w:sz w:val="22"/>
          <w:szCs w:val="22"/>
        </w:rPr>
        <w:t>2</w:t>
      </w:r>
      <w:r w:rsidRPr="008609F8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color w:val="231F20"/>
          <w:sz w:val="22"/>
          <w:szCs w:val="22"/>
        </w:rPr>
        <w:t xml:space="preserve">Summary statistics for the 56 </w:t>
      </w:r>
      <w:proofErr w:type="gramStart"/>
      <w:r>
        <w:rPr>
          <w:rFonts w:cstheme="minorHAnsi"/>
          <w:color w:val="231F20"/>
          <w:sz w:val="22"/>
          <w:szCs w:val="22"/>
        </w:rPr>
        <w:t>adult</w:t>
      </w:r>
      <w:proofErr w:type="gramEnd"/>
      <w:r w:rsidRPr="008609F8">
        <w:rPr>
          <w:rFonts w:cstheme="minorHAnsi"/>
          <w:color w:val="231F20"/>
          <w:sz w:val="22"/>
          <w:szCs w:val="22"/>
        </w:rPr>
        <w:t xml:space="preserve"> </w:t>
      </w:r>
      <w:r>
        <w:rPr>
          <w:rFonts w:cstheme="minorHAnsi"/>
          <w:color w:val="231F20"/>
          <w:sz w:val="22"/>
          <w:szCs w:val="22"/>
        </w:rPr>
        <w:t xml:space="preserve">Pacific bluefin tuna used to develop geochemical chronologies for changepoint analysis. Collection date, length </w:t>
      </w:r>
      <w:r w:rsidRPr="008609F8">
        <w:rPr>
          <w:rFonts w:cstheme="minorHAnsi"/>
          <w:color w:val="231F20"/>
          <w:sz w:val="22"/>
          <w:szCs w:val="22"/>
        </w:rPr>
        <w:t>(cm</w:t>
      </w:r>
      <w:r>
        <w:rPr>
          <w:rFonts w:cstheme="minorHAnsi"/>
          <w:color w:val="231F20"/>
          <w:sz w:val="22"/>
          <w:szCs w:val="22"/>
        </w:rPr>
        <w:t xml:space="preserve"> FL), weight (kg), latitude and longitude of capture location, and gender shown.  </w:t>
      </w:r>
    </w:p>
    <w:p w14:paraId="0509A6DF" w14:textId="77777777" w:rsidR="00B8778B" w:rsidRDefault="00B8778B" w:rsidP="00B8778B">
      <w:pPr>
        <w:autoSpaceDE w:val="0"/>
        <w:autoSpaceDN w:val="0"/>
        <w:adjustRightInd w:val="0"/>
        <w:rPr>
          <w:rFonts w:cstheme="minorHAnsi"/>
          <w:color w:val="231F20"/>
          <w:sz w:val="22"/>
          <w:szCs w:val="22"/>
        </w:rPr>
      </w:pPr>
    </w:p>
    <w:tbl>
      <w:tblPr>
        <w:tblW w:w="7945" w:type="dxa"/>
        <w:tblLook w:val="04A0" w:firstRow="1" w:lastRow="0" w:firstColumn="1" w:lastColumn="0" w:noHBand="0" w:noVBand="1"/>
      </w:tblPr>
      <w:tblGrid>
        <w:gridCol w:w="2291"/>
        <w:gridCol w:w="906"/>
        <w:gridCol w:w="1152"/>
        <w:gridCol w:w="1134"/>
        <w:gridCol w:w="791"/>
        <w:gridCol w:w="840"/>
        <w:gridCol w:w="831"/>
      </w:tblGrid>
      <w:tr w:rsidR="00B8778B" w:rsidRPr="00B4089F" w14:paraId="5335AB95" w14:textId="77777777" w:rsidTr="00D365DD">
        <w:trPr>
          <w:trHeight w:val="619"/>
        </w:trPr>
        <w:tc>
          <w:tcPr>
            <w:tcW w:w="2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5E536F7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Otolith number</w:t>
            </w:r>
          </w:p>
        </w:tc>
        <w:tc>
          <w:tcPr>
            <w:tcW w:w="9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41E8C3E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19B08FA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Length</w:t>
            </w:r>
            <w:r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25838A2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Weight</w:t>
            </w:r>
            <w:r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79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4257D28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Lat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3E33A4F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83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DB4E2"/>
            <w:vAlign w:val="center"/>
            <w:hideMark/>
          </w:tcPr>
          <w:p w14:paraId="5E4D36A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</w:tr>
      <w:tr w:rsidR="00B8778B" w:rsidRPr="00B4089F" w14:paraId="11BD235F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45EF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B78B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13595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57AD1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287.0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8D5B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C102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4318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7260ED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02BBB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945C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6063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9EEB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224.0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D7777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EBE5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A7D1B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3E2DDAE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4E79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635C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9A83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C67A1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149.0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62B08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D9C9D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DEA2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7C37289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4856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D6E1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5/8/17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56DB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6F6D1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8A9C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6078B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C279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7263C3CA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C074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14A3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5/13/17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9558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273.0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7320A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388.0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906E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BA4F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045CA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E7D505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5B1B1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2017-SO-093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2AFAD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5/15/17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E556C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F003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157.0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8E5D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7815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8CA1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4C0C13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7EC7E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6F32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5/16/17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A248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7822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9778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B299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84D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CE0AA8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C0436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68EB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5/17/17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FE33E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1A504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168.0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69D7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2D63D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F1A1F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BE8A4B5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BA0E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58111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5/22/17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5478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6A0A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112.0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EC605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F77F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122.48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B44B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311C30DE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3876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D3C9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5/24/17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B9C4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7BEE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182.0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2FBE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6CD4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DAFC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E003EA9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B8DE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CF241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966E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D2A6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141.0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B149CC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68DDC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108D0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453C5EF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70947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B6BA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C91E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6D86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A020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C890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50C99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308C7EF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D2E4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2017-SO-199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4319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2EDCE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E21A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CD36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8412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7A04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8A7DDE4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0766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FBBDC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CBCD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D5180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7F74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50DF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15B40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55A77099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8358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AD47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24965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A876A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C9FA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5082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77AFF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3B6C038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9788C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681DE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0034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B9FC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C6F7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D7648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F95A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CE5608A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F205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77C9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3C3C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9E2E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338.0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93D58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3425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489B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5B396362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58D9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58C4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3895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97B2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194.0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6036D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E1CE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8900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7ECB8E4B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A68B8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43AD9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670A6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763D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D249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087C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57A2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B6B8572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EBD9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B5A4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A390F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D238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181.0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48DD0B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4B12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D344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3BAEEAC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B57B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9086C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074B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9545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53D4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BFAE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250EF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8F68734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2FC0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B4D3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7E2B6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48C0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166.0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DA2F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B0D7A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F302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48B46B06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DC39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536B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8119E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B32F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701B15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BC22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122.13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5387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491DD33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7AA2B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02E2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75D7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8898A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185.0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45DDD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1A70C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92674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1B4966D8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FBA7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1C91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B567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81AD8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301.0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C30F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1F9B2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EC5D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B277731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FB395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D3CCB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284D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8E201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182.0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70F35C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34D95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23B3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5F4D5C1F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14592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AD42E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B621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E061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184.0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C40A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A9109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EF885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4A96FDC7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D4033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CAC7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1871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68046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D99B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FDBF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25CF8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3883E381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29AA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4C17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E5A7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1E44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EFEC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0548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8C3F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87CB4D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BABD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C717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9763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9C8B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191.0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6FEE8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DDFAF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2037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0AF86D6E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33763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A5C5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5/29/17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C653D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8A78A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44796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3897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122.00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C800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1B3A7BF6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AC31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C2B8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F3EA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3474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162.0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F1B0D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9868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4B279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371B8C2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2575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EAA8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71072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B9A7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D2800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87805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5348C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7A9F3A2A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B8A4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5B4A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FDD6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DB2D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3276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B0B2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D6EF1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DA11A44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87644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EDDE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34705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C5952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149.0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F7450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F9A7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75DCB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3DFE14EB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98EF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ED26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B95F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5BE1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167.0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A2E2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9780C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F0AC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6D10D72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7548E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B5F8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B7C3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A8B46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DA145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C0A35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47212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120256F1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FDB48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lastRenderedPageBreak/>
              <w:t>2017-SO-248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4021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D07B2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06DD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539F1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09F23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F0EA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557DD8F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E247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96C3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9D11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798B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AFFF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9C1B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123.80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F9DC1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B55A603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A524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43F7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4B7B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8B36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348.0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6908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2F09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4CC7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0DEA8707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E895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2017-SO-271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76EC8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CB36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C929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325.0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0E4C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048C8B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06E7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7BB20F6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4AD49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9D00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6/6/17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D61E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222.0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E17C7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198.0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1894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C0F4F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D40B1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27ABAAF8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EC7DD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59B4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275F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B36A4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306.0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1FE5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8623F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DCF7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2C831BCF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CAB72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1ECFA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6/7/17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CEC2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0BF93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176.0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3BE04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7D8AE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685A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202EA6A7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CEA58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FE46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6/8/17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B545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025B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370.0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F2A9BB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6627C8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0C3A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028F95E9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C136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071B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6/8/17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574E8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C4AB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309.0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C094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7BDF3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F7B0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AA0EBEA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6C15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5160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6/10/17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8BFEE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00D9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323.0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6098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7AE26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20AD3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7888CC74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77C4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7647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6/10/17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961DA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D0D4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330.0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4173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A92F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3B66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14811B7B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186BE9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0A78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6/13/17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57D6B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D5CB53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238.0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637F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E1902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123B7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982B600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07F4D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2017-SO-386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85D3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6/14/17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D6FB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3535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308.0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40E94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1226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124.20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0ACD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14A8B6CD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D034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490F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B28F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5EF9F8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89D6D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C1BAA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AE240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1F94ED28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7987E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0647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6/15/17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A189F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F500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340.0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FDBBDE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CE44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E4D37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0E8E90EF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AD78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AE7CD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6/20/17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B7F2E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B148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264.0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E5807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3E31B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C3F2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74392E3B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AE04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B4AF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6/20/17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744D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247.0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F8A98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282.0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D379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9ADD51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296CA0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F</w:t>
            </w:r>
          </w:p>
        </w:tc>
      </w:tr>
      <w:tr w:rsidR="00B8778B" w:rsidRPr="00B4089F" w14:paraId="6AB87132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AF943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66C94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6/22/17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05F1B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1D53AC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296.0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F9E30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473D3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C5512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  <w:tr w:rsidR="00B8778B" w:rsidRPr="00B4089F" w14:paraId="488C2E1E" w14:textId="77777777" w:rsidTr="00D365DD">
        <w:trPr>
          <w:trHeight w:val="291"/>
        </w:trPr>
        <w:tc>
          <w:tcPr>
            <w:tcW w:w="229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DB8D5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2017-SO-470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9237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6/23/17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220D6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289B5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306.0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9C808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25.41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BCE99" w14:textId="77777777" w:rsidR="00B8778B" w:rsidRPr="00B4089F" w:rsidRDefault="00B8778B" w:rsidP="00D365DD">
            <w:pPr>
              <w:jc w:val="right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125.45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18871" w14:textId="77777777" w:rsidR="00B8778B" w:rsidRPr="00B4089F" w:rsidRDefault="00B8778B" w:rsidP="00D365DD">
            <w:pPr>
              <w:jc w:val="center"/>
              <w:rPr>
                <w:rFonts w:ascii="Calibri" w:eastAsia="PMingLiU" w:hAnsi="Calibri" w:cs="Calibri"/>
                <w:sz w:val="20"/>
                <w:szCs w:val="20"/>
              </w:rPr>
            </w:pPr>
            <w:r w:rsidRPr="00B4089F">
              <w:rPr>
                <w:rFonts w:ascii="Calibri" w:eastAsia="PMingLiU" w:hAnsi="Calibri" w:cs="Calibri"/>
                <w:sz w:val="20"/>
                <w:szCs w:val="20"/>
              </w:rPr>
              <w:t>M</w:t>
            </w:r>
          </w:p>
        </w:tc>
      </w:tr>
    </w:tbl>
    <w:p w14:paraId="44D21149" w14:textId="77777777" w:rsidR="00B8778B" w:rsidRDefault="00B8778B" w:rsidP="00B8778B">
      <w:pPr>
        <w:autoSpaceDE w:val="0"/>
        <w:autoSpaceDN w:val="0"/>
        <w:adjustRightInd w:val="0"/>
        <w:rPr>
          <w:rFonts w:cstheme="minorHAnsi"/>
          <w:color w:val="231F20"/>
          <w:sz w:val="22"/>
          <w:szCs w:val="22"/>
        </w:rPr>
      </w:pPr>
    </w:p>
    <w:p w14:paraId="49EDF5EF" w14:textId="77777777" w:rsidR="00B8778B" w:rsidRDefault="00B8778B" w:rsidP="00B8778B"/>
    <w:p w14:paraId="4900B88D" w14:textId="77777777" w:rsidR="00B8778B" w:rsidRDefault="00B8778B" w:rsidP="00B8778B"/>
    <w:p w14:paraId="3BB4D430" w14:textId="77777777" w:rsidR="00B8778B" w:rsidRDefault="00B8778B" w:rsidP="00B8778B"/>
    <w:p w14:paraId="75B148CB" w14:textId="77777777" w:rsidR="00B8778B" w:rsidRDefault="00B8778B"/>
    <w:p w14:paraId="6D4CAD5E" w14:textId="77777777" w:rsidR="00B8778B" w:rsidRDefault="00B8778B"/>
    <w:p w14:paraId="77C6512A" w14:textId="77777777" w:rsidR="00B8778B" w:rsidRDefault="00B8778B"/>
    <w:p w14:paraId="2E0823C1" w14:textId="77777777" w:rsidR="00B8778B" w:rsidRDefault="00B8778B"/>
    <w:p w14:paraId="708B862A" w14:textId="77777777" w:rsidR="00B8778B" w:rsidRDefault="00B8778B"/>
    <w:p w14:paraId="23420924" w14:textId="77777777" w:rsidR="00B8778B" w:rsidRDefault="00B8778B"/>
    <w:p w14:paraId="4BA54A00" w14:textId="77777777" w:rsidR="00B8778B" w:rsidRDefault="00B8778B"/>
    <w:p w14:paraId="7AF54793" w14:textId="77777777" w:rsidR="00B8778B" w:rsidRDefault="00B8778B"/>
    <w:p w14:paraId="412F89EB" w14:textId="77777777" w:rsidR="00B8778B" w:rsidRDefault="00B8778B"/>
    <w:p w14:paraId="1A4F5563" w14:textId="77777777" w:rsidR="00B8778B" w:rsidRDefault="00B8778B"/>
    <w:p w14:paraId="3381748E" w14:textId="77777777" w:rsidR="00B8778B" w:rsidRDefault="00B8778B"/>
    <w:p w14:paraId="14A05012" w14:textId="77777777" w:rsidR="00B8778B" w:rsidRDefault="00B8778B"/>
    <w:p w14:paraId="744E196B" w14:textId="77777777" w:rsidR="00B8778B" w:rsidRDefault="00B8778B"/>
    <w:p w14:paraId="61FB3034" w14:textId="77777777" w:rsidR="00B8778B" w:rsidRDefault="00B8778B"/>
    <w:p w14:paraId="34DC8242" w14:textId="77777777" w:rsidR="00B8778B" w:rsidRDefault="00B8778B"/>
    <w:p w14:paraId="1D3CE2BD" w14:textId="77777777" w:rsidR="00B8778B" w:rsidRDefault="00B8778B"/>
    <w:p w14:paraId="17F75432" w14:textId="77777777" w:rsidR="00B8778B" w:rsidRDefault="00B8778B"/>
    <w:p w14:paraId="0A3D807E" w14:textId="77777777" w:rsidR="00B8778B" w:rsidRDefault="00B8778B"/>
    <w:p w14:paraId="15496304" w14:textId="77777777" w:rsidR="00B8778B" w:rsidRDefault="00B8778B"/>
    <w:p w14:paraId="5A97F766" w14:textId="4890B4A7" w:rsidR="001A4544" w:rsidRDefault="001A4544"/>
    <w:sectPr w:rsidR="001A4544" w:rsidSect="002D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88"/>
    <w:rsid w:val="0005364D"/>
    <w:rsid w:val="00054AE6"/>
    <w:rsid w:val="00065DCC"/>
    <w:rsid w:val="00096106"/>
    <w:rsid w:val="000A1650"/>
    <w:rsid w:val="000F0FC3"/>
    <w:rsid w:val="000F7281"/>
    <w:rsid w:val="000F72AC"/>
    <w:rsid w:val="00140E4F"/>
    <w:rsid w:val="00176501"/>
    <w:rsid w:val="001A0C96"/>
    <w:rsid w:val="001A4544"/>
    <w:rsid w:val="001A6109"/>
    <w:rsid w:val="001B28CD"/>
    <w:rsid w:val="001C2834"/>
    <w:rsid w:val="001C68CB"/>
    <w:rsid w:val="001D276F"/>
    <w:rsid w:val="001F4815"/>
    <w:rsid w:val="00247483"/>
    <w:rsid w:val="00260786"/>
    <w:rsid w:val="0026577A"/>
    <w:rsid w:val="002B3FC3"/>
    <w:rsid w:val="002D08C9"/>
    <w:rsid w:val="002D7396"/>
    <w:rsid w:val="00353307"/>
    <w:rsid w:val="00365B48"/>
    <w:rsid w:val="00380B22"/>
    <w:rsid w:val="00383935"/>
    <w:rsid w:val="0038756A"/>
    <w:rsid w:val="00392A76"/>
    <w:rsid w:val="0039728A"/>
    <w:rsid w:val="003B28E5"/>
    <w:rsid w:val="003C0E35"/>
    <w:rsid w:val="003E6402"/>
    <w:rsid w:val="00434F43"/>
    <w:rsid w:val="00477B13"/>
    <w:rsid w:val="004821EB"/>
    <w:rsid w:val="0048316C"/>
    <w:rsid w:val="00487C2E"/>
    <w:rsid w:val="004B4480"/>
    <w:rsid w:val="005374B6"/>
    <w:rsid w:val="0056278A"/>
    <w:rsid w:val="00572FA6"/>
    <w:rsid w:val="005E15CE"/>
    <w:rsid w:val="005E1B04"/>
    <w:rsid w:val="00602E18"/>
    <w:rsid w:val="006079C6"/>
    <w:rsid w:val="00623420"/>
    <w:rsid w:val="0063583A"/>
    <w:rsid w:val="006839D0"/>
    <w:rsid w:val="00692EAA"/>
    <w:rsid w:val="006A1CDB"/>
    <w:rsid w:val="006A503D"/>
    <w:rsid w:val="006F48F1"/>
    <w:rsid w:val="00737C09"/>
    <w:rsid w:val="00777061"/>
    <w:rsid w:val="00777982"/>
    <w:rsid w:val="007840CA"/>
    <w:rsid w:val="00792500"/>
    <w:rsid w:val="007B7F80"/>
    <w:rsid w:val="007C758B"/>
    <w:rsid w:val="007E1A9E"/>
    <w:rsid w:val="007E76E2"/>
    <w:rsid w:val="00816D96"/>
    <w:rsid w:val="008256A6"/>
    <w:rsid w:val="0082743A"/>
    <w:rsid w:val="0085296C"/>
    <w:rsid w:val="0085793B"/>
    <w:rsid w:val="00875D88"/>
    <w:rsid w:val="0088556D"/>
    <w:rsid w:val="008B0E03"/>
    <w:rsid w:val="008B2A1A"/>
    <w:rsid w:val="008E66A4"/>
    <w:rsid w:val="00920CD0"/>
    <w:rsid w:val="00927773"/>
    <w:rsid w:val="0096596A"/>
    <w:rsid w:val="009B608A"/>
    <w:rsid w:val="009D01B5"/>
    <w:rsid w:val="009D4507"/>
    <w:rsid w:val="009D5AD5"/>
    <w:rsid w:val="009F1FF7"/>
    <w:rsid w:val="00A00556"/>
    <w:rsid w:val="00A33D92"/>
    <w:rsid w:val="00A35A22"/>
    <w:rsid w:val="00A503AD"/>
    <w:rsid w:val="00A7518F"/>
    <w:rsid w:val="00A76B62"/>
    <w:rsid w:val="00A77CAA"/>
    <w:rsid w:val="00AA575B"/>
    <w:rsid w:val="00AB2A48"/>
    <w:rsid w:val="00AC3358"/>
    <w:rsid w:val="00B1467D"/>
    <w:rsid w:val="00B168E3"/>
    <w:rsid w:val="00B30DAB"/>
    <w:rsid w:val="00B43C0A"/>
    <w:rsid w:val="00B50AA4"/>
    <w:rsid w:val="00B64D80"/>
    <w:rsid w:val="00B8778B"/>
    <w:rsid w:val="00B878ED"/>
    <w:rsid w:val="00B93924"/>
    <w:rsid w:val="00BB6FFB"/>
    <w:rsid w:val="00BD2494"/>
    <w:rsid w:val="00BE256E"/>
    <w:rsid w:val="00BF7A76"/>
    <w:rsid w:val="00C106A2"/>
    <w:rsid w:val="00C33C0D"/>
    <w:rsid w:val="00C739AC"/>
    <w:rsid w:val="00CA561B"/>
    <w:rsid w:val="00CA7BE1"/>
    <w:rsid w:val="00CD09A6"/>
    <w:rsid w:val="00CD46D5"/>
    <w:rsid w:val="00CF7956"/>
    <w:rsid w:val="00D01F31"/>
    <w:rsid w:val="00D243D7"/>
    <w:rsid w:val="00D32474"/>
    <w:rsid w:val="00D3276B"/>
    <w:rsid w:val="00D522DA"/>
    <w:rsid w:val="00D844A9"/>
    <w:rsid w:val="00D97916"/>
    <w:rsid w:val="00DA49FD"/>
    <w:rsid w:val="00DD4AF5"/>
    <w:rsid w:val="00E149E1"/>
    <w:rsid w:val="00E16D7C"/>
    <w:rsid w:val="00E204B7"/>
    <w:rsid w:val="00E56F80"/>
    <w:rsid w:val="00E80990"/>
    <w:rsid w:val="00E80CEE"/>
    <w:rsid w:val="00E817D7"/>
    <w:rsid w:val="00EA18B1"/>
    <w:rsid w:val="00EA2735"/>
    <w:rsid w:val="00EE22B3"/>
    <w:rsid w:val="00EE623A"/>
    <w:rsid w:val="00EF16D0"/>
    <w:rsid w:val="00F117D6"/>
    <w:rsid w:val="00F4356F"/>
    <w:rsid w:val="00F83B07"/>
    <w:rsid w:val="00FD1E15"/>
    <w:rsid w:val="00FD5DCF"/>
    <w:rsid w:val="00FE0399"/>
    <w:rsid w:val="00FE49D4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97167"/>
  <w15:chartTrackingRefBased/>
  <w15:docId w15:val="{718972AF-D739-7D4F-BAD2-B46A3D6C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5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6D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D97916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916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Jay Rooker</cp:lastModifiedBy>
  <cp:revision>3</cp:revision>
  <dcterms:created xsi:type="dcterms:W3CDTF">2021-02-02T19:36:00Z</dcterms:created>
  <dcterms:modified xsi:type="dcterms:W3CDTF">2021-02-04T16:02:00Z</dcterms:modified>
</cp:coreProperties>
</file>