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ECC3" w14:textId="77777777" w:rsidR="00B41A2B" w:rsidRDefault="00B41A2B" w:rsidP="00B41A2B">
      <w:pPr>
        <w:spacing w:line="480" w:lineRule="auto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EFE885" wp14:editId="16B805F8">
            <wp:extent cx="7753999" cy="46863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32" cy="46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D951" w14:textId="77777777" w:rsidR="00B41A2B" w:rsidRDefault="00B41A2B" w:rsidP="00B41A2B">
      <w:pPr>
        <w:pStyle w:val="Caption"/>
        <w:keepNext/>
      </w:pPr>
      <w:r>
        <w:t>Additional figure 2 – proportion of participants with inappropriate GWG stratified by BMI category</w:t>
      </w:r>
    </w:p>
    <w:p w14:paraId="28EBD0D3" w14:textId="77777777" w:rsidR="00525182" w:rsidRDefault="00525182"/>
    <w:sectPr w:rsidR="00525182" w:rsidSect="00B41A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2B"/>
    <w:rsid w:val="00525182"/>
    <w:rsid w:val="00B41A2B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444F"/>
  <w15:chartTrackingRefBased/>
  <w15:docId w15:val="{214DA488-568F-4486-9994-80746A57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41A2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2022-09-25T22:14:00Z</dcterms:created>
  <dcterms:modified xsi:type="dcterms:W3CDTF">2022-09-25T22:15:00Z</dcterms:modified>
</cp:coreProperties>
</file>