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A48" w:rsidRPr="00F77A3C" w:rsidRDefault="002D3A48" w:rsidP="002D3A48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77A3C">
        <w:rPr>
          <w:rFonts w:ascii="Arial" w:hAnsi="Arial" w:cs="Arial"/>
          <w:b/>
          <w:bCs/>
          <w:sz w:val="24"/>
          <w:szCs w:val="24"/>
        </w:rPr>
        <w:t>Supplementary material</w:t>
      </w:r>
    </w:p>
    <w:p w:rsidR="002D3A48" w:rsidRPr="00F77A3C" w:rsidRDefault="002D3A48" w:rsidP="002D3A48">
      <w:pPr>
        <w:spacing w:after="0"/>
        <w:rPr>
          <w:rFonts w:ascii="Arial" w:hAnsi="Arial" w:cs="Arial"/>
          <w:sz w:val="24"/>
          <w:szCs w:val="24"/>
        </w:rPr>
      </w:pPr>
    </w:p>
    <w:p w:rsidR="002D3A48" w:rsidRPr="00F77A3C" w:rsidRDefault="002D3A48" w:rsidP="002D3A48">
      <w:pPr>
        <w:spacing w:after="0"/>
        <w:rPr>
          <w:rFonts w:ascii="Arial" w:hAnsi="Arial" w:cs="Arial"/>
          <w:sz w:val="24"/>
          <w:szCs w:val="24"/>
        </w:rPr>
      </w:pPr>
    </w:p>
    <w:p w:rsidR="002D3A48" w:rsidRDefault="002D3A48" w:rsidP="002D3A48">
      <w:pPr>
        <w:spacing w:after="0"/>
        <w:rPr>
          <w:rFonts w:ascii="Arial" w:hAnsi="Arial" w:cs="Arial"/>
          <w:sz w:val="24"/>
          <w:szCs w:val="24"/>
        </w:rPr>
      </w:pPr>
      <w:r w:rsidRPr="00F77A3C">
        <w:rPr>
          <w:rFonts w:ascii="Arial" w:hAnsi="Arial" w:cs="Arial"/>
          <w:b/>
          <w:bCs/>
          <w:sz w:val="24"/>
          <w:szCs w:val="24"/>
        </w:rPr>
        <w:t>Supplementary Table 1.</w:t>
      </w:r>
      <w:r w:rsidRPr="00F77A3C">
        <w:rPr>
          <w:rFonts w:ascii="Arial" w:hAnsi="Arial" w:cs="Arial"/>
          <w:sz w:val="24"/>
          <w:szCs w:val="24"/>
        </w:rPr>
        <w:t xml:space="preserve"> NOGGO MONITOR 24 Questionnaire.  </w:t>
      </w:r>
    </w:p>
    <w:p w:rsidR="002D3A48" w:rsidRDefault="002D3A48" w:rsidP="002D3A48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CellMar>
          <w:bottom w:w="198" w:type="dxa"/>
        </w:tblCellMar>
        <w:tblLook w:val="04A0" w:firstRow="1" w:lastRow="0" w:firstColumn="1" w:lastColumn="0" w:noHBand="0" w:noVBand="1"/>
      </w:tblPr>
      <w:tblGrid>
        <w:gridCol w:w="439"/>
        <w:gridCol w:w="4376"/>
        <w:gridCol w:w="4247"/>
      </w:tblGrid>
      <w:tr w:rsidR="002D3A48" w:rsidRPr="00FA5D19" w:rsidTr="00990B8E">
        <w:tc>
          <w:tcPr>
            <w:tcW w:w="439" w:type="dxa"/>
            <w:shd w:val="clear" w:color="auto" w:fill="F2F2F2" w:themeFill="background1" w:themeFillShade="F2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76" w:type="dxa"/>
            <w:shd w:val="clear" w:color="auto" w:fill="F2F2F2" w:themeFill="background1" w:themeFillShade="F2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5D19">
              <w:rPr>
                <w:rFonts w:ascii="Arial" w:hAnsi="Arial" w:cs="Arial"/>
                <w:b/>
                <w:bCs/>
                <w:sz w:val="20"/>
                <w:szCs w:val="20"/>
              </w:rPr>
              <w:t>English translation</w:t>
            </w:r>
          </w:p>
        </w:tc>
        <w:tc>
          <w:tcPr>
            <w:tcW w:w="4247" w:type="dxa"/>
            <w:shd w:val="clear" w:color="auto" w:fill="F2F2F2" w:themeFill="background1" w:themeFillShade="F2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A5D19">
              <w:rPr>
                <w:rFonts w:ascii="Arial" w:hAnsi="Arial" w:cs="Arial"/>
                <w:b/>
                <w:bCs/>
                <w:sz w:val="20"/>
                <w:szCs w:val="20"/>
              </w:rPr>
              <w:t>German original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Sex: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Female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Male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Diverse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Was ist Ihr Geschlecht?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Weiblich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Männlich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Divers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How old are you?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&lt; 30 years old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- 30-40 years old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- 41-50 years old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- 51-60 years old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&gt; 60 years old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Wie alt sind Sie?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&lt; 30 Jahre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- 30-40 Jahre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- 41-50 Jahre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- 51-60 Jahre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&gt; 60 Jahre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In which state do you live in Germany?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In welchem Bundesland arbeiten Sie?   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is your specialty?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Gynecology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Radiology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- Other (please name your specialty):  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Welcher Fachrichtung gehören Sie an?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Gynäkologie</w:t>
            </w:r>
          </w:p>
          <w:p w:rsidR="002D3A48" w:rsidRPr="00FA5D19" w:rsidRDefault="002D3A48" w:rsidP="00990B8E">
            <w:pPr>
              <w:spacing w:before="12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Radiologie</w:t>
            </w:r>
          </w:p>
          <w:p w:rsidR="002D3A48" w:rsidRPr="00FA5D19" w:rsidRDefault="002D3A48" w:rsidP="00990B8E">
            <w:pPr>
              <w:spacing w:before="12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Sonstiges (bitte angeben):</w:t>
            </w:r>
            <w:r w:rsidRPr="00FA5D1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department are you working in? (Multiple choice possible)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University hospital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- Academic hospital 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Hospital without academic affiliation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Practice / outpatient clinic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Mammography screening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In welcher Einrichtung arbeiten Sie? (Mehrfachauswahl möglich)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Universitätsklinik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Akademisches Lehrkrankenhaus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Krankenhaus ohne Lehrauftrag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Praxis / MVZ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Mammographie-Screening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is position?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Specialty trainee / Resident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Specialist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(Chief) Senior Physician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Head of Department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In welcher Funktion sind Sie tätig?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Assistenzärztin / Assistenzarzt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Fachärztin / Facharzt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(Leitende) Oberärztin / (Leitender) Oberarzt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Chefärztin / Chefarzt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Is your department part of a certified breast cancer center?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Ist Ihre Einrichtung Teil eines zertifizierten Brustkrebszentrums?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lastRenderedPageBreak/>
              <w:t>8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How many breast cancer patients are treated at your department per year?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&lt; 100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- 100-200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- 201-300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- 301-400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&gt; 400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Not applicable, my department conducts only diagnostics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Wie viele Patientinnen mit Mammakarzinom werden in Ihrer Einrichtung pro Jahr behandelt?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&lt; 100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- 100-200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- 201-300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- 301-400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&gt; 400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Nichtzutreffend, meine Einrichtung führt ausschließlich Diagnostik durch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Do you or one of your co-workers have a DEGUM (German Society of Breast Ultrasound in Medicine) breast ultrasound certification? If yes, which is the highest DEGUM certification level in your department?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No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Yes, DEGUM I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 Yes, DEGUM II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  <w:lang w:val="pl-PL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  <w:lang w:val="pl-PL"/>
              </w:rPr>
              <w:t>- Yes, DEGUM III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Sind Sie bzw. Ihre Mitarbeiter als DEGUM-Stufeninhaber Mammasonographie zertifiziert? Wenn ja, geben Sie die höchste DEGUM-Stufe an, die in Ihrer Abteilung vorhanden ist.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DEGUM-Stufe I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DEGUM-Stufe II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DEGUM-Stufe III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When do you perform SLNB in cN0 patients and recommendation for NACT?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- Always before NACT 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Always after NACT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Both before and after NACT, depending on the individual case: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factors influence your decision? _______________________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Wann führen Sie die Sentinel-Lymphonodektomie bei cN0-Patientinnen und Indikation zur neoadjuvanten Chemotherapie (NACT) durch?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Immer vor der NACT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Immer nach der NACT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Sowohl vor als auch nach der NACT: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Von welchen Faktoren machen Sie es abhängig? ___________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therapy do you recommend patients with micrometastasis in the sentinel node after NACT?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     No further axillary therapy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     Axillary radiation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     Axillary lymph node dissection (ALND)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Welches Vorgehen empfehlen Sie jenen initial cN0-Patientinnen, bei denen die Sentinel-Lymphonodektomie </w:t>
            </w:r>
            <w:r w:rsidRPr="00FA5D1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nach</w:t>
            </w: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 der NACT eine Mikrometastasierung ergab (ypN1mi)?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Keine weitere axilläre Therapie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Radiatio der Axilla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Axilladissektion (ALND)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Do you recommend cN+ patients a minimally invasive confirmation of lymph node status?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always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but not in all patients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Empfehlen Sie den cN+ Patientinnen eine minimal-invasive Sicherung der Lymphknotenmetastasierung?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Nein 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Ja, immer  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Ja, aber nicht bei allen Patientinnen    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lastRenderedPageBreak/>
              <w:t>13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In which setting would you NOT perform or recommend a minimally invasive node biopsy in a cN+ patient? (multiple choice)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Unequivocally positive node status upon imaging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High axillary tumor load (e.g., level I to III)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At least 2 highly suspicious nodes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At least 4 highly suspicious nodes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Other, please specify: 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In welcher Situation würden Sie bei cN+ Status KEINE minimal-invasive Sicherung der Lymphknoten durchführen bzw. empfehlen? (Mehrfachantwort möglich)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Bildgebend eindeutiger Nodalbefall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Sehr ausgeprägter Nodalbefall (z.B. Level I-III)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Mindestens 2 hochsuspekte Lymphknoten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Mindestens 4 hochsuspekte Lymphknoten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Andere, welche: ___________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technique of minimally invasive biopsy do you usually perform?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Core biopsy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Fine needle aspiration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I do not perform minimally invasive biopsies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Welche Technik der minimal-invasiven Sicherung der Lymphknoten führen Sie am häufigsten durch?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Stanzbiopsie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Feinnadelaspiration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Ich führe keine minimal-invasiven Biopsien durch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axillary staging technique do you recommend</w:t>
            </w:r>
            <w:r>
              <w:rPr>
                <w:rFonts w:ascii="Arial" w:hAnsi="Arial" w:cs="Arial"/>
                <w:sz w:val="20"/>
                <w:szCs w:val="20"/>
              </w:rPr>
              <w:t xml:space="preserve"> for</w:t>
            </w:r>
            <w:r w:rsidRPr="00FA5D1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A5D19">
              <w:rPr>
                <w:rFonts w:ascii="Arial" w:hAnsi="Arial" w:cs="Arial"/>
                <w:sz w:val="20"/>
                <w:szCs w:val="20"/>
                <w:u w:val="single"/>
              </w:rPr>
              <w:t>most</w:t>
            </w:r>
            <w:r w:rsidRPr="00FA5D19">
              <w:rPr>
                <w:rFonts w:ascii="Arial" w:hAnsi="Arial" w:cs="Arial"/>
                <w:sz w:val="20"/>
                <w:szCs w:val="20"/>
              </w:rPr>
              <w:t xml:space="preserve"> of your cN+ patients converting to ycN0 status?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Axillary lymph node dissection (ALND)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Targeted axillary dissection (TAD)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Sentinel lymph node biopsy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Target</w:t>
            </w:r>
            <w:r>
              <w:rPr>
                <w:rFonts w:ascii="Arial" w:hAnsi="Arial" w:cs="Arial"/>
                <w:sz w:val="20"/>
                <w:szCs w:val="20"/>
              </w:rPr>
              <w:t>ed</w:t>
            </w:r>
            <w:r w:rsidRPr="00FA5D19">
              <w:rPr>
                <w:rFonts w:ascii="Arial" w:hAnsi="Arial" w:cs="Arial"/>
                <w:sz w:val="20"/>
                <w:szCs w:val="20"/>
              </w:rPr>
              <w:t xml:space="preserve"> lymph node biopsy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Welche Form der Axilla-Operation empfehlen Sie den </w:t>
            </w:r>
            <w:r w:rsidRPr="00FA5D1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meisten</w:t>
            </w: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 initial cN+ Patientinnen, die unter der neoadjuvanten Therapie zum ycN0-Status konvertieren?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Axilladissektion (ALND)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Targeted axillary dissection (TAD = Entfernung des Target-Lymphknotens und des Sentinel-Lymphknotens)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Nur Sentinel-Lymphonodektomie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Nur Entfernung des Target-Lymphknotens  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How much experience does your department have with targeted axillary dissection?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I have never heard of this technique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I have heard of this technique, but it is not used in my department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TAD is used in my department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Wieviel Erfahrung gibt es in Ihrer Einrichtung mit der Targeted axillary dissection?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color w:val="00B0F0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Ich habe von dieser Technik noch nie gehört. </w:t>
            </w:r>
            <w:r w:rsidRPr="00FA5D19">
              <w:rPr>
                <w:rFonts w:ascii="Arial" w:eastAsia="Times New Roman" w:hAnsi="Arial" w:cs="Arial"/>
                <w:i/>
                <w:iCs/>
                <w:color w:val="00B0F0"/>
                <w:sz w:val="20"/>
                <w:szCs w:val="20"/>
              </w:rPr>
              <w:tab/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Ich habe von dieser Technik gehört, sie wird aber in meiner Einrichtung nicht verwendet.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In meiner Einrichtung wird diese Technik verwendet. 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How many TAD procedures have been performed in your department so far?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&lt; 30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≥ 30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Wie viele TAD-Operationen wurden in Ihrer Einrichtung bereits durchgeführt?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&lt; 30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≥ 30</w:t>
            </w:r>
          </w:p>
        </w:tc>
      </w:tr>
      <w:tr w:rsidR="002D3A48" w:rsidRPr="00D9536F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Do you offer TAD to all or only selected cN+ → ycN0 patients?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All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lastRenderedPageBreak/>
              <w:t>- Selected: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factors influence your decision? __________________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Bieten Sie die TAD allen oder nur ausgewählten cN+ → ycN0 Patientinnen an?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Allen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- Nur ausgewählten: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Von welchen Faktoren hängt Ihre Entscheidung ab?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______________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lastRenderedPageBreak/>
              <w:t>19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Do you recommend lymph node marking to your cN+ patients before NACT?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to all patients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- Yes, to selected patients: 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factors influence your decision? __________________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Empfehlen Sie Ihren cN+ Patientinnen eine Lymphknoten-Markierung vor Beginn der neoadjuvanten Chemotherapie?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allen Patientinnen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ausgewählten Patientinnen:</w:t>
            </w:r>
          </w:p>
          <w:p w:rsidR="002D3A48" w:rsidRPr="00D9536F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Von welchen Faktoren hängt Ihre Entscheidung ab?  ___________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Does your department participate in the AXSANA EUBREAST-3 study?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already registered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study participation planned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Nehmen Sie an der AXSANA-Studie teil?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bereits angemeldet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geplant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marking technique do you currently use?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Ink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Magnetic seeds (e.g., MagSeed)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Radioactive seeds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RFID Tags (Radiofrequency marker, e.g., LOCalizer)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Radar-based markers (e.g., SaviScout)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Clips/Coils: which type exactly? 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Welche Lymphknoten-Markierungstechnik verwenden Sie derzeit?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Farbstoff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color w:val="00B0F0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Magnetische Seeds (z.B. MagSeed)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Radioaktive Seeds</w:t>
            </w:r>
            <w:r w:rsidRPr="00FA5D19">
              <w:rPr>
                <w:rFonts w:ascii="Arial" w:eastAsia="Times New Roman" w:hAnsi="Arial" w:cs="Arial"/>
                <w:sz w:val="20"/>
                <w:szCs w:val="20"/>
              </w:rPr>
              <w:tab/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color w:val="00B0F0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RFID Tags (Radiofrequenz-Marker, z.B. LOCalizer) 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color w:val="00B0F0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Radar-basierte Marker (z.B. Savi Scout)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hAnsi="Arial" w:cs="Arial"/>
                <w:i/>
                <w:iCs/>
                <w:color w:val="00B0F0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Clip/Coil: welche genau?   ___________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When do you mark lymph nodes?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At time of minimally invasive biopsy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After the histological/cytological report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Both at time of minimally invasive biopsy and after the histological/cytological report: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factors influence your decision? __________________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Wann markieren Sie den/die Lymphknoten?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Im Rahmen der histologischen Sicherung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Nach Erhalt des zytologischen/histologischen Befundes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Unterschiedlich, sowohl im Rahmen der Biopsie als auch nach Erhalt des Befundes: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Von welchen Faktoren hängt Ihre Entscheidung ab?</w:t>
            </w:r>
            <w:r w:rsidRPr="00FA5D19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  </w:t>
            </w: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___________</w:t>
            </w:r>
            <w:r w:rsidRPr="00FA5D19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 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How many lymph nodes do you mark, if more then one node is suspicious?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One node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Two nodes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Three or more nodes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Depends on other factors: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Which factors influence your decision? __________________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Wie viele Lymphknoten markieren Sie, wenn mehrere Lymphknoten suspekt sind?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Einen Lymphknoten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Zwei Lymphknoten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Drei oder mehr Lymphknoten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Unterschiedlich: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Von welchen Faktoren hängt Ihre Entscheidung ab?  ___________</w:t>
            </w:r>
            <w:r w:rsidRPr="00FA5D19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 xml:space="preserve">  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lastRenderedPageBreak/>
              <w:t>24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How good is the detection rate of the marker you use?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Very good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Good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Satisfactory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Unsatisfactory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Wie schätzen Sie die Detektionsrate des von Ihnen verwendeten Markers ein?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Sehr gut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Gut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Befriedigend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Nicht zufriedenstellend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Has it occurred in your department that a marker has not been retrieved during TAD or ALND (“Lost marker”)?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but a postoperative imaging was not performed, so it remains unclear whether the marker is still in the patient or not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 xml:space="preserve">- Yes, and postoperative imaging was performed: Which imaging and what was the result? </w:t>
            </w: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__________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Ist es in Ihrer Einrichtung schon mal vorgekommen, dass der Marker während der TAD bzw. ALND nicht entfernt wurde („Lost Marker“)?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es wurde aber keine postoperative Bildgebung veranlasst, sodass unklar bleibt, ob sich der Marker noch im Körper der Patientin befindet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 und es wurde postoperativ weitere Bildgebung veranlasst: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Welche und was hat sie ergeben?   ___________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What did you recommend this patient?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Another surgery/intervention to retrieve marker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 further surgery/intervention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Not applicable (no marker in patient’s body)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Was haben Sie der Patientin empfohlen?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 xml:space="preserve">- Eine erneute Operation/Intervention, um den Marker zu entfernen. 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Keine erneute Operation/Intervention.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Trifft nicht zu (kein verbliebener Marker).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Do you perform frozen section of target and sentinel lymph node(s)?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Not applicable (my department performs diagnostics only)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Veranlassen Sie während der TAD eine intraoperative Schnellschnittuntersuchung des Target- und Sentinel-Lymphknotens?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Trifft nicht zu (in meiner Einrichtung wird ausschließlich Diagnostik durchgeführt)</w:t>
            </w:r>
          </w:p>
        </w:tc>
      </w:tr>
      <w:tr w:rsidR="002D3A48" w:rsidRPr="00FA5D19" w:rsidTr="00990B8E">
        <w:tc>
          <w:tcPr>
            <w:tcW w:w="9062" w:type="dxa"/>
            <w:gridSpan w:val="3"/>
            <w:shd w:val="clear" w:color="auto" w:fill="F2F2F2" w:themeFill="background1" w:themeFillShade="F2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D9536F">
              <w:rPr>
                <w:rFonts w:ascii="Arial" w:hAnsi="Arial" w:cs="Arial"/>
                <w:sz w:val="20"/>
                <w:szCs w:val="20"/>
                <w:lang w:val="en-US"/>
              </w:rPr>
              <w:t>To be answered only by participants using clip/coils: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28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How do you localize target lymph nodes pre- and intraoperatively? (multiple choice)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Preoperative wire localization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Intraoperative ultrasound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 specific localization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Other, which: 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Wie lokalisieren Sie den Target-Lymphknoten prä- bzw. intraoperativ? (Mehrfachantwort möglich)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Präoperative Drahtlokalisation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Intraoperative Sonographie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Keine gezielte Lokalisation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Andere, welche: ___________</w:t>
            </w:r>
          </w:p>
        </w:tc>
      </w:tr>
      <w:tr w:rsidR="002D3A48" w:rsidRPr="00FA5D19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If the clip/coil cannot be visualized upon ultrasound, do you recommend any other form of localization?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lastRenderedPageBreak/>
              <w:t>- No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which: ________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Wenn Sie den Clip/Coil präoperativ sonographisch nicht darstellen können, </w:t>
            </w:r>
            <w:r w:rsidRPr="00FA5D1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veranlassen Sie eine andere Form der Lokalisation?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welche: ___________</w:t>
            </w:r>
          </w:p>
        </w:tc>
      </w:tr>
      <w:tr w:rsidR="002D3A48" w:rsidRPr="00FA5D19" w:rsidTr="00990B8E">
        <w:tc>
          <w:tcPr>
            <w:tcW w:w="9062" w:type="dxa"/>
            <w:gridSpan w:val="3"/>
            <w:shd w:val="clear" w:color="auto" w:fill="F2F2F2" w:themeFill="background1" w:themeFillShade="F2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D9536F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To be answered only by participants using magnetic, radar and radiofrequency markers: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If you performed breast MRI in one or more patients between node marking with a magnetic, radar or radiofrequency marker and surgery, did artifacts occur?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I have not performed breast MRI after marking in any of my patients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Falls Sie bei einer oder mehreren Ihrer Patientinnen zwischen der Lymphknoten-Markierung mit magnetischem Seed, Radar-Marker oder Radiofrequenz-Marker und der Operation ein Mamma-MRT durchgeführt haben, kam es dabei zu MR-Artefakten?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Ich habe bisher bei keiner meiner Patientinnen ein Mamma-MRT nach der Markierung durchgeführt</w:t>
            </w:r>
          </w:p>
        </w:tc>
      </w:tr>
      <w:tr w:rsidR="002D3A48" w:rsidRPr="00353858" w:rsidTr="00990B8E">
        <w:tc>
          <w:tcPr>
            <w:tcW w:w="439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4376" w:type="dxa"/>
          </w:tcPr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Was the assessment of breast MRI and evaluation of the clinical question limited due to artifacts?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strongly limited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Yes, somewhat limited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</w:t>
            </w:r>
          </w:p>
          <w:p w:rsidR="002D3A48" w:rsidRPr="00FA5D19" w:rsidRDefault="002D3A48" w:rsidP="00990B8E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FA5D19">
              <w:rPr>
                <w:rFonts w:ascii="Arial" w:hAnsi="Arial" w:cs="Arial"/>
                <w:sz w:val="20"/>
                <w:szCs w:val="20"/>
              </w:rPr>
              <w:t>- Not applicable (no breast MRI performed, or no artifacts produced)</w:t>
            </w:r>
          </w:p>
        </w:tc>
        <w:tc>
          <w:tcPr>
            <w:tcW w:w="4247" w:type="dxa"/>
          </w:tcPr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War die Beurteilbarkeit des Mamma-MRT und die Beantwortung Ihrer Fragestellung durch die Artefakte eingeschränkt?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stark eingeschränkt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Ja, etwas eingeschränkt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Nein</w:t>
            </w:r>
          </w:p>
          <w:p w:rsidR="002D3A48" w:rsidRPr="00FA5D19" w:rsidRDefault="002D3A48" w:rsidP="00990B8E">
            <w:pPr>
              <w:pStyle w:val="bodytext"/>
              <w:spacing w:before="120" w:beforeAutospacing="0" w:after="0" w:line="240" w:lineRule="auto"/>
              <w:ind w:left="0"/>
              <w:rPr>
                <w:rFonts w:ascii="Arial" w:eastAsia="Times New Roman" w:hAnsi="Arial" w:cs="Arial"/>
                <w:sz w:val="20"/>
                <w:szCs w:val="20"/>
              </w:rPr>
            </w:pPr>
            <w:r w:rsidRPr="00FA5D19">
              <w:rPr>
                <w:rFonts w:ascii="Arial" w:eastAsia="Times New Roman" w:hAnsi="Arial" w:cs="Arial"/>
                <w:sz w:val="20"/>
                <w:szCs w:val="20"/>
              </w:rPr>
              <w:t>- Trifft nicht zu (kein Mamma-MRT oder keine Artefakte entstanden)</w:t>
            </w:r>
          </w:p>
        </w:tc>
      </w:tr>
    </w:tbl>
    <w:p w:rsidR="002D3A48" w:rsidRDefault="002D3A48" w:rsidP="002D3A48">
      <w:pPr>
        <w:spacing w:after="0"/>
        <w:rPr>
          <w:rFonts w:ascii="Arial" w:hAnsi="Arial" w:cs="Arial"/>
          <w:sz w:val="24"/>
          <w:szCs w:val="24"/>
          <w:lang w:val="de-DE"/>
        </w:rPr>
      </w:pPr>
    </w:p>
    <w:p w:rsidR="002D3A48" w:rsidRPr="009C1E50" w:rsidRDefault="002D3A48" w:rsidP="002D3A48">
      <w:pPr>
        <w:spacing w:after="0"/>
        <w:rPr>
          <w:rFonts w:ascii="Arial" w:hAnsi="Arial" w:cs="Arial"/>
          <w:b/>
          <w:bCs/>
          <w:lang w:val="de-DE"/>
        </w:rPr>
      </w:pPr>
    </w:p>
    <w:p w:rsidR="002D3A48" w:rsidRPr="009C1E50" w:rsidRDefault="002D3A48" w:rsidP="002D3A48">
      <w:pPr>
        <w:spacing w:after="0"/>
        <w:rPr>
          <w:rFonts w:ascii="Arial" w:hAnsi="Arial" w:cs="Arial"/>
          <w:b/>
          <w:bCs/>
          <w:lang w:val="de-DE"/>
        </w:rPr>
      </w:pPr>
    </w:p>
    <w:p w:rsidR="002D3A48" w:rsidRPr="009C1E50" w:rsidRDefault="002D3A48" w:rsidP="002D3A48">
      <w:pPr>
        <w:rPr>
          <w:rFonts w:ascii="Arial" w:hAnsi="Arial" w:cs="Arial"/>
          <w:b/>
          <w:bCs/>
          <w:sz w:val="24"/>
          <w:szCs w:val="24"/>
          <w:lang w:val="de-DE"/>
        </w:rPr>
      </w:pPr>
      <w:r w:rsidRPr="009C1E50">
        <w:rPr>
          <w:rFonts w:ascii="Arial" w:hAnsi="Arial" w:cs="Arial"/>
          <w:b/>
          <w:bCs/>
          <w:sz w:val="24"/>
          <w:szCs w:val="24"/>
          <w:lang w:val="de-DE"/>
        </w:rPr>
        <w:br w:type="page"/>
      </w:r>
    </w:p>
    <w:p w:rsidR="002D3A48" w:rsidRPr="00353858" w:rsidRDefault="002D3A48" w:rsidP="002D3A48">
      <w:pPr>
        <w:spacing w:after="0" w:line="360" w:lineRule="auto"/>
        <w:jc w:val="both"/>
        <w:rPr>
          <w:rFonts w:ascii="Arial" w:hAnsi="Arial" w:cs="Arial"/>
          <w:b/>
          <w:bCs/>
          <w:lang w:val="de-DE"/>
        </w:rPr>
      </w:pPr>
    </w:p>
    <w:p w:rsidR="002D3A48" w:rsidRDefault="002D3A48" w:rsidP="002D3A48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Supplementary Table 2. </w:t>
      </w:r>
      <w:r>
        <w:rPr>
          <w:rFonts w:ascii="Arial" w:hAnsi="Arial" w:cs="Arial"/>
          <w:sz w:val="24"/>
          <w:szCs w:val="24"/>
        </w:rPr>
        <w:t xml:space="preserve">Current approach to axillary treatment in cN0 patients in the neoadjuvant setting.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1979"/>
      </w:tblGrid>
      <w:tr w:rsidR="002D3A48" w:rsidRPr="0050410D" w:rsidTr="00990B8E">
        <w:tc>
          <w:tcPr>
            <w:tcW w:w="7083" w:type="dxa"/>
          </w:tcPr>
          <w:p w:rsidR="002D3A48" w:rsidRPr="0050410D" w:rsidRDefault="002D3A48" w:rsidP="00990B8E">
            <w:pPr>
              <w:rPr>
                <w:rFonts w:ascii="Arial" w:hAnsi="Arial" w:cs="Arial"/>
                <w:b/>
                <w:bCs/>
              </w:rPr>
            </w:pPr>
            <w:r w:rsidRPr="0050410D">
              <w:rPr>
                <w:rFonts w:ascii="Arial" w:hAnsi="Arial" w:cs="Arial"/>
                <w:b/>
                <w:bCs/>
              </w:rPr>
              <w:t>Question</w:t>
            </w:r>
          </w:p>
        </w:tc>
        <w:tc>
          <w:tcPr>
            <w:tcW w:w="1979" w:type="dxa"/>
          </w:tcPr>
          <w:p w:rsidR="002D3A48" w:rsidRPr="0050410D" w:rsidRDefault="002D3A48" w:rsidP="00990B8E">
            <w:pPr>
              <w:jc w:val="center"/>
              <w:rPr>
                <w:rFonts w:ascii="Arial" w:hAnsi="Arial" w:cs="Arial"/>
                <w:b/>
                <w:bCs/>
              </w:rPr>
            </w:pPr>
            <w:r w:rsidRPr="0050410D">
              <w:rPr>
                <w:rFonts w:ascii="Arial" w:hAnsi="Arial" w:cs="Arial"/>
                <w:b/>
                <w:bCs/>
              </w:rPr>
              <w:t>n (%)</w:t>
            </w:r>
          </w:p>
        </w:tc>
      </w:tr>
      <w:tr w:rsidR="002D3A48" w:rsidRPr="0050410D" w:rsidTr="00990B8E">
        <w:tc>
          <w:tcPr>
            <w:tcW w:w="7083" w:type="dxa"/>
          </w:tcPr>
          <w:p w:rsidR="002D3A48" w:rsidRPr="0050410D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When do you perform SLNB in cN0 patients and recommendation for NACT?</w:t>
            </w:r>
          </w:p>
          <w:p w:rsidR="002D3A48" w:rsidRPr="0050410D" w:rsidRDefault="002D3A48" w:rsidP="00990B8E">
            <w:pPr>
              <w:rPr>
                <w:rFonts w:ascii="Arial" w:hAnsi="Arial" w:cs="Arial"/>
              </w:rPr>
            </w:pPr>
            <w:r w:rsidRPr="0050410D"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 xml:space="preserve">Always before NACT </w:t>
            </w:r>
          </w:p>
          <w:p w:rsidR="002D3A48" w:rsidRPr="0050410D" w:rsidRDefault="002D3A48" w:rsidP="00990B8E">
            <w:pPr>
              <w:rPr>
                <w:rFonts w:ascii="Arial" w:hAnsi="Arial" w:cs="Arial"/>
              </w:rPr>
            </w:pPr>
            <w:r w:rsidRPr="0050410D"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>Always after NACT</w:t>
            </w:r>
          </w:p>
          <w:p w:rsidR="002D3A48" w:rsidRPr="0050410D" w:rsidRDefault="002D3A48" w:rsidP="00990B8E">
            <w:pPr>
              <w:rPr>
                <w:rFonts w:ascii="Arial" w:hAnsi="Arial" w:cs="Arial"/>
              </w:rPr>
            </w:pPr>
            <w:r w:rsidRPr="0050410D"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>Both before and after NACT, depending on the individual case</w:t>
            </w:r>
          </w:p>
        </w:tc>
        <w:tc>
          <w:tcPr>
            <w:tcW w:w="1979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</w:p>
          <w:p w:rsidR="002D3A48" w:rsidRPr="0050410D" w:rsidRDefault="002D3A48" w:rsidP="00990B8E">
            <w:pPr>
              <w:jc w:val="center"/>
              <w:rPr>
                <w:rFonts w:ascii="Arial" w:hAnsi="Arial" w:cs="Arial"/>
              </w:rPr>
            </w:pP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 (8%)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103 (89%)</w:t>
            </w:r>
          </w:p>
          <w:p w:rsidR="002D3A48" w:rsidRPr="0050410D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(3%)</w:t>
            </w:r>
          </w:p>
        </w:tc>
      </w:tr>
      <w:tr w:rsidR="002D3A48" w:rsidRPr="0050410D" w:rsidTr="00990B8E">
        <w:tc>
          <w:tcPr>
            <w:tcW w:w="70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Which therapy do you recommend patients with micrometastasis in the sentinel node after NACT?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 w:rsidRPr="0050410D"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>No further axillary therapy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 w:rsidRPr="0050410D"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>Axillary radiation</w:t>
            </w:r>
          </w:p>
          <w:p w:rsidR="002D3A48" w:rsidRPr="0050410D" w:rsidRDefault="002D3A48" w:rsidP="00990B8E">
            <w:pPr>
              <w:rPr>
                <w:rFonts w:ascii="Arial" w:hAnsi="Arial" w:cs="Arial"/>
              </w:rPr>
            </w:pPr>
            <w:r w:rsidRPr="0050410D">
              <w:rPr>
                <w:rFonts w:ascii="Arial" w:hAnsi="Arial" w:cs="Arial"/>
              </w:rPr>
              <w:t xml:space="preserve">     </w:t>
            </w:r>
            <w:r>
              <w:rPr>
                <w:rFonts w:ascii="Arial" w:hAnsi="Arial" w:cs="Arial"/>
              </w:rPr>
              <w:t>Axillary lymph node dissection (ALND)</w:t>
            </w:r>
          </w:p>
        </w:tc>
        <w:tc>
          <w:tcPr>
            <w:tcW w:w="1979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 (44%)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 (25%)</w:t>
            </w:r>
          </w:p>
          <w:p w:rsidR="002D3A48" w:rsidRPr="0050410D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 (31%)</w:t>
            </w:r>
          </w:p>
        </w:tc>
      </w:tr>
    </w:tbl>
    <w:p w:rsidR="002D3A48" w:rsidRPr="00A2182A" w:rsidRDefault="002D3A48" w:rsidP="002D3A48">
      <w:pPr>
        <w:spacing w:after="0"/>
        <w:jc w:val="both"/>
        <w:rPr>
          <w:rFonts w:ascii="Arial" w:hAnsi="Arial" w:cs="Arial"/>
        </w:rPr>
      </w:pPr>
      <w:r w:rsidRPr="00A2182A">
        <w:rPr>
          <w:rFonts w:ascii="Arial" w:hAnsi="Arial" w:cs="Arial"/>
        </w:rPr>
        <w:t xml:space="preserve">Abbreviations: NACT – neoadjuvant chemotherapy, SLNB – sentinel lymph node biopsy </w:t>
      </w: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:rsidR="002D3A48" w:rsidRDefault="002D3A48" w:rsidP="002D3A4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:rsidR="002D3A48" w:rsidRDefault="002D3A48" w:rsidP="002D3A48">
      <w:pPr>
        <w:spacing w:after="0"/>
        <w:jc w:val="both"/>
        <w:rPr>
          <w:rFonts w:ascii="Arial" w:hAnsi="Arial" w:cs="Arial"/>
          <w:sz w:val="24"/>
          <w:szCs w:val="24"/>
        </w:rPr>
      </w:pPr>
      <w:r w:rsidRPr="0065216A">
        <w:rPr>
          <w:rFonts w:ascii="Arial" w:hAnsi="Arial" w:cs="Arial"/>
          <w:b/>
          <w:bCs/>
          <w:sz w:val="24"/>
          <w:szCs w:val="24"/>
        </w:rPr>
        <w:lastRenderedPageBreak/>
        <w:t>Supplementary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Table 3. </w:t>
      </w:r>
      <w:r>
        <w:rPr>
          <w:rFonts w:ascii="Arial" w:hAnsi="Arial" w:cs="Arial"/>
          <w:sz w:val="24"/>
          <w:szCs w:val="24"/>
        </w:rPr>
        <w:t xml:space="preserve">Detection rate estimated by respondents, depending on the type of marker.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8"/>
        <w:gridCol w:w="3183"/>
        <w:gridCol w:w="2691"/>
      </w:tblGrid>
      <w:tr w:rsidR="002D3A48" w:rsidRPr="0050410D" w:rsidTr="00990B8E">
        <w:tc>
          <w:tcPr>
            <w:tcW w:w="3188" w:type="dxa"/>
          </w:tcPr>
          <w:p w:rsidR="002D3A48" w:rsidRPr="0050410D" w:rsidRDefault="002D3A48" w:rsidP="00990B8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Type of marker</w:t>
            </w:r>
          </w:p>
        </w:tc>
        <w:tc>
          <w:tcPr>
            <w:tcW w:w="3183" w:type="dxa"/>
          </w:tcPr>
          <w:p w:rsidR="002D3A48" w:rsidRPr="0050410D" w:rsidRDefault="002D3A48" w:rsidP="00990B8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Detection rate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 (%)</w:t>
            </w:r>
          </w:p>
        </w:tc>
      </w:tr>
      <w:tr w:rsidR="002D3A48" w:rsidRPr="0050410D" w:rsidTr="00990B8E">
        <w:tc>
          <w:tcPr>
            <w:tcW w:w="3188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</w:t>
            </w:r>
          </w:p>
        </w:tc>
        <w:tc>
          <w:tcPr>
            <w:tcW w:w="31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Satisfactory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 (28%)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 (39%)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 (30%)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(2%)</w:t>
            </w:r>
          </w:p>
        </w:tc>
      </w:tr>
      <w:tr w:rsidR="002D3A48" w:rsidRPr="0050410D" w:rsidTr="00990B8E">
        <w:tc>
          <w:tcPr>
            <w:tcW w:w="3188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Ink</w:t>
            </w:r>
          </w:p>
          <w:p w:rsidR="002D3A48" w:rsidRPr="0050410D" w:rsidRDefault="002D3A48" w:rsidP="00990B8E">
            <w:pPr>
              <w:rPr>
                <w:rFonts w:ascii="Arial" w:hAnsi="Arial" w:cs="Arial"/>
              </w:rPr>
            </w:pPr>
          </w:p>
        </w:tc>
        <w:tc>
          <w:tcPr>
            <w:tcW w:w="31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Satisfactory</w:t>
            </w:r>
          </w:p>
          <w:p w:rsidR="002D3A48" w:rsidRPr="0050410D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(50%)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(50%)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50410D" w:rsidTr="00990B8E">
        <w:tc>
          <w:tcPr>
            <w:tcW w:w="3188" w:type="dxa"/>
          </w:tcPr>
          <w:p w:rsidR="002D3A48" w:rsidRPr="0050410D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Magnetic seeds (e.g., MagSeed)</w:t>
            </w:r>
          </w:p>
        </w:tc>
        <w:tc>
          <w:tcPr>
            <w:tcW w:w="31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Satisfactory</w:t>
            </w:r>
          </w:p>
          <w:p w:rsidR="002D3A48" w:rsidRPr="0050410D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(60%)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(40%)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FD42D0" w:rsidTr="00990B8E">
        <w:tc>
          <w:tcPr>
            <w:tcW w:w="3188" w:type="dxa"/>
          </w:tcPr>
          <w:p w:rsidR="002D3A48" w:rsidRPr="00206D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Radioactive seeds </w:t>
            </w:r>
          </w:p>
        </w:tc>
        <w:tc>
          <w:tcPr>
            <w:tcW w:w="31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Satisfactory</w:t>
            </w:r>
          </w:p>
          <w:p w:rsidR="002D3A48" w:rsidRPr="0099527E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(25%)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(75%)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FD42D0" w:rsidTr="00990B8E">
        <w:tc>
          <w:tcPr>
            <w:tcW w:w="3188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RFID Tags (Radiofrequency marker, e.g., LOCalizer)</w:t>
            </w:r>
          </w:p>
        </w:tc>
        <w:tc>
          <w:tcPr>
            <w:tcW w:w="31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Satisfactory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(100%)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FD42D0" w:rsidTr="00990B8E">
        <w:tc>
          <w:tcPr>
            <w:tcW w:w="3188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Radar reflecting markers (e.g., SaviScout)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</w:p>
        </w:tc>
        <w:tc>
          <w:tcPr>
            <w:tcW w:w="31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Satisfactory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(100%)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FD42D0" w:rsidTr="00990B8E">
        <w:tc>
          <w:tcPr>
            <w:tcW w:w="3188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Clips/Coils</w:t>
            </w:r>
          </w:p>
        </w:tc>
        <w:tc>
          <w:tcPr>
            <w:tcW w:w="3183" w:type="dxa"/>
          </w:tcPr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Very 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Satisfactory</w:t>
            </w:r>
          </w:p>
          <w:p w:rsidR="002D3A48" w:rsidRDefault="002D3A48" w:rsidP="00990B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 (26%)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 (39%)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 (32%)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(2%)</w:t>
            </w:r>
          </w:p>
        </w:tc>
      </w:tr>
    </w:tbl>
    <w:p w:rsidR="002D3A48" w:rsidRPr="00A2182A" w:rsidRDefault="002D3A48" w:rsidP="002D3A48">
      <w:pPr>
        <w:spacing w:after="0"/>
        <w:jc w:val="both"/>
        <w:rPr>
          <w:rFonts w:ascii="Arial" w:hAnsi="Arial" w:cs="Arial"/>
        </w:rPr>
      </w:pPr>
      <w:r w:rsidRPr="00A2182A">
        <w:rPr>
          <w:rFonts w:ascii="Arial" w:hAnsi="Arial" w:cs="Arial"/>
        </w:rPr>
        <w:t xml:space="preserve">Abbreviations: NACT – neoadjuvant chemotherapy </w:t>
      </w: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  <w:r w:rsidRPr="0065216A">
        <w:rPr>
          <w:rFonts w:ascii="Arial" w:hAnsi="Arial" w:cs="Arial"/>
          <w:b/>
          <w:bCs/>
          <w:sz w:val="24"/>
          <w:szCs w:val="24"/>
        </w:rPr>
        <w:lastRenderedPageBreak/>
        <w:t>Supplementary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Table 4. </w:t>
      </w:r>
      <w:r>
        <w:rPr>
          <w:rFonts w:ascii="Arial" w:hAnsi="Arial" w:cs="Arial"/>
          <w:sz w:val="24"/>
          <w:szCs w:val="24"/>
        </w:rPr>
        <w:t>Detection rate estimated by respondents, depending on the exact type of clip/coil.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88"/>
        <w:gridCol w:w="3183"/>
        <w:gridCol w:w="2691"/>
      </w:tblGrid>
      <w:tr w:rsidR="002D3A48" w:rsidRPr="00455877" w:rsidTr="00990B8E">
        <w:tc>
          <w:tcPr>
            <w:tcW w:w="3188" w:type="dxa"/>
          </w:tcPr>
          <w:p w:rsidR="002D3A48" w:rsidRPr="00455877" w:rsidRDefault="002D3A48" w:rsidP="00990B8E">
            <w:pPr>
              <w:rPr>
                <w:rFonts w:ascii="Arial" w:hAnsi="Arial" w:cs="Arial"/>
                <w:b/>
                <w:bCs/>
              </w:rPr>
            </w:pPr>
            <w:r w:rsidRPr="00455877">
              <w:rPr>
                <w:rFonts w:ascii="Arial" w:hAnsi="Arial" w:cs="Arial"/>
                <w:b/>
                <w:bCs/>
              </w:rPr>
              <w:t>Type of marker</w:t>
            </w:r>
          </w:p>
        </w:tc>
        <w:tc>
          <w:tcPr>
            <w:tcW w:w="3183" w:type="dxa"/>
          </w:tcPr>
          <w:p w:rsidR="002D3A48" w:rsidRPr="00455877" w:rsidRDefault="002D3A48" w:rsidP="00990B8E">
            <w:pPr>
              <w:rPr>
                <w:rFonts w:ascii="Arial" w:hAnsi="Arial" w:cs="Arial"/>
                <w:b/>
                <w:bCs/>
              </w:rPr>
            </w:pPr>
            <w:r w:rsidRPr="00455877">
              <w:rPr>
                <w:rFonts w:ascii="Arial" w:hAnsi="Arial" w:cs="Arial"/>
                <w:b/>
                <w:bCs/>
              </w:rPr>
              <w:t>Detection rate</w:t>
            </w:r>
          </w:p>
        </w:tc>
        <w:tc>
          <w:tcPr>
            <w:tcW w:w="2691" w:type="dxa"/>
          </w:tcPr>
          <w:p w:rsidR="002D3A48" w:rsidRPr="00455877" w:rsidRDefault="002D3A48" w:rsidP="00990B8E">
            <w:pPr>
              <w:jc w:val="center"/>
              <w:rPr>
                <w:rFonts w:ascii="Arial" w:hAnsi="Arial" w:cs="Arial"/>
                <w:b/>
                <w:bCs/>
              </w:rPr>
            </w:pPr>
            <w:r w:rsidRPr="00455877">
              <w:rPr>
                <w:rFonts w:ascii="Arial" w:hAnsi="Arial" w:cs="Arial"/>
                <w:b/>
                <w:bCs/>
              </w:rPr>
              <w:t>n (%)</w:t>
            </w:r>
          </w:p>
        </w:tc>
      </w:tr>
      <w:tr w:rsidR="002D3A48" w:rsidRPr="00455877" w:rsidTr="00990B8E">
        <w:tc>
          <w:tcPr>
            <w:tcW w:w="3188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HydroMark</w:t>
            </w:r>
          </w:p>
        </w:tc>
        <w:tc>
          <w:tcPr>
            <w:tcW w:w="3183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Very 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Satisfactory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(29%)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 (41%)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(29%)</w:t>
            </w:r>
          </w:p>
          <w:p w:rsidR="002D3A48" w:rsidRPr="00455877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455877" w:rsidTr="00990B8E">
        <w:tc>
          <w:tcPr>
            <w:tcW w:w="3188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 xml:space="preserve">O-TWIST </w:t>
            </w:r>
          </w:p>
        </w:tc>
        <w:tc>
          <w:tcPr>
            <w:tcW w:w="3183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Very 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Satisfactory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(33%)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 (40%)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(27%)</w:t>
            </w:r>
          </w:p>
          <w:p w:rsidR="002D3A48" w:rsidRPr="00455877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455877" w:rsidTr="00990B8E">
        <w:tc>
          <w:tcPr>
            <w:tcW w:w="3188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Tumark Vision</w:t>
            </w:r>
          </w:p>
        </w:tc>
        <w:tc>
          <w:tcPr>
            <w:tcW w:w="3183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Very 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Satisfactory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 (22%)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 (43%)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 (30%)</w:t>
            </w:r>
          </w:p>
          <w:p w:rsidR="002D3A48" w:rsidRPr="00455877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(4%)</w:t>
            </w:r>
          </w:p>
        </w:tc>
      </w:tr>
      <w:tr w:rsidR="002D3A48" w:rsidRPr="00455877" w:rsidTr="00990B8E">
        <w:tc>
          <w:tcPr>
            <w:tcW w:w="3188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 xml:space="preserve">Müller-Schimpfle-Coil </w:t>
            </w:r>
          </w:p>
        </w:tc>
        <w:tc>
          <w:tcPr>
            <w:tcW w:w="3183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Very 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Satisfactory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(100%)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Pr="00455877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455877" w:rsidTr="00990B8E">
        <w:tc>
          <w:tcPr>
            <w:tcW w:w="3188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 xml:space="preserve">KliniMark 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</w:p>
        </w:tc>
        <w:tc>
          <w:tcPr>
            <w:tcW w:w="3183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Very 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Satisfactory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(100%)</w:t>
            </w:r>
          </w:p>
          <w:p w:rsidR="002D3A48" w:rsidRPr="00455877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  <w:tr w:rsidR="002D3A48" w:rsidRPr="00455877" w:rsidTr="00990B8E">
        <w:tc>
          <w:tcPr>
            <w:tcW w:w="3188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 xml:space="preserve">Tumark Professional </w:t>
            </w:r>
          </w:p>
        </w:tc>
        <w:tc>
          <w:tcPr>
            <w:tcW w:w="3183" w:type="dxa"/>
          </w:tcPr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Very 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Good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Satisfactory</w:t>
            </w:r>
          </w:p>
          <w:p w:rsidR="002D3A48" w:rsidRPr="00455877" w:rsidRDefault="002D3A48" w:rsidP="00990B8E">
            <w:pPr>
              <w:rPr>
                <w:rFonts w:ascii="Arial" w:hAnsi="Arial" w:cs="Arial"/>
              </w:rPr>
            </w:pPr>
            <w:r w:rsidRPr="00455877">
              <w:rPr>
                <w:rFonts w:ascii="Arial" w:hAnsi="Arial" w:cs="Arial"/>
              </w:rPr>
              <w:t>Unsatisfactory</w:t>
            </w:r>
          </w:p>
        </w:tc>
        <w:tc>
          <w:tcPr>
            <w:tcW w:w="2691" w:type="dxa"/>
          </w:tcPr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(100%)</w:t>
            </w:r>
          </w:p>
          <w:p w:rsidR="002D3A48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  <w:p w:rsidR="002D3A48" w:rsidRPr="00455877" w:rsidRDefault="002D3A48" w:rsidP="00990B8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</w:p>
        </w:tc>
      </w:tr>
    </w:tbl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b/>
          <w:bCs/>
        </w:rPr>
      </w:pP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D2B3A45" wp14:editId="1E6729CF">
            <wp:extent cx="5753100" cy="3238500"/>
            <wp:effectExtent l="0" t="0" r="0" b="0"/>
            <wp:docPr id="1" name="Grafik 1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Text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F0060">
        <w:rPr>
          <w:rFonts w:ascii="Arial" w:hAnsi="Arial" w:cs="Arial"/>
          <w:b/>
          <w:bCs/>
          <w:sz w:val="24"/>
          <w:szCs w:val="24"/>
        </w:rPr>
        <w:t>Supplementary</w:t>
      </w:r>
      <w:r>
        <w:rPr>
          <w:rFonts w:ascii="Arial" w:hAnsi="Arial" w:cs="Arial"/>
          <w:sz w:val="24"/>
          <w:szCs w:val="24"/>
        </w:rPr>
        <w:t xml:space="preserve"> </w:t>
      </w:r>
      <w:r w:rsidRPr="006D2E46">
        <w:rPr>
          <w:rFonts w:ascii="Arial" w:hAnsi="Arial" w:cs="Arial"/>
          <w:b/>
          <w:bCs/>
          <w:sz w:val="24"/>
          <w:szCs w:val="24"/>
        </w:rPr>
        <w:t xml:space="preserve">Figure </w:t>
      </w: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 The current algorithm for axillary management in breast cancer patients receiving neoadjuvant che</w:t>
      </w:r>
      <w:r w:rsidRPr="00BD1A37">
        <w:rPr>
          <w:rFonts w:ascii="Arial" w:hAnsi="Arial" w:cs="Arial"/>
          <w:sz w:val="24"/>
          <w:szCs w:val="24"/>
        </w:rPr>
        <w:t>motherapy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ADDIN EN.CITE &lt;EndNote&gt;&lt;Cite&gt;&lt;Author&gt;Banys-Paluchowski&lt;/Author&gt;&lt;Year&gt;2022&lt;/Year&gt;&lt;RecNum&gt;27607&lt;/RecNum&gt;&lt;DisplayText&gt;[12]&lt;/DisplayText&gt;&lt;record&gt;&lt;rec-number&gt;27607&lt;/rec-number&gt;&lt;foreign-keys&gt;&lt;key app="EN" db-id="asz09svwqp5f53e92x4x0vxerrv2aw9essxe" timestamp="1659034292"&gt;27607&lt;/key&gt;&lt;/foreign-keys&gt;&lt;ref-type name="Journal Article"&gt;17&lt;/ref-type&gt;&lt;contributors&gt;&lt;authors&gt;&lt;author&gt;Banys-Paluchowski, M.&lt;/author&gt;&lt;author&gt;Thill, M.&lt;/author&gt;&lt;author&gt;Kühn, T.&lt;/author&gt;&lt;author&gt;Ditsch, N.&lt;/author&gt;&lt;author&gt;Heil, J.&lt;/author&gt;&lt;author&gt;Wöckel, A.&lt;/author&gt;&lt;author&gt;Fallenberg, E.&lt;/author&gt;&lt;author&gt;Friedrich, M.&lt;/author&gt;&lt;author&gt;Kümmel, S.&lt;/author&gt;&lt;author&gt;Müller, V.&lt;/author&gt;&lt;author&gt;Janni, W.&lt;/author&gt;&lt;author&gt;Albert, U. S.&lt;/author&gt;&lt;author&gt;Bauerfeind, I.&lt;/author&gt;&lt;author&gt;Blohmer, J.&lt;/author&gt;&lt;author&gt;Budach, W.&lt;/author&gt;&lt;author&gt;Dall, P.&lt;/author&gt;&lt;author&gt;Fasching, P.&lt;/author&gt;&lt;author&gt;Fehm, T.&lt;/author&gt;&lt;author&gt;Gluz, O.&lt;/author&gt;&lt;author&gt;Harbeck, N.&lt;/author&gt;&lt;author&gt;Huober, J.&lt;/author&gt;&lt;author&gt;Jackisch, C.&lt;/author&gt;&lt;author&gt;Kolberg-Liedtke, C.&lt;/author&gt;&lt;author&gt;Kreipe, H. H.&lt;/author&gt;&lt;author&gt;Krug, D.&lt;/author&gt;&lt;author&gt;Loibl, S.&lt;/author&gt;&lt;author&gt;Lüftner, D.&lt;/author&gt;&lt;author&gt;Lux, M. P.&lt;/author&gt;&lt;author&gt;Maass, N.&lt;/author&gt;&lt;author&gt;Mundhenke, C.&lt;/author&gt;&lt;author&gt;Nitz, U.&lt;/author&gt;&lt;author&gt;Park-Simon, T. W.&lt;/author&gt;&lt;author&gt;Reimer, T.&lt;/author&gt;&lt;author&gt;Rhiem, K.&lt;/author&gt;&lt;author&gt;Rody, A.&lt;/author&gt;&lt;author&gt;Schmidt, M.&lt;/author&gt;&lt;author&gt;Schneeweiss, A.&lt;/author&gt;&lt;author&gt;Schütz, F.&lt;/author&gt;&lt;author&gt;Sinn, H. P.&lt;/author&gt;&lt;author&gt;Solbach, C.&lt;/author&gt;&lt;author&gt;Solomayer, E. F.&lt;/author&gt;&lt;author&gt;Stickeler, E.&lt;/author&gt;&lt;author&gt;Thomssen, C.&lt;/author&gt;&lt;author&gt;Untch, M.&lt;/author&gt;&lt;author&gt;Witzel, I.&lt;/author&gt;&lt;author&gt;Gerber, B.&lt;/author&gt;&lt;/authors&gt;&lt;/contributors&gt;&lt;titles&gt;&lt;title&gt;AGO Breast Committee Recommendations: Surgical therapy Update 2022. AGO Empfehlungen zur operativen Therapie des Mammakarzinoms: Update 2022&lt;/title&gt;&lt;secondary-title&gt;GebFra&lt;/secondary-title&gt;&lt;/titles&gt;&lt;periodical&gt;&lt;full-title&gt;GebFra&lt;/full-title&gt;&lt;/periodical&gt;&lt;dates&gt;&lt;year&gt;2022&lt;/year&gt;&lt;/dates&gt;&lt;urls&gt;&lt;/urls&gt;&lt;/record&gt;&lt;/Cite&gt;&lt;/EndNote&gt;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[12]</w:t>
      </w:r>
      <w:r>
        <w:rPr>
          <w:rFonts w:ascii="Arial" w:hAnsi="Arial" w:cs="Arial"/>
          <w:sz w:val="24"/>
          <w:szCs w:val="24"/>
        </w:rPr>
        <w:fldChar w:fldCharType="end"/>
      </w:r>
      <w:r w:rsidRPr="00BD1A37">
        <w:rPr>
          <w:rFonts w:ascii="Arial" w:hAnsi="Arial" w:cs="Arial"/>
          <w:sz w:val="24"/>
          <w:szCs w:val="24"/>
        </w:rPr>
        <w:t>.</w:t>
      </w: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D1A37">
        <w:rPr>
          <w:rFonts w:ascii="Arial" w:hAnsi="Arial" w:cs="Arial"/>
          <w:sz w:val="24"/>
          <w:szCs w:val="24"/>
        </w:rPr>
        <w:t xml:space="preserve">Legend: </w:t>
      </w: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D1A37">
        <w:rPr>
          <w:rFonts w:ascii="Arial" w:hAnsi="Arial" w:cs="Arial"/>
          <w:sz w:val="24"/>
          <w:szCs w:val="24"/>
        </w:rPr>
        <w:t>++</w:t>
      </w:r>
      <w:r w:rsidRPr="00BD1A37">
        <w:rPr>
          <w:rFonts w:ascii="Arial" w:hAnsi="Arial" w:cs="Arial"/>
          <w:sz w:val="24"/>
          <w:szCs w:val="24"/>
        </w:rPr>
        <w:tab/>
        <w:t xml:space="preserve">This investigation or therapeutic intervention is highly beneficial for patients, can be recommended without restriction, and should be performed </w:t>
      </w: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D1A37">
        <w:rPr>
          <w:rFonts w:ascii="Arial" w:hAnsi="Arial" w:cs="Arial"/>
          <w:sz w:val="24"/>
          <w:szCs w:val="24"/>
        </w:rPr>
        <w:t>+</w:t>
      </w:r>
      <w:r w:rsidRPr="00BD1A37">
        <w:rPr>
          <w:rFonts w:ascii="Arial" w:hAnsi="Arial" w:cs="Arial"/>
          <w:sz w:val="24"/>
          <w:szCs w:val="24"/>
        </w:rPr>
        <w:tab/>
        <w:t>This investigation or therapeutic intervention is of limited benefit for patients and can be performed</w:t>
      </w:r>
    </w:p>
    <w:p w:rsidR="002D3A48" w:rsidRPr="00BD1A37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D1A37">
        <w:rPr>
          <w:rFonts w:ascii="Arial" w:hAnsi="Arial" w:cs="Arial"/>
          <w:sz w:val="24"/>
          <w:szCs w:val="24"/>
        </w:rPr>
        <w:t>+/-</w:t>
      </w:r>
      <w:r w:rsidRPr="00BD1A37">
        <w:rPr>
          <w:rFonts w:ascii="Arial" w:hAnsi="Arial" w:cs="Arial"/>
          <w:sz w:val="24"/>
          <w:szCs w:val="24"/>
        </w:rPr>
        <w:tab/>
        <w:t>This investigation or therapeutic intervention has not shown benefit for patients and may be performed only in individual cases. According to current knowledge a general recommendation cannot be given.</w:t>
      </w: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spacing w:after="0"/>
        <w:rPr>
          <w:rFonts w:ascii="Arial" w:hAnsi="Arial" w:cs="Arial"/>
          <w:b/>
          <w:bCs/>
        </w:rPr>
      </w:pPr>
    </w:p>
    <w:p w:rsidR="002D3A48" w:rsidRDefault="002D3A48" w:rsidP="002D3A4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2D3A48" w:rsidRDefault="002D3A48" w:rsidP="002D3A48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2D3A48" w:rsidRDefault="002D3A48" w:rsidP="002D3A4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76BB9B46" wp14:editId="1640CBA9">
            <wp:extent cx="5753100" cy="32385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A48" w:rsidRPr="00E34E7C" w:rsidRDefault="002D3A48" w:rsidP="002D3A48">
      <w:pPr>
        <w:rPr>
          <w:rFonts w:ascii="Arial" w:hAnsi="Arial" w:cs="Arial"/>
          <w:sz w:val="24"/>
          <w:szCs w:val="24"/>
        </w:rPr>
      </w:pPr>
      <w:r w:rsidRPr="006F0060">
        <w:rPr>
          <w:rFonts w:ascii="Arial" w:hAnsi="Arial" w:cs="Arial"/>
          <w:b/>
          <w:bCs/>
          <w:sz w:val="24"/>
          <w:szCs w:val="24"/>
        </w:rPr>
        <w:t>Supplementary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Figure 2.</w:t>
      </w:r>
      <w:r>
        <w:rPr>
          <w:rFonts w:ascii="Arial" w:hAnsi="Arial" w:cs="Arial"/>
          <w:sz w:val="24"/>
          <w:szCs w:val="24"/>
        </w:rPr>
        <w:t xml:space="preserve"> Current recommendations issued by the AGO Breast Committee on targeted axillary dissection </w:t>
      </w: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ADDIN EN.CITE &lt;EndNote&gt;&lt;Cite&gt;&lt;Author&gt;Ditsch&lt;/Author&gt;&lt;Year&gt;2022&lt;/Year&gt;&lt;RecNum&gt;27546&lt;/RecNum&gt;&lt;DisplayText&gt;[1]&lt;/DisplayText&gt;&lt;record&gt;&lt;rec-number&gt;27546&lt;/rec-number&gt;&lt;foreign-keys&gt;&lt;key app="EN" db-id="asz09svwqp5f53e92x4x0vxerrv2aw9essxe" timestamp="1651436191"&gt;27546&lt;/key&gt;&lt;/foreign-keys&gt;&lt;ref-type name="Journal Article"&gt;17&lt;/ref-type&gt;&lt;contributors&gt;&lt;authors&gt;&lt;author&gt;Ditsch, N.&lt;/author&gt;&lt;author&gt;Woeckel, A.&lt;/author&gt;&lt;author&gt;Untch, M.&lt;/author&gt;&lt;author&gt;Jackisch, C.&lt;/author&gt;&lt;author&gt;Albert, U. S.&lt;/author&gt;&lt;author&gt;Banys-Paluchowski, M.&lt;/author&gt;&lt;author&gt;Bauerfeind, I.&lt;/author&gt;&lt;author&gt;Blohmer, J.&lt;/author&gt;&lt;/authors&gt;&lt;/contributors&gt;&lt;titles&gt;&lt;title&gt;AGO Recommendations for the Diagnosis and Treatment of Patients with Early Breast Cancer (EBC): Update 2022&lt;/title&gt;&lt;secondary-title&gt;Breast Care&lt;/secondary-title&gt;&lt;/titles&gt;&lt;periodical&gt;&lt;full-title&gt;Breast Care&lt;/full-title&gt;&lt;/periodical&gt;&lt;dates&gt;&lt;year&gt;2022&lt;/year&gt;&lt;/dates&gt;&lt;urls&gt;&lt;/urls&gt;&lt;/record&gt;&lt;/Cite&gt;&lt;/EndNote&gt;</w:instrText>
      </w:r>
      <w:r>
        <w:rPr>
          <w:rFonts w:ascii="Arial" w:hAnsi="Arial" w:cs="Arial"/>
          <w:sz w:val="24"/>
          <w:szCs w:val="24"/>
        </w:rPr>
        <w:fldChar w:fldCharType="separate"/>
      </w:r>
      <w:r>
        <w:rPr>
          <w:rFonts w:ascii="Arial" w:hAnsi="Arial" w:cs="Arial"/>
          <w:noProof/>
          <w:sz w:val="24"/>
          <w:szCs w:val="24"/>
        </w:rPr>
        <w:t>[1]</w:t>
      </w:r>
      <w:r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.</w:t>
      </w:r>
    </w:p>
    <w:p w:rsidR="002D3A48" w:rsidRPr="00B80734" w:rsidRDefault="002D3A48" w:rsidP="002D3A48">
      <w:pPr>
        <w:spacing w:after="0"/>
        <w:rPr>
          <w:rFonts w:ascii="Arial" w:hAnsi="Arial" w:cs="Arial"/>
          <w:sz w:val="24"/>
          <w:szCs w:val="24"/>
        </w:rPr>
      </w:pPr>
    </w:p>
    <w:p w:rsidR="004723CE" w:rsidRDefault="004723CE">
      <w:bookmarkStart w:id="0" w:name="_GoBack"/>
      <w:bookmarkEnd w:id="0"/>
    </w:p>
    <w:sectPr w:rsidR="004723CE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2634941"/>
      <w:docPartObj>
        <w:docPartGallery w:val="Page Numbers (Bottom of Page)"/>
        <w:docPartUnique/>
      </w:docPartObj>
    </w:sdtPr>
    <w:sdtEndPr/>
    <w:sdtContent>
      <w:p w:rsidR="002E7A0B" w:rsidRDefault="002D3A48">
        <w:pPr>
          <w:pStyle w:val="Footer"/>
          <w:jc w:val="right"/>
        </w:pPr>
        <w:r>
          <w:fldChar w:fldCharType="begin"/>
        </w:r>
        <w:r>
          <w:instrText>PAGE   \* MERGE</w:instrText>
        </w:r>
        <w:r>
          <w:instrText>FORMAT</w:instrText>
        </w:r>
        <w:r>
          <w:fldChar w:fldCharType="separate"/>
        </w:r>
        <w:r w:rsidRPr="002D3A48">
          <w:rPr>
            <w:noProof/>
            <w:lang w:val="de-DE"/>
          </w:rPr>
          <w:t>11</w:t>
        </w:r>
        <w:r>
          <w:fldChar w:fldCharType="end"/>
        </w:r>
      </w:p>
    </w:sdtContent>
  </w:sdt>
  <w:p w:rsidR="002E7A0B" w:rsidRDefault="002D3A48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A48"/>
    <w:rsid w:val="002D3A48"/>
    <w:rsid w:val="00472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7A9846-3AC1-43F1-BF74-B55E04AD9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A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3A4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">
    <w:name w:val="bodytext"/>
    <w:basedOn w:val="Normal"/>
    <w:rsid w:val="002D3A48"/>
    <w:pPr>
      <w:spacing w:before="100" w:beforeAutospacing="1" w:after="150" w:line="255" w:lineRule="atLeast"/>
      <w:ind w:left="390"/>
    </w:pPr>
    <w:rPr>
      <w:rFonts w:ascii="Verdana" w:hAnsi="Verdana" w:cs="Calibri"/>
      <w:color w:val="333333"/>
      <w:sz w:val="18"/>
      <w:szCs w:val="18"/>
      <w:lang w:val="de-DE" w:eastAsia="de-DE"/>
    </w:rPr>
  </w:style>
  <w:style w:type="paragraph" w:styleId="Footer">
    <w:name w:val="footer"/>
    <w:basedOn w:val="Normal"/>
    <w:link w:val="FooterChar"/>
    <w:uiPriority w:val="99"/>
    <w:unhideWhenUsed/>
    <w:rsid w:val="002D3A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3A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2656</Words>
  <Characters>15140</Characters>
  <Application>Microsoft Office Word</Application>
  <DocSecurity>0</DocSecurity>
  <Lines>126</Lines>
  <Paragraphs>35</Paragraphs>
  <ScaleCrop>false</ScaleCrop>
  <Company>Springer Nature</Company>
  <LinksUpToDate>false</LinksUpToDate>
  <CharactersWithSpaces>17761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2022-08-30T09:54:00Z</dcterms:created>
  <dcterms:modified xsi:type="dcterms:W3CDTF">2022-08-30T09:55:00Z</dcterms:modified>
</cp:coreProperties>
</file>