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509" w:rsidRPr="002F4189" w:rsidRDefault="00C93509" w:rsidP="00C93509">
      <w:pPr>
        <w:spacing w:line="360" w:lineRule="auto"/>
        <w:rPr>
          <w:rFonts w:ascii="Arial" w:hAnsi="Arial" w:cs="Arial"/>
          <w:b/>
          <w:highlight w:val="white"/>
        </w:rPr>
      </w:pPr>
      <w:r>
        <w:rPr>
          <w:rFonts w:ascii="Arial" w:hAnsi="Arial" w:cs="Arial"/>
          <w:b/>
          <w:highlight w:val="white"/>
        </w:rPr>
        <w:t>Title</w:t>
      </w:r>
      <w:r w:rsidRPr="002F4189">
        <w:rPr>
          <w:rFonts w:ascii="Arial" w:hAnsi="Arial" w:cs="Arial"/>
          <w:b/>
          <w:highlight w:val="white"/>
        </w:rPr>
        <w:t xml:space="preserve">: </w:t>
      </w:r>
      <w:r w:rsidR="007C0259" w:rsidRPr="007D48A5">
        <w:rPr>
          <w:rFonts w:ascii="Arial" w:hAnsi="Arial" w:cs="Arial"/>
        </w:rPr>
        <w:t>Changes and evolution among SARS-COV-2 hospitalised patients in terms of severity, mortality and virus genome in a Spanish cohort</w:t>
      </w:r>
      <w:bookmarkStart w:id="0" w:name="_GoBack"/>
      <w:bookmarkEnd w:id="0"/>
    </w:p>
    <w:p w:rsidR="00C93509" w:rsidRPr="00463C85" w:rsidRDefault="00C93509" w:rsidP="00C93509">
      <w:pPr>
        <w:spacing w:line="360" w:lineRule="auto"/>
        <w:rPr>
          <w:rFonts w:ascii="Arial" w:hAnsi="Arial" w:cs="Arial"/>
          <w:highlight w:val="white"/>
          <w:lang w:val="es-ES"/>
        </w:rPr>
      </w:pPr>
      <w:r w:rsidRPr="004751C5">
        <w:rPr>
          <w:rFonts w:ascii="Arial" w:hAnsi="Arial" w:cs="Arial"/>
          <w:b/>
          <w:highlight w:val="white"/>
          <w:lang w:val="es-ES"/>
        </w:rPr>
        <w:t xml:space="preserve">Authors: </w:t>
      </w:r>
      <w:r w:rsidRPr="004751C5">
        <w:rPr>
          <w:rFonts w:ascii="Arial" w:hAnsi="Arial" w:cs="Arial"/>
          <w:highlight w:val="white"/>
          <w:lang w:val="es-ES"/>
        </w:rPr>
        <w:t>Rocío Aznar-Gimeno,</w:t>
      </w:r>
      <w:r w:rsidRPr="004751C5">
        <w:rPr>
          <w:rFonts w:ascii="Arial" w:hAnsi="Arial" w:cs="Arial"/>
          <w:b/>
          <w:highlight w:val="white"/>
          <w:lang w:val="es-ES"/>
        </w:rPr>
        <w:t xml:space="preserve"> </w:t>
      </w:r>
      <w:r>
        <w:rPr>
          <w:rFonts w:ascii="Arial" w:hAnsi="Arial" w:cs="Arial"/>
          <w:highlight w:val="white"/>
          <w:lang w:val="es-ES"/>
        </w:rPr>
        <w:t>J.Ramó</w:t>
      </w:r>
      <w:r w:rsidRPr="004751C5">
        <w:rPr>
          <w:rFonts w:ascii="Arial" w:hAnsi="Arial" w:cs="Arial"/>
          <w:highlight w:val="white"/>
          <w:lang w:val="es-ES"/>
        </w:rPr>
        <w:t>n Paño-Pardo</w:t>
      </w:r>
      <w:r>
        <w:rPr>
          <w:rFonts w:ascii="Arial" w:hAnsi="Arial" w:cs="Arial"/>
          <w:highlight w:val="white"/>
          <w:lang w:val="es-ES"/>
        </w:rPr>
        <w:t xml:space="preserve">, Luis M. Esteban, Gorka Labata-Lezaun, M. José Esquillor-Rodrigo, Angel Lanas, David Abadía-Gallego, </w:t>
      </w:r>
      <w:r w:rsidRPr="002F4189">
        <w:rPr>
          <w:rFonts w:ascii="Arial" w:hAnsi="Arial" w:cs="Arial"/>
          <w:highlight w:val="white"/>
          <w:lang w:val="es-ES"/>
        </w:rPr>
        <w:t>Francisco Diez-Fuertes</w:t>
      </w:r>
      <w:r>
        <w:rPr>
          <w:rFonts w:ascii="Arial" w:hAnsi="Arial" w:cs="Arial"/>
          <w:highlight w:val="white"/>
          <w:lang w:val="es-ES"/>
        </w:rPr>
        <w:t xml:space="preserve">, Carlos </w:t>
      </w:r>
      <w:r w:rsidRPr="00A829D8">
        <w:rPr>
          <w:rFonts w:ascii="Arial" w:hAnsi="Arial" w:cs="Arial"/>
          <w:highlight w:val="white"/>
          <w:lang w:val="es-ES"/>
        </w:rPr>
        <w:t>Tellería-Orriols</w:t>
      </w:r>
      <w:r>
        <w:rPr>
          <w:rFonts w:ascii="Arial" w:hAnsi="Arial" w:cs="Arial"/>
          <w:highlight w:val="white"/>
          <w:lang w:val="es-ES"/>
        </w:rPr>
        <w:t xml:space="preserve">, Rafael del-Hoyo-Alonso, </w:t>
      </w:r>
      <w:r w:rsidRPr="004751C5">
        <w:rPr>
          <w:rFonts w:ascii="Arial" w:hAnsi="Arial" w:cs="Arial"/>
          <w:highlight w:val="white"/>
          <w:lang w:val="es-ES"/>
        </w:rPr>
        <w:t>M. Trinidad Serrano</w:t>
      </w:r>
    </w:p>
    <w:p w:rsidR="00C93509" w:rsidRPr="00C93509" w:rsidRDefault="00C93509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  <w:lang w:val="es-ES"/>
        </w:rPr>
      </w:pPr>
    </w:p>
    <w:p w:rsidR="000121BE" w:rsidRDefault="008D31F1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Figure S1.</w:t>
      </w:r>
      <w:r w:rsidR="000121BE" w:rsidRPr="000121BE">
        <w:rPr>
          <w:rFonts w:ascii="Arial" w:hAnsi="Arial" w:cs="Arial"/>
          <w:b/>
        </w:rPr>
        <w:t xml:space="preserve"> </w:t>
      </w:r>
      <w:r w:rsidR="00D64EFC" w:rsidRPr="00D64EFC">
        <w:rPr>
          <w:rFonts w:ascii="Arial" w:hAnsi="Arial" w:cs="Arial"/>
          <w:color w:val="000000"/>
          <w:highlight w:val="white"/>
          <w:lang w:eastAsia="es-ES_tradnl" w:bidi="ar-SA"/>
        </w:rPr>
        <w:t xml:space="preserve">Hospitalized patients with positive SARS-COV-2 RT-PCR test results in both pandemic </w:t>
      </w:r>
      <w:r w:rsidR="00D64EFC">
        <w:rPr>
          <w:rFonts w:ascii="Arial" w:hAnsi="Arial" w:cs="Arial"/>
          <w:color w:val="000000"/>
          <w:highlight w:val="white"/>
          <w:lang w:eastAsia="es-ES_tradnl" w:bidi="ar-SA"/>
        </w:rPr>
        <w:t xml:space="preserve">waves, </w:t>
      </w:r>
      <w:r w:rsidR="00D64EFC">
        <w:rPr>
          <w:rFonts w:ascii="Arial" w:hAnsi="Arial" w:cs="Arial"/>
          <w:color w:val="000000"/>
          <w:lang w:eastAsia="es-ES_tradnl" w:bidi="ar-SA"/>
        </w:rPr>
        <w:t>Aragon, Spain, February-September, 2020.</w:t>
      </w:r>
    </w:p>
    <w:p w:rsidR="000174F6" w:rsidRDefault="000174F6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</w:rPr>
      </w:pPr>
    </w:p>
    <w:p w:rsidR="000174F6" w:rsidRDefault="000174F6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color w:val="000000"/>
          <w:highlight w:val="white"/>
          <w:lang w:eastAsia="es-ES_tradnl" w:bidi="ar-SA"/>
        </w:rPr>
      </w:pPr>
      <w:r>
        <w:rPr>
          <w:rFonts w:ascii="Arial" w:hAnsi="Arial" w:cs="Arial"/>
          <w:noProof/>
          <w:color w:val="000000"/>
          <w:lang w:val="es-ES" w:eastAsia="es-ES" w:bidi="ar-SA"/>
        </w:rPr>
        <w:drawing>
          <wp:inline distT="0" distB="0" distL="0" distR="0">
            <wp:extent cx="5981700" cy="418249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surveillance Supplementary SFigure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2291" cy="419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46E6" w:rsidRDefault="00D946E6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color w:val="000000"/>
          <w:highlight w:val="white"/>
          <w:lang w:eastAsia="es-ES_tradnl" w:bidi="ar-SA"/>
        </w:rPr>
      </w:pPr>
      <w:r w:rsidRPr="00D946E6">
        <w:rPr>
          <w:rFonts w:ascii="Arial" w:hAnsi="Arial" w:cs="Arial"/>
          <w:i/>
          <w:color w:val="000000"/>
          <w:highlight w:val="white"/>
          <w:lang w:eastAsia="es-ES_tradnl" w:bidi="ar-SA"/>
        </w:rPr>
        <w:t>Blue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>: first wave;</w:t>
      </w:r>
      <w:r w:rsidRPr="00D946E6">
        <w:rPr>
          <w:rFonts w:ascii="Arial" w:hAnsi="Arial" w:cs="Arial"/>
          <w:color w:val="000000"/>
          <w:highlight w:val="white"/>
          <w:lang w:eastAsia="es-ES_tradnl" w:bidi="ar-SA"/>
        </w:rPr>
        <w:t xml:space="preserve"> </w:t>
      </w:r>
      <w:r w:rsidRPr="00D946E6">
        <w:rPr>
          <w:rFonts w:ascii="Arial" w:hAnsi="Arial" w:cs="Arial"/>
          <w:i/>
          <w:color w:val="000000"/>
          <w:highlight w:val="white"/>
          <w:lang w:eastAsia="es-ES_tradnl" w:bidi="ar-SA"/>
        </w:rPr>
        <w:t>green</w:t>
      </w:r>
      <w:r w:rsidRPr="00D946E6">
        <w:rPr>
          <w:rFonts w:ascii="Arial" w:hAnsi="Arial" w:cs="Arial"/>
          <w:color w:val="000000"/>
          <w:highlight w:val="white"/>
          <w:lang w:eastAsia="es-ES_tradnl" w:bidi="ar-SA"/>
        </w:rPr>
        <w:t>: second wave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>.</w:t>
      </w:r>
    </w:p>
    <w:p w:rsidR="000174F6" w:rsidRDefault="000174F6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color w:val="000000"/>
          <w:highlight w:val="white"/>
          <w:lang w:eastAsia="es-ES_tradnl" w:bidi="ar-SA"/>
        </w:rPr>
      </w:pPr>
    </w:p>
    <w:p w:rsidR="000174F6" w:rsidRDefault="000174F6" w:rsidP="000174F6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Figure S2</w:t>
      </w:r>
      <w:r w:rsidR="008D31F1">
        <w:rPr>
          <w:rFonts w:ascii="Arial" w:hAnsi="Arial" w:cs="Arial"/>
          <w:b/>
        </w:rPr>
        <w:t>.</w:t>
      </w:r>
      <w:r w:rsidRPr="000121BE">
        <w:rPr>
          <w:rFonts w:ascii="Arial" w:hAnsi="Arial" w:cs="Arial"/>
          <w:b/>
        </w:rPr>
        <w:t xml:space="preserve"> </w:t>
      </w:r>
      <w:r w:rsidR="00F663B1" w:rsidRPr="00F663B1">
        <w:rPr>
          <w:rFonts w:ascii="Arial" w:hAnsi="Arial" w:cs="Arial"/>
          <w:color w:val="000000"/>
          <w:highlight w:val="white"/>
          <w:lang w:eastAsia="es-ES_tradnl" w:bidi="ar-SA"/>
        </w:rPr>
        <w:t>Sex and age distributions of patients that tested positive for COVID-19 during the two pandemic waves</w:t>
      </w:r>
      <w:r w:rsidR="00F663B1">
        <w:rPr>
          <w:rFonts w:ascii="Arial" w:hAnsi="Arial" w:cs="Arial"/>
          <w:color w:val="000000"/>
          <w:highlight w:val="white"/>
          <w:lang w:eastAsia="es-ES_tradnl" w:bidi="ar-SA"/>
        </w:rPr>
        <w:t>, Aragon, Spain, February-September, 2020</w:t>
      </w:r>
      <w:r w:rsidR="00F663B1" w:rsidRPr="00F663B1">
        <w:rPr>
          <w:rFonts w:ascii="Arial" w:hAnsi="Arial" w:cs="Arial"/>
          <w:color w:val="000000"/>
          <w:highlight w:val="white"/>
          <w:lang w:eastAsia="es-ES_tradnl" w:bidi="ar-SA"/>
        </w:rPr>
        <w:t xml:space="preserve">. </w:t>
      </w:r>
    </w:p>
    <w:p w:rsidR="007873C6" w:rsidRDefault="007873C6" w:rsidP="000174F6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 w:bidi="ar-SA"/>
        </w:rPr>
        <w:lastRenderedPageBreak/>
        <w:drawing>
          <wp:inline distT="0" distB="0" distL="0" distR="0">
            <wp:extent cx="4114800" cy="8367913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lentaryS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2167" cy="838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4F6" w:rsidRPr="000121BE" w:rsidRDefault="00F663B1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color w:val="000000"/>
          <w:highlight w:val="white"/>
          <w:lang w:eastAsia="es-ES_tradnl" w:bidi="ar-SA"/>
        </w:rPr>
      </w:pPr>
      <w:r w:rsidRPr="00F663B1">
        <w:rPr>
          <w:rFonts w:ascii="Arial" w:hAnsi="Arial" w:cs="Arial"/>
          <w:color w:val="000000"/>
          <w:highlight w:val="white"/>
          <w:lang w:eastAsia="es-ES_tradnl" w:bidi="ar-SA"/>
        </w:rPr>
        <w:t>ICU: intensive care unit.</w:t>
      </w:r>
      <w:r>
        <w:rPr>
          <w:rFonts w:ascii="Arial" w:hAnsi="Arial" w:cs="Arial"/>
          <w:i/>
          <w:color w:val="000000"/>
          <w:highlight w:val="white"/>
          <w:lang w:eastAsia="es-ES_tradnl" w:bidi="ar-SA"/>
        </w:rPr>
        <w:t xml:space="preserve"> </w:t>
      </w:r>
      <w:r w:rsidRPr="00F663B1">
        <w:rPr>
          <w:rFonts w:ascii="Arial" w:hAnsi="Arial" w:cs="Arial"/>
          <w:i/>
          <w:color w:val="000000"/>
          <w:highlight w:val="white"/>
          <w:lang w:eastAsia="es-ES_tradnl" w:bidi="ar-SA"/>
        </w:rPr>
        <w:t>Top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 xml:space="preserve">: </w:t>
      </w:r>
      <w:r w:rsidRPr="00F663B1">
        <w:rPr>
          <w:rFonts w:ascii="Arial" w:hAnsi="Arial" w:cs="Arial"/>
          <w:color w:val="000000"/>
          <w:highlight w:val="white"/>
          <w:lang w:eastAsia="es-ES_tradnl" w:bidi="ar-SA"/>
        </w:rPr>
        <w:t>Hospitalized patients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 xml:space="preserve">; </w:t>
      </w:r>
      <w:r w:rsidRPr="00F663B1">
        <w:rPr>
          <w:rFonts w:ascii="Arial" w:hAnsi="Arial" w:cs="Arial"/>
          <w:i/>
          <w:color w:val="000000"/>
          <w:highlight w:val="white"/>
          <w:lang w:eastAsia="es-ES_tradnl" w:bidi="ar-SA"/>
        </w:rPr>
        <w:t>Middle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>:</w:t>
      </w:r>
      <w:r w:rsidRPr="00F663B1">
        <w:rPr>
          <w:rFonts w:ascii="Arial" w:hAnsi="Arial" w:cs="Arial"/>
          <w:color w:val="000000"/>
          <w:highlight w:val="white"/>
          <w:lang w:eastAsia="es-ES_tradnl" w:bidi="ar-SA"/>
        </w:rPr>
        <w:t xml:space="preserve"> patients admitted to ICU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 xml:space="preserve">; </w:t>
      </w:r>
      <w:r w:rsidRPr="00F663B1">
        <w:rPr>
          <w:rFonts w:ascii="Arial" w:hAnsi="Arial" w:cs="Arial"/>
          <w:i/>
          <w:color w:val="000000"/>
          <w:highlight w:val="white"/>
          <w:lang w:eastAsia="es-ES_tradnl" w:bidi="ar-SA"/>
        </w:rPr>
        <w:t>Bottom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>:</w:t>
      </w:r>
      <w:r w:rsidRPr="00F663B1">
        <w:rPr>
          <w:rFonts w:ascii="Arial" w:hAnsi="Arial" w:cs="Arial"/>
          <w:color w:val="000000"/>
          <w:highlight w:val="white"/>
          <w:lang w:eastAsia="es-ES_tradnl" w:bidi="ar-SA"/>
        </w:rPr>
        <w:t xml:space="preserve"> patients that died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 xml:space="preserve">. </w:t>
      </w:r>
      <w:r w:rsidRPr="00F663B1">
        <w:rPr>
          <w:rFonts w:ascii="Arial" w:hAnsi="Arial" w:cs="Arial"/>
          <w:i/>
          <w:color w:val="000000"/>
          <w:highlight w:val="white"/>
          <w:lang w:eastAsia="es-ES_tradnl" w:bidi="ar-SA"/>
        </w:rPr>
        <w:t>Blue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 xml:space="preserve">: males; </w:t>
      </w:r>
      <w:r w:rsidR="00D946E6">
        <w:rPr>
          <w:rFonts w:ascii="Arial" w:hAnsi="Arial" w:cs="Arial"/>
          <w:i/>
          <w:color w:val="000000"/>
          <w:highlight w:val="white"/>
          <w:lang w:eastAsia="es-ES_tradnl" w:bidi="ar-SA"/>
        </w:rPr>
        <w:t>r</w:t>
      </w:r>
      <w:r w:rsidRPr="00F663B1">
        <w:rPr>
          <w:rFonts w:ascii="Arial" w:hAnsi="Arial" w:cs="Arial"/>
          <w:i/>
          <w:color w:val="000000"/>
          <w:highlight w:val="white"/>
          <w:lang w:eastAsia="es-ES_tradnl" w:bidi="ar-SA"/>
        </w:rPr>
        <w:t>ed</w:t>
      </w:r>
      <w:r w:rsidRPr="00F663B1">
        <w:rPr>
          <w:rFonts w:ascii="Arial" w:hAnsi="Arial" w:cs="Arial"/>
          <w:color w:val="000000"/>
          <w:highlight w:val="white"/>
          <w:lang w:eastAsia="es-ES_tradnl" w:bidi="ar-SA"/>
        </w:rPr>
        <w:t>: females</w:t>
      </w:r>
      <w:r>
        <w:rPr>
          <w:rFonts w:ascii="Arial" w:hAnsi="Arial" w:cs="Arial"/>
          <w:color w:val="000000"/>
          <w:highlight w:val="white"/>
          <w:lang w:eastAsia="es-ES_tradnl" w:bidi="ar-SA"/>
        </w:rPr>
        <w:t>.</w:t>
      </w:r>
    </w:p>
    <w:p w:rsidR="000121BE" w:rsidRDefault="000121BE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  <w:color w:val="000000"/>
          <w:highlight w:val="white"/>
          <w:lang w:eastAsia="es-ES_tradnl" w:bidi="ar-SA"/>
        </w:rPr>
      </w:pPr>
    </w:p>
    <w:p w:rsidR="00516F7F" w:rsidRDefault="00516F7F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  <w:color w:val="000000"/>
          <w:highlight w:val="white"/>
          <w:lang w:eastAsia="es-ES_tradnl" w:bidi="ar-SA"/>
        </w:rPr>
      </w:pPr>
    </w:p>
    <w:p w:rsidR="005F0916" w:rsidRPr="009D6C7D" w:rsidRDefault="009D6C7D" w:rsidP="009D6C7D">
      <w:pPr>
        <w:widowControl/>
        <w:autoSpaceDE/>
        <w:autoSpaceDN/>
        <w:spacing w:after="240" w:line="360" w:lineRule="auto"/>
        <w:contextualSpacing/>
        <w:rPr>
          <w:rFonts w:ascii="Arial" w:hAnsi="Arial" w:cs="Arial"/>
          <w:b/>
          <w:color w:val="000000"/>
          <w:highlight w:val="white"/>
          <w:lang w:eastAsia="es-ES_tradnl" w:bidi="ar-SA"/>
        </w:rPr>
      </w:pPr>
      <w:r w:rsidRPr="009D6C7D">
        <w:rPr>
          <w:rFonts w:ascii="Arial" w:hAnsi="Arial" w:cs="Arial"/>
          <w:b/>
          <w:color w:val="000000"/>
          <w:highlight w:val="white"/>
          <w:lang w:eastAsia="es-ES_tradnl" w:bidi="ar-SA"/>
        </w:rPr>
        <w:lastRenderedPageBreak/>
        <w:t xml:space="preserve">Supplementary </w:t>
      </w:r>
      <w:r w:rsidR="00AA4D31" w:rsidRPr="009D6C7D">
        <w:rPr>
          <w:rFonts w:ascii="Arial" w:hAnsi="Arial" w:cs="Arial"/>
          <w:b/>
          <w:color w:val="000000"/>
          <w:highlight w:val="white"/>
          <w:lang w:eastAsia="es-ES_tradnl" w:bidi="ar-SA"/>
        </w:rPr>
        <w:t>Table S1</w:t>
      </w:r>
      <w:r w:rsidR="008D31F1">
        <w:rPr>
          <w:rFonts w:ascii="Arial" w:hAnsi="Arial" w:cs="Arial"/>
          <w:b/>
          <w:color w:val="000000"/>
          <w:highlight w:val="white"/>
          <w:lang w:eastAsia="es-ES_tradnl" w:bidi="ar-SA"/>
        </w:rPr>
        <w:t>.</w:t>
      </w:r>
      <w:r>
        <w:rPr>
          <w:rFonts w:ascii="Arial" w:hAnsi="Arial" w:cs="Arial"/>
          <w:b/>
          <w:color w:val="000000"/>
          <w:highlight w:val="white"/>
          <w:lang w:eastAsia="es-ES_tradnl" w:bidi="ar-SA"/>
        </w:rPr>
        <w:t xml:space="preserve"> </w:t>
      </w:r>
      <w:r w:rsidRPr="009D6C7D">
        <w:rPr>
          <w:rFonts w:ascii="Arial" w:hAnsi="Arial" w:cs="Arial"/>
          <w:color w:val="000000"/>
          <w:highlight w:val="white"/>
          <w:lang w:eastAsia="es-ES_tradnl" w:bidi="ar-SA"/>
        </w:rPr>
        <w:t>Univariate analysis of potential predictors of death in the two pandemic waves, Aragon, Spain, February-September, 2020.</w:t>
      </w:r>
    </w:p>
    <w:p w:rsidR="005F0916" w:rsidRDefault="005F0916" w:rsidP="009D6C7D">
      <w:pPr>
        <w:pStyle w:val="Textoindependiente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10"/>
        <w:gridCol w:w="2611"/>
        <w:gridCol w:w="791"/>
        <w:gridCol w:w="790"/>
        <w:gridCol w:w="1706"/>
        <w:gridCol w:w="850"/>
      </w:tblGrid>
      <w:tr w:rsidR="005F0916" w:rsidRPr="001D676F">
        <w:trPr>
          <w:trHeight w:val="300"/>
        </w:trPr>
        <w:tc>
          <w:tcPr>
            <w:tcW w:w="2181" w:type="dxa"/>
            <w:shd w:val="clear" w:color="auto" w:fill="D9D9D9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4112" w:type="dxa"/>
            <w:gridSpan w:val="3"/>
            <w:shd w:val="clear" w:color="auto" w:fill="D9D9D9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First wave</w:t>
            </w:r>
          </w:p>
        </w:tc>
        <w:tc>
          <w:tcPr>
            <w:tcW w:w="3346" w:type="dxa"/>
            <w:gridSpan w:val="3"/>
            <w:shd w:val="clear" w:color="auto" w:fill="D9D9D9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Second wave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  <w:shd w:val="clear" w:color="auto" w:fill="BCD5ED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Univariant Model</w:t>
            </w:r>
          </w:p>
        </w:tc>
        <w:tc>
          <w:tcPr>
            <w:tcW w:w="710" w:type="dxa"/>
            <w:shd w:val="clear" w:color="auto" w:fill="BCD5ED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611" w:type="dxa"/>
            <w:shd w:val="clear" w:color="auto" w:fill="BCD5ED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1" w:type="dxa"/>
            <w:shd w:val="clear" w:color="auto" w:fill="BCD5ED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0" w:type="dxa"/>
            <w:shd w:val="clear" w:color="auto" w:fill="BCD5ED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1706" w:type="dxa"/>
            <w:shd w:val="clear" w:color="auto" w:fill="BCD5ED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850" w:type="dxa"/>
            <w:shd w:val="clear" w:color="auto" w:fill="BCD5ED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</w:tr>
      <w:tr w:rsidR="005F0916" w:rsidRPr="001D676F">
        <w:trPr>
          <w:trHeight w:val="300"/>
        </w:trPr>
        <w:tc>
          <w:tcPr>
            <w:tcW w:w="218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Variable</w:t>
            </w:r>
          </w:p>
        </w:tc>
        <w:tc>
          <w:tcPr>
            <w:tcW w:w="710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AUC</w:t>
            </w:r>
          </w:p>
        </w:tc>
        <w:tc>
          <w:tcPr>
            <w:tcW w:w="261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OR (95% CI)</w:t>
            </w:r>
          </w:p>
        </w:tc>
        <w:tc>
          <w:tcPr>
            <w:tcW w:w="79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P value</w:t>
            </w:r>
          </w:p>
        </w:tc>
        <w:tc>
          <w:tcPr>
            <w:tcW w:w="790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AUC</w:t>
            </w:r>
          </w:p>
        </w:tc>
        <w:tc>
          <w:tcPr>
            <w:tcW w:w="1706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OR (95% CI)</w:t>
            </w:r>
          </w:p>
        </w:tc>
        <w:tc>
          <w:tcPr>
            <w:tcW w:w="850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ind w:left="69"/>
              <w:rPr>
                <w:rFonts w:ascii="Arial" w:hAnsi="Arial" w:cs="Arial"/>
                <w:b/>
                <w:sz w:val="16"/>
              </w:rPr>
            </w:pPr>
            <w:r w:rsidRPr="001D676F">
              <w:rPr>
                <w:rFonts w:ascii="Arial" w:hAnsi="Arial" w:cs="Arial"/>
                <w:b/>
                <w:sz w:val="16"/>
              </w:rPr>
              <w:t>P value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Sex (Male: Female)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910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789-1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279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846-1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174)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976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Age (y</w:t>
            </w:r>
            <w:r w:rsidR="006F06E3" w:rsidRPr="001D676F">
              <w:rPr>
                <w:rFonts w:ascii="Arial" w:hAnsi="Arial" w:cs="Arial"/>
                <w:sz w:val="16"/>
              </w:rPr>
              <w:t>ears</w:t>
            </w:r>
            <w:r w:rsidRPr="001D676F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821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300"/>
        </w:trPr>
        <w:tc>
          <w:tcPr>
            <w:tcW w:w="218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Emergency room</w:t>
            </w:r>
          </w:p>
        </w:tc>
        <w:tc>
          <w:tcPr>
            <w:tcW w:w="71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61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1706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85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Systolic pressure (mmg Hg)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499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999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Diastolic pressure (mmHg)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971 - 0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983)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974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967 - 0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Temperature (ºC)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918 - 1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543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235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381)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Oxygen saturation (%)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905 0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888 - 0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921)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89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868 - 0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913)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70"/>
              <w:ind w:right="303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Capillary blood glucose (mg/dl)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300"/>
        </w:trPr>
        <w:tc>
          <w:tcPr>
            <w:tcW w:w="218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60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Laboratory</w:t>
            </w:r>
          </w:p>
        </w:tc>
        <w:tc>
          <w:tcPr>
            <w:tcW w:w="71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61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1706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85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Glucose (mg/dl)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603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6265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009)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Creatinine (mg/dl)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716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353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793)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Urea (g/l)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81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16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932 (12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12-24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7676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8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396 (6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181 - 11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Chloride (mmol/l)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087)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5413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0258 - 1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0607)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Potassium (mmol/l)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5275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235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17"/>
                <w:lang w:val="es-ES"/>
              </w:rPr>
            </w:pPr>
          </w:p>
          <w:p w:rsidR="005F0916" w:rsidRPr="001D676F" w:rsidRDefault="00AA4D31">
            <w:pPr>
              <w:pStyle w:val="TableParagraph"/>
              <w:ind w:right="303"/>
              <w:rPr>
                <w:rFonts w:ascii="Arial" w:hAnsi="Arial" w:cs="Arial"/>
                <w:sz w:val="16"/>
                <w:lang w:val="es-ES"/>
              </w:rPr>
            </w:pPr>
            <w:r w:rsidRPr="001D676F">
              <w:rPr>
                <w:rFonts w:ascii="Arial" w:hAnsi="Arial" w:cs="Arial"/>
                <w:sz w:val="16"/>
                <w:lang w:val="es-ES"/>
              </w:rPr>
              <w:t>Alanine aminotransferase (ALT) (U/l)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  <w:lang w:val="es-ES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989 - 0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6151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989 - 0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17"/>
                <w:lang w:val="es-ES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  <w:lang w:val="es-ES"/>
              </w:rPr>
            </w:pPr>
            <w:r w:rsidRPr="001D676F">
              <w:rPr>
                <w:rFonts w:ascii="Arial" w:hAnsi="Arial" w:cs="Arial"/>
                <w:sz w:val="16"/>
                <w:lang w:val="es-ES"/>
              </w:rPr>
              <w:t>Lactate dehydrogenase (LDH) (U/l)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  <w:lang w:val="es-ES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5952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right="303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Prothrombin activity (APT) (%)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979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974 - 0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6071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right="11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International normalized ratio- prothrombin time (INR-PT)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6047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202 - 1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2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</w:tbl>
    <w:p w:rsidR="005F0916" w:rsidRPr="001D676F" w:rsidRDefault="005F0916">
      <w:pPr>
        <w:rPr>
          <w:rFonts w:ascii="Arial" w:hAnsi="Arial" w:cs="Arial"/>
          <w:sz w:val="16"/>
        </w:rPr>
        <w:sectPr w:rsidR="005F0916" w:rsidRPr="001D676F">
          <w:pgSz w:w="11900" w:h="16840"/>
          <w:pgMar w:top="1340" w:right="4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10"/>
        <w:gridCol w:w="2611"/>
        <w:gridCol w:w="791"/>
        <w:gridCol w:w="790"/>
        <w:gridCol w:w="1706"/>
        <w:gridCol w:w="850"/>
      </w:tblGrid>
      <w:tr w:rsidR="005F0916" w:rsidRPr="001D676F">
        <w:trPr>
          <w:trHeight w:val="765"/>
        </w:trPr>
        <w:tc>
          <w:tcPr>
            <w:tcW w:w="218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7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right="54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Active partial thromboplastin time (RATIO-APTT) (seconds)</w:t>
            </w:r>
          </w:p>
        </w:tc>
        <w:tc>
          <w:tcPr>
            <w:tcW w:w="71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534</w:t>
            </w:r>
          </w:p>
        </w:tc>
        <w:tc>
          <w:tcPr>
            <w:tcW w:w="261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839 - 4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792)</w:t>
            </w:r>
          </w:p>
        </w:tc>
        <w:tc>
          <w:tcPr>
            <w:tcW w:w="79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5115</w:t>
            </w:r>
          </w:p>
        </w:tc>
        <w:tc>
          <w:tcPr>
            <w:tcW w:w="1706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403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8801 - 2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190)</w:t>
            </w:r>
          </w:p>
        </w:tc>
        <w:tc>
          <w:tcPr>
            <w:tcW w:w="85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 w:rsidTr="008205E8">
        <w:trPr>
          <w:trHeight w:val="64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D-Dimer (microgr/l)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728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 (1 - 1)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7127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 (1 - 1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0001)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Leukocytes (mil/mm3)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136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108 - 1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167)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5908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111)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61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Lymphocytes (mil/mm3)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721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846)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6626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315 - 0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483)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5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 xml:space="preserve">Lymphocytes </w:t>
            </w:r>
            <w:r w:rsidR="001D676F" w:rsidRPr="001D676F">
              <w:rPr>
                <w:rFonts w:ascii="Arial" w:hAnsi="Arial" w:cs="Arial"/>
                <w:sz w:val="16"/>
              </w:rPr>
              <w:t>(</w:t>
            </w:r>
            <w:r w:rsidRPr="001D676F">
              <w:rPr>
                <w:rFonts w:ascii="Arial" w:hAnsi="Arial" w:cs="Arial"/>
                <w:sz w:val="16"/>
              </w:rPr>
              <w:t>%</w:t>
            </w:r>
            <w:r w:rsidR="001D676F" w:rsidRPr="001D676F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674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944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933 - 0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7002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913 - 0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10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68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Monocytes (mil/mm3)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518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299 - 2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4765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302)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69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 xml:space="preserve">Monocytes </w:t>
            </w:r>
            <w:r w:rsidR="001D676F">
              <w:rPr>
                <w:rFonts w:ascii="Arial" w:hAnsi="Arial" w:cs="Arial"/>
                <w:sz w:val="16"/>
              </w:rPr>
              <w:t>(</w:t>
            </w:r>
            <w:r w:rsidRPr="001D676F">
              <w:rPr>
                <w:rFonts w:ascii="Arial" w:hAnsi="Arial" w:cs="Arial"/>
                <w:sz w:val="16"/>
              </w:rPr>
              <w:t>%</w:t>
            </w:r>
            <w:r w:rsidR="001D676F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925 - 0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6152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887 - 0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943)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602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Neutrophils (mil/mm3)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126 - 1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6313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69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 xml:space="preserve">Neutrophils </w:t>
            </w:r>
            <w:r w:rsidR="001D676F">
              <w:rPr>
                <w:rFonts w:ascii="Arial" w:hAnsi="Arial" w:cs="Arial"/>
                <w:sz w:val="16"/>
              </w:rPr>
              <w:t>(</w:t>
            </w:r>
            <w:r w:rsidRPr="001D676F">
              <w:rPr>
                <w:rFonts w:ascii="Arial" w:hAnsi="Arial" w:cs="Arial"/>
                <w:sz w:val="16"/>
              </w:rPr>
              <w:t>%</w:t>
            </w:r>
            <w:r w:rsidR="001D676F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663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6899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21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Basophils (mil/mm3)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504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100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431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111 - 4611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052)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048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5271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177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003 - 6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835)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 xml:space="preserve">Basophils </w:t>
            </w:r>
            <w:r w:rsidR="001D676F">
              <w:rPr>
                <w:rFonts w:ascii="Arial" w:hAnsi="Arial" w:cs="Arial"/>
                <w:sz w:val="16"/>
              </w:rPr>
              <w:t>(</w:t>
            </w:r>
            <w:r w:rsidRPr="001D676F">
              <w:rPr>
                <w:rFonts w:ascii="Arial" w:hAnsi="Arial" w:cs="Arial"/>
                <w:sz w:val="16"/>
              </w:rPr>
              <w:t>%</w:t>
            </w:r>
            <w:r w:rsidR="001D676F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571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648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445 - 0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923)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5874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380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247 - 0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572)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5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Eosinophils (mil/mm3)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29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058 - 1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288)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6072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011 - 0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292)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0055</w:t>
            </w:r>
          </w:p>
        </w:tc>
      </w:tr>
      <w:tr w:rsidR="005F0916" w:rsidRPr="001D676F">
        <w:trPr>
          <w:trHeight w:val="55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 xml:space="preserve">Eosinophils </w:t>
            </w:r>
            <w:r w:rsidR="001D676F">
              <w:rPr>
                <w:rFonts w:ascii="Arial" w:hAnsi="Arial" w:cs="Arial"/>
                <w:sz w:val="16"/>
              </w:rPr>
              <w:t>(</w:t>
            </w:r>
            <w:r w:rsidRPr="001D676F">
              <w:rPr>
                <w:rFonts w:ascii="Arial" w:hAnsi="Arial" w:cs="Arial"/>
                <w:sz w:val="16"/>
              </w:rPr>
              <w:t>%</w:t>
            </w:r>
            <w:r w:rsidR="001D676F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875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046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6178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717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819)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69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Red blood cells (mill/mm3)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427 - 0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6034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569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483 - 0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669)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367"/>
        </w:trPr>
        <w:tc>
          <w:tcPr>
            <w:tcW w:w="2181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before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Erythroblasts (mil/mm3)</w:t>
            </w:r>
          </w:p>
        </w:tc>
        <w:tc>
          <w:tcPr>
            <w:tcW w:w="710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before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</w:t>
            </w:r>
          </w:p>
        </w:tc>
        <w:tc>
          <w:tcPr>
            <w:tcW w:w="2611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line="175" w:lineRule="exact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666</w:t>
            </w:r>
            <w:r w:rsidR="008205E8">
              <w:rPr>
                <w:rFonts w:ascii="Arial" w:hAnsi="Arial" w:cs="Arial"/>
                <w:sz w:val="16"/>
              </w:rPr>
              <w:t>,</w:t>
            </w:r>
            <w:r w:rsidRPr="001D676F">
              <w:rPr>
                <w:rFonts w:ascii="Arial" w:hAnsi="Arial" w:cs="Arial"/>
                <w:sz w:val="16"/>
              </w:rPr>
              <w:t>455</w:t>
            </w:r>
            <w:r w:rsidR="008205E8">
              <w:rPr>
                <w:rFonts w:ascii="Arial" w:hAnsi="Arial" w:cs="Arial"/>
                <w:sz w:val="16"/>
              </w:rPr>
              <w:t>,</w:t>
            </w:r>
            <w:r w:rsidRPr="001D676F">
              <w:rPr>
                <w:rFonts w:ascii="Arial" w:hAnsi="Arial" w:cs="Arial"/>
                <w:sz w:val="16"/>
              </w:rPr>
              <w:t>985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639 (559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172 -</w:t>
            </w:r>
          </w:p>
          <w:p w:rsidR="005F0916" w:rsidRPr="001D676F" w:rsidRDefault="00AA4D31">
            <w:pPr>
              <w:pStyle w:val="TableParagraph"/>
              <w:spacing w:before="1" w:line="171" w:lineRule="exact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5875</w:t>
            </w:r>
            <w:r w:rsidR="008205E8">
              <w:rPr>
                <w:rFonts w:ascii="Arial" w:hAnsi="Arial" w:cs="Arial"/>
                <w:sz w:val="16"/>
              </w:rPr>
              <w:t>,</w:t>
            </w:r>
            <w:r w:rsidRPr="001D676F">
              <w:rPr>
                <w:rFonts w:ascii="Arial" w:hAnsi="Arial" w:cs="Arial"/>
                <w:sz w:val="16"/>
              </w:rPr>
              <w:t>529</w:t>
            </w:r>
            <w:r w:rsidR="008205E8">
              <w:rPr>
                <w:rFonts w:ascii="Arial" w:hAnsi="Arial" w:cs="Arial"/>
                <w:sz w:val="16"/>
              </w:rPr>
              <w:t>,</w:t>
            </w:r>
            <w:r w:rsidRPr="001D676F">
              <w:rPr>
                <w:rFonts w:ascii="Arial" w:hAnsi="Arial" w:cs="Arial"/>
                <w:sz w:val="16"/>
              </w:rPr>
              <w:t>981</w:t>
            </w:r>
            <w:r w:rsidR="008205E8">
              <w:rPr>
                <w:rFonts w:ascii="Arial" w:hAnsi="Arial" w:cs="Arial"/>
                <w:sz w:val="16"/>
              </w:rPr>
              <w:t>,</w:t>
            </w:r>
            <w:r w:rsidRPr="001D676F">
              <w:rPr>
                <w:rFonts w:ascii="Arial" w:hAnsi="Arial" w:cs="Arial"/>
                <w:sz w:val="16"/>
              </w:rPr>
              <w:t>928</w:t>
            </w:r>
            <w:r w:rsidR="008205E8">
              <w:rPr>
                <w:rFonts w:ascii="Arial" w:hAnsi="Arial" w:cs="Arial"/>
                <w:sz w:val="16"/>
              </w:rPr>
              <w:t>,</w:t>
            </w:r>
            <w:r w:rsidRPr="001D676F">
              <w:rPr>
                <w:rFonts w:ascii="Arial" w:hAnsi="Arial" w:cs="Arial"/>
                <w:sz w:val="16"/>
              </w:rPr>
              <w:t>593)</w:t>
            </w:r>
          </w:p>
        </w:tc>
        <w:tc>
          <w:tcPr>
            <w:tcW w:w="791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before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029</w:t>
            </w:r>
          </w:p>
        </w:tc>
        <w:tc>
          <w:tcPr>
            <w:tcW w:w="790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before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5306</w:t>
            </w:r>
          </w:p>
        </w:tc>
        <w:tc>
          <w:tcPr>
            <w:tcW w:w="1706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before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422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132 - 8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167)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5F0916" w:rsidRPr="001D676F" w:rsidRDefault="00AA4D31">
            <w:pPr>
              <w:pStyle w:val="TableParagraph"/>
              <w:spacing w:before="8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762"/>
        </w:trPr>
        <w:tc>
          <w:tcPr>
            <w:tcW w:w="2181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11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Mean corpuscular hemoglobin concentration (MCHC) (g/dl)</w:t>
            </w:r>
          </w:p>
        </w:tc>
        <w:tc>
          <w:tcPr>
            <w:tcW w:w="710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3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641</w:t>
            </w:r>
          </w:p>
        </w:tc>
        <w:tc>
          <w:tcPr>
            <w:tcW w:w="2611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3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564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502 - 0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633)</w:t>
            </w:r>
          </w:p>
        </w:tc>
        <w:tc>
          <w:tcPr>
            <w:tcW w:w="791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3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3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6502</w:t>
            </w:r>
          </w:p>
        </w:tc>
        <w:tc>
          <w:tcPr>
            <w:tcW w:w="1706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3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662)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3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651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Hemoglobin (g/dl)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757 - 0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846)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5796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866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82 - 0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56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Hematocrit (%)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588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946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929 - 0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5524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969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951 - 0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</w:t>
            </w:r>
          </w:p>
        </w:tc>
      </w:tr>
      <w:tr w:rsidR="005F0916" w:rsidRPr="001D676F" w:rsidTr="008205E8">
        <w:trPr>
          <w:trHeight w:val="55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Mean corpuscular volume (MCV) (fl)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046 - 1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083)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6277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093)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Platelet count (mil/mm3)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996 - 0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995 - 0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</w:tbl>
    <w:p w:rsidR="005F0916" w:rsidRPr="001D676F" w:rsidRDefault="005F0916">
      <w:pPr>
        <w:rPr>
          <w:rFonts w:ascii="Arial" w:hAnsi="Arial" w:cs="Arial"/>
          <w:sz w:val="16"/>
        </w:rPr>
        <w:sectPr w:rsidR="005F0916" w:rsidRPr="001D676F">
          <w:pgSz w:w="11900" w:h="16840"/>
          <w:pgMar w:top="1420" w:right="4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10"/>
        <w:gridCol w:w="2611"/>
        <w:gridCol w:w="791"/>
        <w:gridCol w:w="790"/>
        <w:gridCol w:w="1706"/>
        <w:gridCol w:w="850"/>
      </w:tblGrid>
      <w:tr w:rsidR="005F0916" w:rsidRPr="001D676F" w:rsidTr="008205E8">
        <w:trPr>
          <w:trHeight w:val="567"/>
        </w:trPr>
        <w:tc>
          <w:tcPr>
            <w:tcW w:w="218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7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right="11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Mean platelet volume (MPV) (fl)</w:t>
            </w:r>
          </w:p>
        </w:tc>
        <w:tc>
          <w:tcPr>
            <w:tcW w:w="71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566</w:t>
            </w:r>
          </w:p>
        </w:tc>
        <w:tc>
          <w:tcPr>
            <w:tcW w:w="261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213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117 - 1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317)</w:t>
            </w:r>
          </w:p>
        </w:tc>
        <w:tc>
          <w:tcPr>
            <w:tcW w:w="79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5504</w:t>
            </w:r>
          </w:p>
        </w:tc>
        <w:tc>
          <w:tcPr>
            <w:tcW w:w="1706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165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066 - 1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273)</w:t>
            </w:r>
          </w:p>
        </w:tc>
        <w:tc>
          <w:tcPr>
            <w:tcW w:w="85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</w:t>
            </w:r>
          </w:p>
        </w:tc>
      </w:tr>
      <w:tr w:rsidR="005F0916" w:rsidRPr="001D676F" w:rsidTr="008205E8">
        <w:trPr>
          <w:trHeight w:val="571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Interleukin-6 (pg/ml)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676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6659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551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C-reactive protein (mg/l)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6351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54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Procalcitonin (mg/l)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73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135)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018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7363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546)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Comorbidities</w:t>
            </w:r>
          </w:p>
        </w:tc>
        <w:tc>
          <w:tcPr>
            <w:tcW w:w="71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61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1706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85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Malignancy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515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774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391)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511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036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7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right="574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Vitamin B12 and folate deficiency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424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773 - 3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666 - 3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85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Iron-deficiency anemia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94 - 2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772)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902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558 - 2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316)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Hemostatic alterations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547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977 - 3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037)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789 - 2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981)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Eosinophilia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506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18 - 3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203)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027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506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171 - 4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069)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033</w:t>
            </w:r>
          </w:p>
        </w:tc>
      </w:tr>
      <w:tr w:rsidR="005F0916" w:rsidRPr="001D676F" w:rsidTr="008205E8">
        <w:trPr>
          <w:trHeight w:val="80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Asymptomatic hyperuricemia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518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438)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048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331)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Myelodysplastic syndromes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313 - 5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023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314 - 2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spacing w:before="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Acute pancreatitis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771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258 - 2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483)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502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723 - 1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767)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Ischemic cardiomyopathy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648 - 2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688)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441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852 - 3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09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Heart failure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547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457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679 - 4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474)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551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454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645 - 4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498)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Atrial fibrillation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549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899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302 - 3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656)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919 - 3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205)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Pulmonary hypertension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505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605 - 9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062)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012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501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7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806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536 - 12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537)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7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625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2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Non rheumatic heart disease aortic stenosis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866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23 - 2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817)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013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836)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57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Atrial fibrillation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827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439 - 2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355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788 - 3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7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Hypertension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918 - 2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74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297 - 3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277)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spacing w:before="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09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Stroke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075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492 - 3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573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881 (3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076 - 4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89)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</w:tbl>
    <w:p w:rsidR="005F0916" w:rsidRPr="001D676F" w:rsidRDefault="005F0916">
      <w:pPr>
        <w:rPr>
          <w:rFonts w:ascii="Arial" w:hAnsi="Arial" w:cs="Arial"/>
          <w:sz w:val="16"/>
        </w:rPr>
        <w:sectPr w:rsidR="005F0916" w:rsidRPr="001D676F">
          <w:pgSz w:w="11900" w:h="16840"/>
          <w:pgMar w:top="1420" w:right="4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10"/>
        <w:gridCol w:w="2611"/>
        <w:gridCol w:w="791"/>
        <w:gridCol w:w="790"/>
        <w:gridCol w:w="1706"/>
        <w:gridCol w:w="850"/>
      </w:tblGrid>
      <w:tr w:rsidR="005F0916" w:rsidRPr="001D676F">
        <w:trPr>
          <w:trHeight w:val="570"/>
        </w:trPr>
        <w:tc>
          <w:tcPr>
            <w:tcW w:w="218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Intermittent claudication</w:t>
            </w:r>
          </w:p>
        </w:tc>
        <w:tc>
          <w:tcPr>
            <w:tcW w:w="71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261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775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709 - 5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303)</w:t>
            </w:r>
          </w:p>
        </w:tc>
        <w:tc>
          <w:tcPr>
            <w:tcW w:w="79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508</w:t>
            </w:r>
          </w:p>
        </w:tc>
        <w:tc>
          <w:tcPr>
            <w:tcW w:w="1706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983 - 2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187)</w:t>
            </w:r>
          </w:p>
        </w:tc>
        <w:tc>
          <w:tcPr>
            <w:tcW w:w="85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 w:rsidTr="008205E8">
        <w:trPr>
          <w:trHeight w:val="68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ind w:right="49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Cognitive impairment or dementia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653 (3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445)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 (3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497 - 5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431)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19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5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Non-streptococcal tonsillitis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352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158 - 0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018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256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097 - 0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549)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009</w:t>
            </w:r>
          </w:p>
        </w:tc>
      </w:tr>
      <w:tr w:rsidR="005F0916" w:rsidRPr="001D676F">
        <w:trPr>
          <w:trHeight w:val="57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Acute bronchitis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374 - 1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742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43 - 2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116)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Flu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524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213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121 - 0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348)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517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338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181 - 0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2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</w:tr>
      <w:tr w:rsidR="005F0916" w:rsidRPr="001D676F">
        <w:trPr>
          <w:trHeight w:val="57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Respiratory infections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241 - 2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373)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006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107 - 2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5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032</w:t>
            </w:r>
          </w:p>
        </w:tc>
      </w:tr>
      <w:tr w:rsidR="005F0916" w:rsidRPr="001D676F" w:rsidTr="008205E8">
        <w:trPr>
          <w:trHeight w:val="58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right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Chronic obstructive pulmonary disease (COPD)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404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155 - 1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704)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531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284 - 1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6"/>
              <w:ind w:left="0"/>
              <w:rPr>
                <w:rFonts w:ascii="Arial" w:hAnsi="Arial" w:cs="Arial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Obstructive sleep apnea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515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475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142 - 1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897)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012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509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328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967 - 1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Obesity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516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768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621 - 0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945)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039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505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864 - 1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348)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Diabetes mellitus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545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744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467 - 2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072)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546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969)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Vitamin D deficiency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539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939)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545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401 - 2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054)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Gout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076 - 1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039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516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746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255 - 2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005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Hyperlipidemia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277)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535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334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131 - 1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572)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  <w:shd w:val="clear" w:color="auto" w:fill="FFC000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Previous treatments</w:t>
            </w:r>
          </w:p>
        </w:tc>
        <w:tc>
          <w:tcPr>
            <w:tcW w:w="71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61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1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79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1706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850" w:type="dxa"/>
            <w:shd w:val="clear" w:color="auto" w:fill="FFC000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6"/>
              </w:rPr>
            </w:pP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Antiulcer drugs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625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794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415 - 3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235)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578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183 - 3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046)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Laxatives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361 - 3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091)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456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081 - 5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689)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Antidiabetic drugs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537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406 - 2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533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243 - 1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857)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09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Vitamins: A, D, E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517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322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078 - 1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616)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023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741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389 - 2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17)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Calcium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517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224 - 2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021)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518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779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301 - 2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404)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Antithrombotic therapy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624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168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719 - 3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693)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611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845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395 - 3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378)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2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Oral iron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537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659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436)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021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256 - 4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027)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1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50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Vitamin B12 and folic acid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544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082 - 3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666 - 2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55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09"/>
              <w:ind w:right="414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Digoxin and other cardiac glycosides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523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243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066 - 1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448)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019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152 - 1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627)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4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</w:t>
            </w:r>
          </w:p>
        </w:tc>
      </w:tr>
    </w:tbl>
    <w:p w:rsidR="005F0916" w:rsidRPr="001D676F" w:rsidRDefault="005F0916">
      <w:pPr>
        <w:rPr>
          <w:rFonts w:ascii="Arial" w:hAnsi="Arial" w:cs="Arial"/>
          <w:sz w:val="16"/>
        </w:rPr>
        <w:sectPr w:rsidR="005F0916" w:rsidRPr="001D676F">
          <w:pgSz w:w="11900" w:h="16840"/>
          <w:pgMar w:top="1420" w:right="4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10"/>
        <w:gridCol w:w="2611"/>
        <w:gridCol w:w="791"/>
        <w:gridCol w:w="790"/>
        <w:gridCol w:w="1706"/>
        <w:gridCol w:w="850"/>
      </w:tblGrid>
      <w:tr w:rsidR="005F0916" w:rsidRPr="001D676F" w:rsidTr="008205E8">
        <w:trPr>
          <w:trHeight w:val="993"/>
        </w:trPr>
        <w:tc>
          <w:tcPr>
            <w:tcW w:w="218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Vasodilators with venodilator action: nitroglycerin</w:t>
            </w:r>
          </w:p>
        </w:tc>
        <w:tc>
          <w:tcPr>
            <w:tcW w:w="71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523</w:t>
            </w:r>
          </w:p>
        </w:tc>
        <w:tc>
          <w:tcPr>
            <w:tcW w:w="261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952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669 - 5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928)</w:t>
            </w:r>
          </w:p>
        </w:tc>
        <w:tc>
          <w:tcPr>
            <w:tcW w:w="79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521</w:t>
            </w:r>
          </w:p>
        </w:tc>
        <w:tc>
          <w:tcPr>
            <w:tcW w:w="1706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816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932 - 4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067)</w:t>
            </w:r>
          </w:p>
        </w:tc>
        <w:tc>
          <w:tcPr>
            <w:tcW w:w="85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Prostaglandins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503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873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939 - 3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688)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506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105 - 3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399)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045</w:t>
            </w:r>
          </w:p>
        </w:tc>
      </w:tr>
      <w:tr w:rsidR="005F0916" w:rsidRPr="001D676F" w:rsidTr="008205E8">
        <w:trPr>
          <w:trHeight w:val="102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ind w:right="410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Thiazide and thiazide-like diuretics (chlorthalidone)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266 - 3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324)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014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056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173 - 3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029</w:t>
            </w:r>
          </w:p>
        </w:tc>
      </w:tr>
      <w:tr w:rsidR="005F0916" w:rsidRPr="001D676F" w:rsidTr="008205E8">
        <w:trPr>
          <w:trHeight w:val="853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09"/>
              <w:ind w:right="36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Loop diuretic (furosemide, torasemide)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524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936 - 4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234)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122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565 - 3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682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Potassium sparing diuretics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524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938 - 3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661)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244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799 - 1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 w:rsidTr="008205E8">
        <w:trPr>
          <w:trHeight w:val="692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09"/>
              <w:ind w:right="303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Chronic venous disease treatment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458 - 5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597)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501 - 5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008</w:t>
            </w:r>
          </w:p>
        </w:tc>
      </w:tr>
      <w:tr w:rsidR="005F0916" w:rsidRPr="001D676F" w:rsidTr="008205E8">
        <w:trPr>
          <w:trHeight w:val="56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Varicose veins treatment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502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892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735 - 4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761)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125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591 - 6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004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Beta-blockers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551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693 - 2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451)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545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587 - 2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425)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102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09"/>
              <w:ind w:right="468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Dihydropyridine calcium channel blockers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521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272 - 2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534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1129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3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spacing w:line="237" w:lineRule="auto"/>
              <w:ind w:right="244"/>
              <w:jc w:val="bot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Nondihydropyridine calcium channel blockers (verapamil, diltiazem)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511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658 - 4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131)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509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359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383 - 3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926)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007</w:t>
            </w:r>
          </w:p>
        </w:tc>
      </w:tr>
      <w:tr w:rsidR="005F0916" w:rsidRPr="001D676F" w:rsidTr="008205E8">
        <w:trPr>
          <w:trHeight w:val="82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09"/>
              <w:ind w:right="56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Angiotensin-converting enzyme inhibitors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533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482 - 2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264)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327 - 2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157)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8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63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7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right="588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Angiotensin II receptor blockers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492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267 - 1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754)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256 - 1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98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Medical treatment of benign prostatic hyperplasia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561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169)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054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603 - 2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619)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4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Systemic glucocorticoids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807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244 - 2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614)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009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512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468 - 3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569)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</w:tr>
    </w:tbl>
    <w:p w:rsidR="005F0916" w:rsidRPr="001D676F" w:rsidRDefault="005F0916">
      <w:pPr>
        <w:rPr>
          <w:rFonts w:ascii="Arial" w:hAnsi="Arial" w:cs="Arial"/>
          <w:sz w:val="16"/>
        </w:rPr>
        <w:sectPr w:rsidR="005F0916" w:rsidRPr="001D676F">
          <w:pgSz w:w="11900" w:h="16840"/>
          <w:pgMar w:top="1420" w:right="4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10"/>
        <w:gridCol w:w="2611"/>
        <w:gridCol w:w="791"/>
        <w:gridCol w:w="790"/>
        <w:gridCol w:w="1706"/>
        <w:gridCol w:w="850"/>
      </w:tblGrid>
      <w:tr w:rsidR="005F0916" w:rsidRPr="001D676F">
        <w:trPr>
          <w:trHeight w:val="765"/>
        </w:trPr>
        <w:tc>
          <w:tcPr>
            <w:tcW w:w="218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Oral contraceptive</w:t>
            </w:r>
          </w:p>
        </w:tc>
        <w:tc>
          <w:tcPr>
            <w:tcW w:w="71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506</w:t>
            </w:r>
          </w:p>
        </w:tc>
        <w:tc>
          <w:tcPr>
            <w:tcW w:w="261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832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458 - 5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597)</w:t>
            </w:r>
          </w:p>
        </w:tc>
        <w:tc>
          <w:tcPr>
            <w:tcW w:w="791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</w:t>
            </w:r>
          </w:p>
        </w:tc>
        <w:tc>
          <w:tcPr>
            <w:tcW w:w="79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1706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721 - 7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21)</w:t>
            </w:r>
          </w:p>
        </w:tc>
        <w:tc>
          <w:tcPr>
            <w:tcW w:w="850" w:type="dxa"/>
            <w:tcBorders>
              <w:top w:val="nil"/>
            </w:tcBorders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003</w:t>
            </w:r>
          </w:p>
        </w:tc>
      </w:tr>
      <w:tr w:rsidR="005F0916" w:rsidRPr="001D676F" w:rsidTr="008205E8">
        <w:trPr>
          <w:trHeight w:val="787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09"/>
              <w:ind w:right="13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Pharmacologic urate-lowering therapy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537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885 - 3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977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585)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17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Bisphosphonates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523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807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009 - 3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935)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487 (0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967 - 2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229)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s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Analgesics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559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231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861 - 2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675)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551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66 - 2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Antiepileptics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843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487 - 2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283)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348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845 - 2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975)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Antiparkinson drugs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221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193 - 4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518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331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141 - 5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142)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Antipsychotics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563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28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642 - 4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078)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564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419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697 - 4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324)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Anxiolytics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035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696 - 2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44)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519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229 - 1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868)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Hypnotic therapy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568)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543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699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081 - 3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486)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Antidepressants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582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383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028 - 2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801)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578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153 - 3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085)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70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Psychostimulants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509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764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611 - 4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789)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002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507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308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277 - 4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042)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2"/>
              <w:ind w:left="0"/>
              <w:rPr>
                <w:rFonts w:ascii="Arial" w:hAnsi="Arial" w:cs="Arial"/>
                <w:sz w:val="16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016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Antidementia drugs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535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821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155 - 3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699)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549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024 (3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02 - 5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352)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 w:rsidTr="008205E8">
        <w:trPr>
          <w:trHeight w:val="972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spacing w:before="9"/>
              <w:ind w:left="0"/>
              <w:rPr>
                <w:rFonts w:ascii="Arial" w:hAnsi="Arial" w:cs="Arial"/>
                <w:sz w:val="20"/>
              </w:rPr>
            </w:pPr>
          </w:p>
          <w:p w:rsidR="005F0916" w:rsidRPr="001D676F" w:rsidRDefault="00AA4D31">
            <w:pPr>
              <w:pStyle w:val="TableParagraph"/>
              <w:ind w:right="81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Chronic obstructive pulmonary disease treatments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525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714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362 - 2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152)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536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032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592 - 2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578)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5F0916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:rsidR="005F0916" w:rsidRPr="001D676F" w:rsidRDefault="00AA4D31">
            <w:pPr>
              <w:pStyle w:val="TableParagraph"/>
              <w:spacing w:before="122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765"/>
        </w:trPr>
        <w:tc>
          <w:tcPr>
            <w:tcW w:w="218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Antiglaucoma medications</w:t>
            </w:r>
          </w:p>
        </w:tc>
        <w:tc>
          <w:tcPr>
            <w:tcW w:w="71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526</w:t>
            </w:r>
          </w:p>
        </w:tc>
        <w:tc>
          <w:tcPr>
            <w:tcW w:w="261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991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549 - 2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556)</w:t>
            </w:r>
          </w:p>
        </w:tc>
        <w:tc>
          <w:tcPr>
            <w:tcW w:w="791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525</w:t>
            </w:r>
          </w:p>
        </w:tc>
        <w:tc>
          <w:tcPr>
            <w:tcW w:w="1706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968 (1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481 - 2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595)</w:t>
            </w:r>
          </w:p>
        </w:tc>
        <w:tc>
          <w:tcPr>
            <w:tcW w:w="850" w:type="dxa"/>
          </w:tcPr>
          <w:p w:rsidR="005F0916" w:rsidRPr="001D676F" w:rsidRDefault="005F0916">
            <w:pPr>
              <w:pStyle w:val="TableParagraph"/>
              <w:spacing w:before="5"/>
              <w:ind w:left="0"/>
              <w:rPr>
                <w:rFonts w:ascii="Arial" w:hAnsi="Arial" w:cs="Arial"/>
                <w:sz w:val="24"/>
              </w:rPr>
            </w:pPr>
          </w:p>
          <w:p w:rsidR="005F0916" w:rsidRPr="001D676F" w:rsidRDefault="00AA4D31">
            <w:pPr>
              <w:pStyle w:val="TableParagraph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  <w:tr w:rsidR="005F0916" w:rsidRPr="001D676F">
        <w:trPr>
          <w:trHeight w:val="510"/>
        </w:trPr>
        <w:tc>
          <w:tcPr>
            <w:tcW w:w="218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Nutritional supplements</w:t>
            </w:r>
          </w:p>
        </w:tc>
        <w:tc>
          <w:tcPr>
            <w:tcW w:w="71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</w:t>
            </w:r>
          </w:p>
        </w:tc>
        <w:tc>
          <w:tcPr>
            <w:tcW w:w="261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538 (3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29 - 6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321)</w:t>
            </w:r>
          </w:p>
        </w:tc>
        <w:tc>
          <w:tcPr>
            <w:tcW w:w="791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  <w:tc>
          <w:tcPr>
            <w:tcW w:w="790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523</w:t>
            </w:r>
          </w:p>
        </w:tc>
        <w:tc>
          <w:tcPr>
            <w:tcW w:w="1706" w:type="dxa"/>
          </w:tcPr>
          <w:p w:rsidR="005F0916" w:rsidRPr="001D676F" w:rsidRDefault="00AA4D31">
            <w:pPr>
              <w:pStyle w:val="TableParagraph"/>
              <w:spacing w:before="156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4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137 (2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713 - 6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3)</w:t>
            </w:r>
          </w:p>
        </w:tc>
        <w:tc>
          <w:tcPr>
            <w:tcW w:w="850" w:type="dxa"/>
          </w:tcPr>
          <w:p w:rsidR="005F0916" w:rsidRPr="001D676F" w:rsidRDefault="00AA4D31">
            <w:pPr>
              <w:pStyle w:val="TableParagraph"/>
              <w:spacing w:before="156"/>
              <w:ind w:left="69"/>
              <w:rPr>
                <w:rFonts w:ascii="Arial" w:hAnsi="Arial" w:cs="Arial"/>
                <w:sz w:val="16"/>
              </w:rPr>
            </w:pPr>
            <w:r w:rsidRPr="001D676F">
              <w:rPr>
                <w:rFonts w:ascii="Arial" w:hAnsi="Arial" w:cs="Arial"/>
                <w:sz w:val="16"/>
              </w:rPr>
              <w:t>&lt;0</w:t>
            </w:r>
            <w:r w:rsidR="006F06E3" w:rsidRPr="001D676F">
              <w:rPr>
                <w:rFonts w:ascii="Arial" w:hAnsi="Arial" w:cs="Arial"/>
                <w:sz w:val="16"/>
              </w:rPr>
              <w:t>.</w:t>
            </w:r>
            <w:r w:rsidRPr="001D676F">
              <w:rPr>
                <w:rFonts w:ascii="Arial" w:hAnsi="Arial" w:cs="Arial"/>
                <w:sz w:val="16"/>
              </w:rPr>
              <w:t>001</w:t>
            </w:r>
          </w:p>
        </w:tc>
      </w:tr>
    </w:tbl>
    <w:p w:rsidR="00B71637" w:rsidRDefault="00B71637">
      <w:pPr>
        <w:rPr>
          <w:rFonts w:ascii="Arial" w:hAnsi="Arial" w:cs="Arial"/>
          <w:color w:val="000000"/>
          <w:lang w:eastAsia="es-ES_tradnl" w:bidi="ar-SA"/>
        </w:rPr>
      </w:pPr>
    </w:p>
    <w:p w:rsidR="00AA4D31" w:rsidRDefault="00B71637" w:rsidP="00B71637">
      <w:pPr>
        <w:rPr>
          <w:rFonts w:ascii="Arial" w:hAnsi="Arial" w:cs="Arial"/>
          <w:color w:val="000000"/>
          <w:lang w:eastAsia="es-ES_tradnl" w:bidi="ar-SA"/>
        </w:rPr>
      </w:pPr>
      <w:r w:rsidRPr="00B71637">
        <w:rPr>
          <w:rFonts w:ascii="Arial" w:hAnsi="Arial" w:cs="Arial"/>
          <w:color w:val="000000"/>
          <w:lang w:eastAsia="es-ES_tradnl" w:bidi="ar-SA"/>
        </w:rPr>
        <w:t>OR</w:t>
      </w:r>
      <w:r w:rsidR="001D676F">
        <w:rPr>
          <w:rFonts w:ascii="Arial" w:hAnsi="Arial" w:cs="Arial"/>
          <w:color w:val="000000"/>
          <w:lang w:eastAsia="es-ES_tradnl" w:bidi="ar-SA"/>
        </w:rPr>
        <w:t>: Odds ratio; CI: confidence interval</w:t>
      </w:r>
      <w:r w:rsidR="00A50D69">
        <w:rPr>
          <w:rFonts w:ascii="Arial" w:hAnsi="Arial" w:cs="Arial"/>
          <w:color w:val="000000"/>
          <w:lang w:eastAsia="es-ES_tradnl" w:bidi="ar-SA"/>
        </w:rPr>
        <w:t xml:space="preserve">; n.s.: </w:t>
      </w:r>
      <w:r w:rsidR="00A50D69" w:rsidRPr="00A50D69">
        <w:rPr>
          <w:rFonts w:ascii="Arial" w:hAnsi="Arial" w:cs="Arial"/>
          <w:color w:val="000000"/>
          <w:lang w:eastAsia="es-ES_tradnl" w:bidi="ar-SA"/>
        </w:rPr>
        <w:t>Not Significant</w:t>
      </w:r>
    </w:p>
    <w:p w:rsidR="005169E3" w:rsidRDefault="005169E3" w:rsidP="00B71637">
      <w:pPr>
        <w:rPr>
          <w:rFonts w:ascii="Arial" w:hAnsi="Arial" w:cs="Arial"/>
          <w:color w:val="000000"/>
          <w:lang w:eastAsia="es-ES_tradnl" w:bidi="ar-SA"/>
        </w:rPr>
      </w:pPr>
    </w:p>
    <w:p w:rsidR="005169E3" w:rsidRDefault="005169E3" w:rsidP="00B71637">
      <w:pPr>
        <w:rPr>
          <w:rFonts w:ascii="Arial" w:hAnsi="Arial" w:cs="Arial"/>
          <w:color w:val="000000"/>
          <w:lang w:eastAsia="es-ES_tradnl" w:bidi="ar-SA"/>
        </w:rPr>
      </w:pPr>
    </w:p>
    <w:p w:rsidR="005169E3" w:rsidRDefault="005169E3" w:rsidP="005169E3">
      <w:pPr>
        <w:rPr>
          <w:rFonts w:ascii="Arial" w:hAnsi="Arial" w:cs="Arial"/>
          <w:i/>
          <w:color w:val="000000"/>
          <w:lang w:val="en-GB" w:eastAsia="es-ES_tradnl" w:bidi="ar-SA"/>
        </w:rPr>
      </w:pPr>
    </w:p>
    <w:p w:rsidR="005169E3" w:rsidRPr="005169E3" w:rsidRDefault="005169E3" w:rsidP="005169E3">
      <w:pPr>
        <w:rPr>
          <w:rFonts w:ascii="Arial" w:hAnsi="Arial" w:cs="Arial"/>
          <w:i/>
          <w:color w:val="000000"/>
          <w:lang w:val="en-GB" w:eastAsia="es-ES_tradnl" w:bidi="ar-SA"/>
        </w:rPr>
      </w:pPr>
    </w:p>
    <w:sectPr w:rsidR="005169E3" w:rsidRPr="005169E3">
      <w:pgSz w:w="11900" w:h="16840"/>
      <w:pgMar w:top="1420" w:right="4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F0916"/>
    <w:rsid w:val="000121BE"/>
    <w:rsid w:val="000174F6"/>
    <w:rsid w:val="001D676F"/>
    <w:rsid w:val="005169E3"/>
    <w:rsid w:val="00516F7F"/>
    <w:rsid w:val="005F0916"/>
    <w:rsid w:val="006F06E3"/>
    <w:rsid w:val="007873C6"/>
    <w:rsid w:val="007C0259"/>
    <w:rsid w:val="008205E8"/>
    <w:rsid w:val="008D31F1"/>
    <w:rsid w:val="009D6C7D"/>
    <w:rsid w:val="00A50D69"/>
    <w:rsid w:val="00A50F91"/>
    <w:rsid w:val="00AA4D31"/>
    <w:rsid w:val="00B71637"/>
    <w:rsid w:val="00C93509"/>
    <w:rsid w:val="00CB503E"/>
    <w:rsid w:val="00D64EFC"/>
    <w:rsid w:val="00D946E6"/>
    <w:rsid w:val="00DA6C50"/>
    <w:rsid w:val="00F66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9A1337-51EC-4D7D-804D-56C32873B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Ttulo1">
    <w:name w:val="heading 1"/>
    <w:basedOn w:val="Normal"/>
    <w:uiPriority w:val="1"/>
    <w:qFormat/>
    <w:pPr>
      <w:ind w:left="100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70"/>
    </w:pPr>
  </w:style>
  <w:style w:type="character" w:customStyle="1" w:styleId="hvr">
    <w:name w:val="hvr"/>
    <w:basedOn w:val="Fuentedeprrafopredeter"/>
    <w:rsid w:val="00A50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8</Pages>
  <Words>1836</Words>
  <Characters>10099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ITA</Company>
  <LinksUpToDate>false</LinksUpToDate>
  <CharactersWithSpaces>11912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Rocio Aznar Gimeno</cp:lastModifiedBy>
  <cp:revision>21</cp:revision>
  <dcterms:created xsi:type="dcterms:W3CDTF">2021-01-19T10:01:00Z</dcterms:created>
  <dcterms:modified xsi:type="dcterms:W3CDTF">2021-02-02T11:35:00Z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2021-01-19T00:00:00Z</vt:filetime>
  </property>
</Properties>
</file>