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FDCCAD" w14:textId="77777777" w:rsidR="00DC2DB2" w:rsidRPr="00B63AB4" w:rsidRDefault="00DC2DB2" w:rsidP="00DC2DB2">
      <w:pPr>
        <w:spacing w:line="360" w:lineRule="auto"/>
        <w:jc w:val="both"/>
        <w:rPr>
          <w:b/>
          <w:u w:val="single"/>
          <w:lang w:val="en-US"/>
        </w:rPr>
      </w:pPr>
      <w:r w:rsidRPr="00B63AB4">
        <w:rPr>
          <w:b/>
          <w:u w:val="single"/>
          <w:lang w:val="en-US"/>
        </w:rPr>
        <w:t>Maternal transmission bias of inherited genetic variants in severe early-onset obesity</w:t>
      </w:r>
    </w:p>
    <w:p w14:paraId="36A1D593" w14:textId="77777777" w:rsidR="00DC2DB2" w:rsidRPr="00B63AB4" w:rsidRDefault="00DC2DB2" w:rsidP="00DC2DB2">
      <w:pPr>
        <w:spacing w:line="360" w:lineRule="auto"/>
        <w:jc w:val="both"/>
        <w:rPr>
          <w:lang w:val="en-US"/>
        </w:rPr>
      </w:pPr>
    </w:p>
    <w:p w14:paraId="798B423D" w14:textId="77777777" w:rsidR="00DC2DB2" w:rsidRPr="00B5629A" w:rsidRDefault="00DC2DB2" w:rsidP="00DC2DB2">
      <w:pPr>
        <w:spacing w:line="360" w:lineRule="auto"/>
        <w:jc w:val="both"/>
      </w:pPr>
      <w:r w:rsidRPr="00B5629A">
        <w:t xml:space="preserve">Bou de </w:t>
      </w:r>
      <w:proofErr w:type="spellStart"/>
      <w:r w:rsidRPr="00B5629A">
        <w:t>Pieri</w:t>
      </w:r>
      <w:proofErr w:type="spellEnd"/>
      <w:r w:rsidRPr="00B5629A">
        <w:t xml:space="preserve"> F</w:t>
      </w:r>
      <w:r w:rsidRPr="00B5629A">
        <w:rPr>
          <w:vertAlign w:val="superscript"/>
        </w:rPr>
        <w:t>1,2</w:t>
      </w:r>
      <w:r w:rsidRPr="00B5629A">
        <w:t>, Serra-</w:t>
      </w:r>
      <w:proofErr w:type="spellStart"/>
      <w:r w:rsidRPr="00B5629A">
        <w:t>Juhé</w:t>
      </w:r>
      <w:proofErr w:type="spellEnd"/>
      <w:r w:rsidRPr="00B5629A">
        <w:t xml:space="preserve"> C</w:t>
      </w:r>
      <w:r w:rsidRPr="00B5629A">
        <w:rPr>
          <w:vertAlign w:val="superscript"/>
        </w:rPr>
        <w:t>3</w:t>
      </w:r>
      <w:r w:rsidRPr="00B5629A">
        <w:t>, Martín-</w:t>
      </w:r>
      <w:proofErr w:type="spellStart"/>
      <w:r w:rsidRPr="00B5629A">
        <w:t>Rivada</w:t>
      </w:r>
      <w:proofErr w:type="spellEnd"/>
      <w:r w:rsidRPr="00B5629A">
        <w:t xml:space="preserve"> Á</w:t>
      </w:r>
      <w:r w:rsidRPr="00B5629A">
        <w:rPr>
          <w:vertAlign w:val="superscript"/>
        </w:rPr>
        <w:t>4,5</w:t>
      </w:r>
      <w:r w:rsidRPr="00B5629A">
        <w:t>, Martos-Moreno GÁ</w:t>
      </w:r>
      <w:r w:rsidRPr="00B5629A">
        <w:rPr>
          <w:vertAlign w:val="superscript"/>
        </w:rPr>
        <w:t>4,5,6</w:t>
      </w:r>
      <w:r w:rsidRPr="00B5629A">
        <w:t>, Argente J</w:t>
      </w:r>
      <w:r w:rsidRPr="00B5629A">
        <w:rPr>
          <w:vertAlign w:val="superscript"/>
        </w:rPr>
        <w:t>4,5,6,</w:t>
      </w:r>
      <w:proofErr w:type="gramStart"/>
      <w:r w:rsidRPr="00B5629A">
        <w:rPr>
          <w:vertAlign w:val="superscript"/>
        </w:rPr>
        <w:t>7</w:t>
      </w:r>
      <w:r>
        <w:rPr>
          <w:vertAlign w:val="superscript"/>
        </w:rPr>
        <w:t>,#</w:t>
      </w:r>
      <w:proofErr w:type="gramEnd"/>
      <w:r w:rsidRPr="00B5629A">
        <w:t>, Pérez-Jurado LA</w:t>
      </w:r>
      <w:r w:rsidRPr="00B5629A">
        <w:rPr>
          <w:vertAlign w:val="superscript"/>
        </w:rPr>
        <w:t>1,2,8,#</w:t>
      </w:r>
    </w:p>
    <w:p w14:paraId="6E791631" w14:textId="77777777" w:rsidR="00DC2DB2" w:rsidRDefault="00DC2DB2" w:rsidP="00DC2DB2">
      <w:pPr>
        <w:spacing w:line="360" w:lineRule="auto"/>
        <w:jc w:val="both"/>
        <w:rPr>
          <w:u w:val="single"/>
          <w:lang w:val="en-US"/>
        </w:rPr>
      </w:pPr>
    </w:p>
    <w:p w14:paraId="365555B4" w14:textId="77777777" w:rsidR="00DC2DB2" w:rsidRDefault="00DC2DB2" w:rsidP="00DC2DB2">
      <w:pPr>
        <w:spacing w:line="360" w:lineRule="auto"/>
        <w:jc w:val="both"/>
        <w:rPr>
          <w:u w:val="single"/>
          <w:lang w:val="en-US"/>
        </w:rPr>
      </w:pPr>
    </w:p>
    <w:p w14:paraId="02C5B6A2" w14:textId="77777777" w:rsidR="00DC2DB2" w:rsidRDefault="00DC2DB2" w:rsidP="00DC2DB2">
      <w:pPr>
        <w:spacing w:line="360" w:lineRule="auto"/>
        <w:jc w:val="both"/>
        <w:rPr>
          <w:u w:val="single"/>
          <w:lang w:val="en-US"/>
        </w:rPr>
      </w:pPr>
    </w:p>
    <w:p w14:paraId="75FC08F7" w14:textId="77777777" w:rsidR="00DC2DB2" w:rsidRDefault="00DC2DB2" w:rsidP="00DC2DB2">
      <w:pPr>
        <w:spacing w:line="360" w:lineRule="auto"/>
        <w:jc w:val="both"/>
        <w:rPr>
          <w:u w:val="single"/>
          <w:lang w:val="en-US"/>
        </w:rPr>
      </w:pPr>
    </w:p>
    <w:p w14:paraId="60F0DAB3" w14:textId="77777777" w:rsidR="00DC2DB2" w:rsidRDefault="00DC2DB2" w:rsidP="00DC2DB2">
      <w:pPr>
        <w:spacing w:line="360" w:lineRule="auto"/>
        <w:jc w:val="both"/>
        <w:rPr>
          <w:u w:val="single"/>
          <w:lang w:val="en-US"/>
        </w:rPr>
      </w:pPr>
    </w:p>
    <w:p w14:paraId="1302F63F" w14:textId="77777777" w:rsidR="00DC2DB2" w:rsidRDefault="00DC2DB2" w:rsidP="00DC2DB2">
      <w:pPr>
        <w:spacing w:line="360" w:lineRule="auto"/>
        <w:jc w:val="both"/>
        <w:rPr>
          <w:u w:val="single"/>
          <w:lang w:val="en-US"/>
        </w:rPr>
      </w:pPr>
    </w:p>
    <w:p w14:paraId="73AD93F8" w14:textId="77777777" w:rsidR="00DC2DB2" w:rsidRPr="00A9169F" w:rsidRDefault="00DC2DB2" w:rsidP="00DC2DB2">
      <w:pPr>
        <w:spacing w:line="360" w:lineRule="auto"/>
        <w:jc w:val="both"/>
        <w:rPr>
          <w:b/>
          <w:bCs/>
          <w:u w:val="single"/>
          <w:lang w:val="en-US"/>
        </w:rPr>
      </w:pPr>
      <w:r w:rsidRPr="00A9169F">
        <w:rPr>
          <w:b/>
          <w:bCs/>
          <w:u w:val="single"/>
          <w:lang w:val="en-US"/>
        </w:rPr>
        <w:t>Supplementa</w:t>
      </w:r>
      <w:r>
        <w:rPr>
          <w:b/>
          <w:bCs/>
          <w:u w:val="single"/>
          <w:lang w:val="en-US"/>
        </w:rPr>
        <w:t>ry</w:t>
      </w:r>
      <w:r w:rsidRPr="00A9169F">
        <w:rPr>
          <w:b/>
          <w:bCs/>
          <w:u w:val="single"/>
          <w:lang w:val="en-US"/>
        </w:rPr>
        <w:t xml:space="preserve"> material</w:t>
      </w:r>
    </w:p>
    <w:p w14:paraId="65127D10" w14:textId="77777777" w:rsidR="00DC2DB2" w:rsidRDefault="00DC2DB2" w:rsidP="00DC2DB2">
      <w:pPr>
        <w:spacing w:line="360" w:lineRule="auto"/>
        <w:jc w:val="both"/>
        <w:rPr>
          <w:u w:val="single"/>
          <w:lang w:val="en-US"/>
        </w:rPr>
      </w:pPr>
    </w:p>
    <w:p w14:paraId="1154C547" w14:textId="77777777" w:rsidR="00DC2DB2" w:rsidRDefault="00DC2DB2" w:rsidP="00DC2DB2">
      <w:pPr>
        <w:spacing w:line="360" w:lineRule="auto"/>
        <w:jc w:val="both"/>
        <w:rPr>
          <w:u w:val="single"/>
          <w:lang w:val="en-US"/>
        </w:rPr>
      </w:pPr>
    </w:p>
    <w:p w14:paraId="7C20EEEF" w14:textId="77777777" w:rsidR="00DC2DB2" w:rsidRDefault="00DC2DB2" w:rsidP="00DC2DB2">
      <w:pPr>
        <w:spacing w:line="360" w:lineRule="auto"/>
        <w:jc w:val="both"/>
        <w:rPr>
          <w:u w:val="single"/>
          <w:lang w:val="en-US"/>
        </w:rPr>
      </w:pPr>
    </w:p>
    <w:p w14:paraId="167B453B" w14:textId="77777777" w:rsidR="00DC2DB2" w:rsidRDefault="00DC2DB2" w:rsidP="00DC2DB2">
      <w:pPr>
        <w:spacing w:line="360" w:lineRule="auto"/>
        <w:jc w:val="both"/>
        <w:rPr>
          <w:u w:val="single"/>
          <w:lang w:val="en-US"/>
        </w:rPr>
      </w:pPr>
    </w:p>
    <w:p w14:paraId="121BAC66" w14:textId="77777777" w:rsidR="00DC2DB2" w:rsidRDefault="00DC2DB2" w:rsidP="00DC2DB2">
      <w:pPr>
        <w:spacing w:line="360" w:lineRule="auto"/>
        <w:jc w:val="both"/>
        <w:rPr>
          <w:u w:val="single"/>
          <w:lang w:val="en-US"/>
        </w:rPr>
      </w:pPr>
    </w:p>
    <w:p w14:paraId="4AB16EDD" w14:textId="77777777" w:rsidR="00DC2DB2" w:rsidRPr="00A9169F" w:rsidRDefault="00DC2DB2" w:rsidP="00DC2DB2">
      <w:pPr>
        <w:spacing w:line="360" w:lineRule="auto"/>
        <w:jc w:val="both"/>
        <w:rPr>
          <w:lang w:val="en-US"/>
        </w:rPr>
      </w:pPr>
      <w:r w:rsidRPr="00A9169F">
        <w:rPr>
          <w:lang w:val="en-US"/>
        </w:rPr>
        <w:t>Supplementary Table 1</w:t>
      </w:r>
    </w:p>
    <w:p w14:paraId="13F6FBC4" w14:textId="77777777" w:rsidR="00DC2DB2" w:rsidRPr="00A9169F" w:rsidRDefault="00DC2DB2" w:rsidP="00DC2DB2">
      <w:pPr>
        <w:spacing w:line="360" w:lineRule="auto"/>
        <w:jc w:val="both"/>
        <w:rPr>
          <w:lang w:val="en-US"/>
        </w:rPr>
      </w:pPr>
    </w:p>
    <w:p w14:paraId="05253BC3" w14:textId="77777777" w:rsidR="00DC2DB2" w:rsidRPr="00A9169F" w:rsidRDefault="00DC2DB2" w:rsidP="00DC2DB2">
      <w:pPr>
        <w:spacing w:line="360" w:lineRule="auto"/>
        <w:jc w:val="both"/>
        <w:rPr>
          <w:lang w:val="en-US"/>
        </w:rPr>
      </w:pPr>
      <w:r w:rsidRPr="00A9169F">
        <w:rPr>
          <w:lang w:val="en-US"/>
        </w:rPr>
        <w:t>Supplementary Table 2</w:t>
      </w:r>
    </w:p>
    <w:p w14:paraId="00726C1B" w14:textId="77777777" w:rsidR="00DC2DB2" w:rsidRPr="00A9169F" w:rsidRDefault="00DC2DB2" w:rsidP="00DC2DB2">
      <w:pPr>
        <w:spacing w:line="360" w:lineRule="auto"/>
        <w:jc w:val="both"/>
        <w:rPr>
          <w:lang w:val="en-US"/>
        </w:rPr>
      </w:pPr>
    </w:p>
    <w:p w14:paraId="40A9E721" w14:textId="77777777" w:rsidR="00DC2DB2" w:rsidRPr="00A9169F" w:rsidRDefault="00DC2DB2" w:rsidP="00DC2DB2">
      <w:pPr>
        <w:spacing w:line="360" w:lineRule="auto"/>
        <w:jc w:val="both"/>
        <w:rPr>
          <w:lang w:val="en-US"/>
        </w:rPr>
      </w:pPr>
      <w:r w:rsidRPr="00A9169F">
        <w:rPr>
          <w:lang w:val="en-US"/>
        </w:rPr>
        <w:t xml:space="preserve">Supplementary </w:t>
      </w:r>
      <w:r>
        <w:rPr>
          <w:lang w:val="en-US"/>
        </w:rPr>
        <w:t>References</w:t>
      </w:r>
    </w:p>
    <w:p w14:paraId="5114B3FB" w14:textId="77777777" w:rsidR="00DC2DB2" w:rsidRDefault="00DC2DB2" w:rsidP="00DC2DB2">
      <w:pPr>
        <w:spacing w:line="360" w:lineRule="auto"/>
        <w:jc w:val="both"/>
        <w:rPr>
          <w:u w:val="single"/>
          <w:lang w:val="en-US"/>
        </w:rPr>
      </w:pPr>
    </w:p>
    <w:p w14:paraId="22498511" w14:textId="77777777" w:rsidR="00DC2DB2" w:rsidRDefault="00DC2DB2" w:rsidP="00DC2DB2">
      <w:pPr>
        <w:spacing w:after="200" w:line="276" w:lineRule="auto"/>
        <w:rPr>
          <w:u w:val="single"/>
          <w:lang w:val="en-US"/>
        </w:rPr>
      </w:pPr>
      <w:r>
        <w:rPr>
          <w:u w:val="single"/>
          <w:lang w:val="en-US"/>
        </w:rPr>
        <w:br w:type="page"/>
      </w:r>
    </w:p>
    <w:p w14:paraId="7982B1B1" w14:textId="77777777" w:rsidR="00DC2DB2" w:rsidRPr="00B63AB4" w:rsidRDefault="00DC2DB2" w:rsidP="00DC2DB2">
      <w:pPr>
        <w:spacing w:line="360" w:lineRule="auto"/>
        <w:jc w:val="both"/>
        <w:rPr>
          <w:u w:val="single"/>
          <w:lang w:val="en-US"/>
        </w:rPr>
      </w:pPr>
      <w:r w:rsidRPr="00B63AB4">
        <w:rPr>
          <w:u w:val="single"/>
          <w:lang w:val="en-US"/>
        </w:rPr>
        <w:lastRenderedPageBreak/>
        <w:t>Supplementary Table 1</w:t>
      </w:r>
    </w:p>
    <w:tbl>
      <w:tblPr>
        <w:tblW w:w="8726" w:type="dxa"/>
        <w:jc w:val="center"/>
        <w:tblLook w:val="04A0" w:firstRow="1" w:lastRow="0" w:firstColumn="1" w:lastColumn="0" w:noHBand="0" w:noVBand="1"/>
      </w:tblPr>
      <w:tblGrid>
        <w:gridCol w:w="3005"/>
        <w:gridCol w:w="1134"/>
        <w:gridCol w:w="1047"/>
        <w:gridCol w:w="1807"/>
        <w:gridCol w:w="1733"/>
      </w:tblGrid>
      <w:tr w:rsidR="00DC2DB2" w:rsidRPr="00B63AB4" w14:paraId="674093E8" w14:textId="77777777" w:rsidTr="00EB4A43">
        <w:trPr>
          <w:trHeight w:val="315"/>
          <w:jc w:val="center"/>
        </w:trPr>
        <w:tc>
          <w:tcPr>
            <w:tcW w:w="3005" w:type="dxa"/>
            <w:tcBorders>
              <w:top w:val="nil"/>
              <w:left w:val="nil"/>
              <w:bottom w:val="single" w:sz="4" w:space="0" w:color="auto"/>
              <w:right w:val="nil"/>
            </w:tcBorders>
            <w:shd w:val="clear" w:color="auto" w:fill="auto"/>
            <w:noWrap/>
            <w:vAlign w:val="center"/>
            <w:hideMark/>
          </w:tcPr>
          <w:p w14:paraId="25E7CF4F" w14:textId="77777777" w:rsidR="00DC2DB2" w:rsidRPr="00B63AB4" w:rsidRDefault="00DC2DB2" w:rsidP="00EB4A43">
            <w:pPr>
              <w:jc w:val="center"/>
              <w:rPr>
                <w:b/>
                <w:bCs/>
                <w:color w:val="000000"/>
                <w:sz w:val="20"/>
                <w:szCs w:val="20"/>
                <w:lang w:val="en-US"/>
              </w:rPr>
            </w:pPr>
            <w:r w:rsidRPr="00B63AB4">
              <w:rPr>
                <w:b/>
                <w:bCs/>
                <w:color w:val="000000"/>
                <w:sz w:val="20"/>
                <w:szCs w:val="20"/>
                <w:lang w:val="en-US"/>
              </w:rPr>
              <w:t>Reference</w:t>
            </w:r>
          </w:p>
        </w:tc>
        <w:tc>
          <w:tcPr>
            <w:tcW w:w="1134" w:type="dxa"/>
            <w:tcBorders>
              <w:top w:val="nil"/>
              <w:left w:val="nil"/>
              <w:bottom w:val="single" w:sz="4" w:space="0" w:color="auto"/>
              <w:right w:val="nil"/>
            </w:tcBorders>
            <w:shd w:val="clear" w:color="auto" w:fill="auto"/>
            <w:noWrap/>
            <w:vAlign w:val="center"/>
            <w:hideMark/>
          </w:tcPr>
          <w:p w14:paraId="4908D4DA" w14:textId="77777777" w:rsidR="00DC2DB2" w:rsidRPr="00B63AB4" w:rsidRDefault="00DC2DB2" w:rsidP="00EB4A43">
            <w:pPr>
              <w:jc w:val="center"/>
              <w:rPr>
                <w:b/>
                <w:bCs/>
                <w:color w:val="000000"/>
                <w:sz w:val="20"/>
                <w:szCs w:val="20"/>
                <w:lang w:val="en-US"/>
              </w:rPr>
            </w:pPr>
            <w:r w:rsidRPr="00B63AB4">
              <w:rPr>
                <w:b/>
                <w:bCs/>
                <w:color w:val="000000"/>
                <w:sz w:val="20"/>
                <w:szCs w:val="20"/>
                <w:lang w:val="en-US"/>
              </w:rPr>
              <w:t>Genes</w:t>
            </w:r>
          </w:p>
        </w:tc>
        <w:tc>
          <w:tcPr>
            <w:tcW w:w="1047" w:type="dxa"/>
            <w:tcBorders>
              <w:top w:val="nil"/>
              <w:left w:val="nil"/>
              <w:bottom w:val="single" w:sz="4" w:space="0" w:color="auto"/>
              <w:right w:val="nil"/>
            </w:tcBorders>
            <w:shd w:val="clear" w:color="auto" w:fill="auto"/>
            <w:noWrap/>
            <w:vAlign w:val="center"/>
            <w:hideMark/>
          </w:tcPr>
          <w:p w14:paraId="72DA9026" w14:textId="77777777" w:rsidR="00DC2DB2" w:rsidRPr="00B63AB4" w:rsidRDefault="00DC2DB2" w:rsidP="00EB4A43">
            <w:pPr>
              <w:jc w:val="center"/>
              <w:rPr>
                <w:b/>
                <w:bCs/>
                <w:color w:val="000000"/>
                <w:sz w:val="20"/>
                <w:szCs w:val="20"/>
                <w:lang w:val="en-US"/>
              </w:rPr>
            </w:pPr>
            <w:r w:rsidRPr="00B63AB4">
              <w:rPr>
                <w:b/>
                <w:sz w:val="20"/>
                <w:szCs w:val="20"/>
                <w:lang w:val="en-US"/>
              </w:rPr>
              <w:t>T-F-V</w:t>
            </w:r>
          </w:p>
        </w:tc>
        <w:tc>
          <w:tcPr>
            <w:tcW w:w="1807" w:type="dxa"/>
            <w:tcBorders>
              <w:top w:val="nil"/>
              <w:left w:val="nil"/>
              <w:bottom w:val="single" w:sz="4" w:space="0" w:color="auto"/>
              <w:right w:val="nil"/>
            </w:tcBorders>
            <w:shd w:val="clear" w:color="auto" w:fill="auto"/>
            <w:noWrap/>
            <w:vAlign w:val="center"/>
            <w:hideMark/>
          </w:tcPr>
          <w:p w14:paraId="45D903A8" w14:textId="77777777" w:rsidR="00DC2DB2" w:rsidRPr="00B63AB4" w:rsidRDefault="00DC2DB2" w:rsidP="00EB4A43">
            <w:pPr>
              <w:jc w:val="center"/>
              <w:rPr>
                <w:b/>
                <w:bCs/>
                <w:color w:val="000000"/>
                <w:sz w:val="20"/>
                <w:szCs w:val="20"/>
                <w:lang w:val="en-US"/>
              </w:rPr>
            </w:pPr>
            <w:r w:rsidRPr="00B63AB4">
              <w:rPr>
                <w:b/>
                <w:bCs/>
                <w:color w:val="000000"/>
                <w:sz w:val="20"/>
                <w:szCs w:val="20"/>
                <w:lang w:val="en-US"/>
              </w:rPr>
              <w:t>Phenotype</w:t>
            </w:r>
          </w:p>
        </w:tc>
        <w:tc>
          <w:tcPr>
            <w:tcW w:w="1733" w:type="dxa"/>
            <w:tcBorders>
              <w:top w:val="nil"/>
              <w:left w:val="nil"/>
              <w:bottom w:val="single" w:sz="4" w:space="0" w:color="auto"/>
              <w:right w:val="nil"/>
            </w:tcBorders>
            <w:shd w:val="clear" w:color="auto" w:fill="auto"/>
            <w:noWrap/>
            <w:vAlign w:val="center"/>
            <w:hideMark/>
          </w:tcPr>
          <w:p w14:paraId="316E15A1" w14:textId="77777777" w:rsidR="00DC2DB2" w:rsidRPr="00B63AB4" w:rsidRDefault="00DC2DB2" w:rsidP="00EB4A43">
            <w:pPr>
              <w:jc w:val="center"/>
              <w:rPr>
                <w:b/>
                <w:bCs/>
                <w:color w:val="000000"/>
                <w:sz w:val="20"/>
                <w:szCs w:val="20"/>
                <w:lang w:val="en-US"/>
              </w:rPr>
            </w:pPr>
            <w:r w:rsidRPr="00B63AB4">
              <w:rPr>
                <w:b/>
                <w:bCs/>
                <w:color w:val="000000"/>
                <w:sz w:val="20"/>
                <w:szCs w:val="20"/>
                <w:lang w:val="en-US"/>
              </w:rPr>
              <w:t>Country</w:t>
            </w:r>
          </w:p>
        </w:tc>
      </w:tr>
      <w:tr w:rsidR="00DC2DB2" w:rsidRPr="00B63AB4" w14:paraId="373A8E0D" w14:textId="77777777" w:rsidTr="00EB4A43">
        <w:trPr>
          <w:trHeight w:val="315"/>
          <w:jc w:val="center"/>
        </w:trPr>
        <w:tc>
          <w:tcPr>
            <w:tcW w:w="3005" w:type="dxa"/>
            <w:tcBorders>
              <w:top w:val="single" w:sz="4" w:space="0" w:color="auto"/>
              <w:left w:val="nil"/>
              <w:bottom w:val="nil"/>
              <w:right w:val="nil"/>
            </w:tcBorders>
            <w:shd w:val="clear" w:color="auto" w:fill="auto"/>
            <w:noWrap/>
            <w:vAlign w:val="center"/>
            <w:hideMark/>
          </w:tcPr>
          <w:p w14:paraId="337723FE" w14:textId="77777777" w:rsidR="00DC2DB2" w:rsidRPr="00B63AB4" w:rsidRDefault="00DC2DB2" w:rsidP="00EB4A43">
            <w:pPr>
              <w:jc w:val="center"/>
              <w:rPr>
                <w:color w:val="000000"/>
                <w:sz w:val="20"/>
                <w:szCs w:val="20"/>
                <w:lang w:val="en-US"/>
              </w:rPr>
            </w:pPr>
            <w:r w:rsidRPr="00B63AB4">
              <w:rPr>
                <w:color w:val="000000"/>
                <w:sz w:val="20"/>
                <w:szCs w:val="20"/>
                <w:lang w:val="en-US"/>
              </w:rPr>
              <w:t>Philippe, et al. 2015</w:t>
            </w:r>
            <w:r>
              <w:rPr>
                <w:color w:val="000000"/>
                <w:sz w:val="20"/>
                <w:szCs w:val="20"/>
                <w:lang w:val="en-US"/>
              </w:rPr>
              <w:fldChar w:fldCharType="begin" w:fldLock="1"/>
            </w:r>
            <w:r>
              <w:rPr>
                <w:color w:val="000000"/>
                <w:sz w:val="20"/>
                <w:szCs w:val="20"/>
                <w:lang w:val="en-US"/>
              </w:rPr>
              <w:instrText>ADDIN CSL_CITATION {"citationItems":[{"id":"ITEM-1","itemData":{"DOI":"10.1038/ijo.2014.96","ISSN":"1476-5497 (Electronic)","PMID":"24890885","abstract":"BACKGROUND: A significant proportion of severe familial forms of obesity remain  genetically elusive. Taking advantage of our unique cohort of multigenerational obese families, we aimed to assess the contribution of rare mutations in 29 common obesity-associated genes to familial obesity, and to evaluate in these families the putative presence of nine known monogenic forms of obesity. METHODS: Through next-generation sequencing, we sequenced the coding regions of 34 genes involved in polygenic and/or monogenic forms of obesity in 201 participants (75 normal weight individuals, 54 overweight individuals and 72 individuals with obesity class I, II or III) from 13 French families. In vitro functional analyses were performed to investigate the mutation PCSK1-p.Arg80* which was identified in a family. RESULTS: A novel heterozygous nonsense variant in PCSK1 (p.Arg80*), encoding a propeptide truncated to less than two exons (out of 14), was found to co-segregate with obesity in a three-generation family. We demonstrated that this mutation inhibits PCSK1 enzyme activity and that this inhibition most likely does not involve a strong physical interaction. Furthermore, both mutations PCSK1-p.Asn180Ser and POMC-p.Phe144Leu, which had previously been reported to be associated with severe obesity, were also identified in this study, but did not co-segregate with obesity. Finally, we did not identify any rare mutations co-segregating with obesity in common obesity susceptibility genes, except for CADM2 and QPCTL, where we found two novel variants (p.Arg81His and p.Leu98Pro, respectively) in three obese individuals. CONCLUSIONS: We showed for the first time that a nonsense mutation in PCSK1 was likely to cause dominantly inherited human obesity, due to the inhibiting properties of the propeptide fragment encoded by the null allele. Furthermore, the present family sequencing design challenged the contribution of previously reported mutations to monogenic or at least severe obesity.","author":[{"dropping-particle":"","family":"Philippe","given":"J","non-dropping-particle":"","parse-names":false,"suffix":""},{"dropping-particle":"","family":"Stijnen","given":"P","non-dropping-particle":"","parse-names":false,"suffix":""},{"dropping-particle":"","family":"Meyre","given":"D","non-dropping-particle":"","parse-names":false,"suffix":""},{"dropping-particle":"","family":"Graeve","given":"F","non-dropping-particle":"De","parse-names":false,"suffix":""},{"dropping-particle":"","family":"Thuillier","given":"D","non-dropping-particle":"","parse-names":false,"suffix":""},{"dropping-particle":"","family":"Delplanque","given":"J","non-dropping-particle":"","parse-names":false,"suffix":""},{"dropping-particle":"","family":"Gyapay","given":"G","non-dropping-particle":"","parse-names":false,"suffix":""},{"dropping-particle":"","family":"Sand","given":"O","non-dropping-particle":"","parse-names":false,"suffix":""},{"dropping-particle":"","family":"Creemers","given":"J W","non-dropping-particle":"","parse-names":false,"suffix":""},{"dropping-particle":"","family":"Froguel","given":"P","non-dropping-particle":"","parse-names":false,"suffix":""},{"dropping-particle":"","family":"Bonnefond","given":"A","non-dropping-particle":"","parse-names":false,"suffix":""}],"container-title":"International journal of obesity (2005)","id":"ITEM-1","issue":"2","issued":{"date-parts":[["2015","2"]]},"language":"eng","page":"295-302","publisher-place":"England","title":"A nonsense loss-of-function mutation in PCSK1 contributes to dominantly inherited  human obesity.","type":"article-journal","volume":"39"},"uris":["http://www.mendeley.com/documents/?uuid=7f704214-eb8d-47c3-b426-81fb90df5e54"]}],"mendeley":{"formattedCitation":"&lt;sup&gt;1&lt;/sup&gt;","plainTextFormattedCitation":"1","previouslyFormattedCitation":"&lt;sup&gt;1&lt;/sup&gt;"},"properties":{"noteIndex":0},"schema":"https://github.com/citation-style-language/schema/raw/master/csl-citation.json"}</w:instrText>
            </w:r>
            <w:r>
              <w:rPr>
                <w:color w:val="000000"/>
                <w:sz w:val="20"/>
                <w:szCs w:val="20"/>
                <w:lang w:val="en-US"/>
              </w:rPr>
              <w:fldChar w:fldCharType="separate"/>
            </w:r>
            <w:r w:rsidRPr="00B95999">
              <w:rPr>
                <w:noProof/>
                <w:color w:val="000000"/>
                <w:sz w:val="20"/>
                <w:szCs w:val="20"/>
                <w:vertAlign w:val="superscript"/>
                <w:lang w:val="en-US"/>
              </w:rPr>
              <w:t>1</w:t>
            </w:r>
            <w:r>
              <w:rPr>
                <w:color w:val="000000"/>
                <w:sz w:val="20"/>
                <w:szCs w:val="20"/>
                <w:lang w:val="en-US"/>
              </w:rPr>
              <w:fldChar w:fldCharType="end"/>
            </w:r>
          </w:p>
        </w:tc>
        <w:tc>
          <w:tcPr>
            <w:tcW w:w="1134" w:type="dxa"/>
            <w:tcBorders>
              <w:top w:val="single" w:sz="4" w:space="0" w:color="auto"/>
              <w:left w:val="nil"/>
              <w:bottom w:val="nil"/>
              <w:right w:val="nil"/>
            </w:tcBorders>
            <w:shd w:val="clear" w:color="auto" w:fill="auto"/>
            <w:noWrap/>
            <w:vAlign w:val="center"/>
            <w:hideMark/>
          </w:tcPr>
          <w:p w14:paraId="7CAC92A6" w14:textId="77777777" w:rsidR="00DC2DB2" w:rsidRPr="00B63AB4" w:rsidRDefault="00DC2DB2" w:rsidP="00EB4A43">
            <w:pPr>
              <w:jc w:val="center"/>
              <w:rPr>
                <w:color w:val="000000"/>
                <w:sz w:val="20"/>
                <w:szCs w:val="20"/>
                <w:lang w:val="en-US"/>
              </w:rPr>
            </w:pPr>
            <w:r w:rsidRPr="00B63AB4">
              <w:rPr>
                <w:color w:val="000000"/>
                <w:sz w:val="20"/>
                <w:szCs w:val="20"/>
                <w:lang w:val="en-US"/>
              </w:rPr>
              <w:t>34</w:t>
            </w:r>
          </w:p>
        </w:tc>
        <w:tc>
          <w:tcPr>
            <w:tcW w:w="1047" w:type="dxa"/>
            <w:tcBorders>
              <w:top w:val="single" w:sz="4" w:space="0" w:color="auto"/>
              <w:left w:val="nil"/>
              <w:bottom w:val="nil"/>
              <w:right w:val="nil"/>
            </w:tcBorders>
            <w:shd w:val="clear" w:color="auto" w:fill="auto"/>
            <w:noWrap/>
            <w:vAlign w:val="center"/>
            <w:hideMark/>
          </w:tcPr>
          <w:p w14:paraId="0382E02C" w14:textId="77777777" w:rsidR="00DC2DB2" w:rsidRPr="00B63AB4" w:rsidRDefault="00DC2DB2" w:rsidP="00EB4A43">
            <w:pPr>
              <w:jc w:val="center"/>
              <w:rPr>
                <w:color w:val="000000"/>
                <w:sz w:val="20"/>
                <w:szCs w:val="20"/>
                <w:lang w:val="en-US"/>
              </w:rPr>
            </w:pPr>
            <w:r w:rsidRPr="00B63AB4">
              <w:rPr>
                <w:sz w:val="20"/>
                <w:szCs w:val="20"/>
                <w:lang w:val="en-US"/>
              </w:rPr>
              <w:t>3-2-2</w:t>
            </w:r>
          </w:p>
        </w:tc>
        <w:tc>
          <w:tcPr>
            <w:tcW w:w="1807" w:type="dxa"/>
            <w:tcBorders>
              <w:top w:val="single" w:sz="4" w:space="0" w:color="auto"/>
              <w:left w:val="nil"/>
              <w:bottom w:val="nil"/>
              <w:right w:val="nil"/>
            </w:tcBorders>
            <w:shd w:val="clear" w:color="auto" w:fill="auto"/>
            <w:noWrap/>
            <w:vAlign w:val="center"/>
            <w:hideMark/>
          </w:tcPr>
          <w:p w14:paraId="4EDEA0D2" w14:textId="77777777" w:rsidR="00DC2DB2" w:rsidRPr="00B63AB4" w:rsidRDefault="00DC2DB2" w:rsidP="00EB4A43">
            <w:pPr>
              <w:jc w:val="center"/>
              <w:rPr>
                <w:color w:val="000000"/>
                <w:sz w:val="20"/>
                <w:szCs w:val="20"/>
                <w:lang w:val="en-US"/>
              </w:rPr>
            </w:pPr>
            <w:r w:rsidRPr="00B63AB4">
              <w:rPr>
                <w:color w:val="000000"/>
                <w:sz w:val="20"/>
                <w:szCs w:val="20"/>
                <w:lang w:val="en-US"/>
              </w:rPr>
              <w:t>O, SO</w:t>
            </w:r>
          </w:p>
        </w:tc>
        <w:tc>
          <w:tcPr>
            <w:tcW w:w="1733" w:type="dxa"/>
            <w:tcBorders>
              <w:top w:val="single" w:sz="4" w:space="0" w:color="auto"/>
              <w:left w:val="nil"/>
              <w:bottom w:val="nil"/>
              <w:right w:val="nil"/>
            </w:tcBorders>
            <w:shd w:val="clear" w:color="auto" w:fill="auto"/>
            <w:noWrap/>
            <w:vAlign w:val="center"/>
            <w:hideMark/>
          </w:tcPr>
          <w:p w14:paraId="4DCC71E7" w14:textId="77777777" w:rsidR="00DC2DB2" w:rsidRPr="00B63AB4" w:rsidRDefault="00DC2DB2" w:rsidP="00EB4A43">
            <w:pPr>
              <w:jc w:val="center"/>
              <w:rPr>
                <w:color w:val="000000"/>
                <w:sz w:val="20"/>
                <w:szCs w:val="20"/>
                <w:lang w:val="en-US"/>
              </w:rPr>
            </w:pPr>
            <w:r w:rsidRPr="00B63AB4">
              <w:rPr>
                <w:color w:val="000000"/>
                <w:sz w:val="20"/>
                <w:szCs w:val="20"/>
                <w:lang w:val="en-US"/>
              </w:rPr>
              <w:t>France</w:t>
            </w:r>
          </w:p>
        </w:tc>
      </w:tr>
      <w:tr w:rsidR="00DC2DB2" w:rsidRPr="00B63AB4" w14:paraId="4B3EB258" w14:textId="77777777" w:rsidTr="00EB4A43">
        <w:trPr>
          <w:trHeight w:val="315"/>
          <w:jc w:val="center"/>
        </w:trPr>
        <w:tc>
          <w:tcPr>
            <w:tcW w:w="3005" w:type="dxa"/>
            <w:tcBorders>
              <w:top w:val="nil"/>
              <w:left w:val="nil"/>
              <w:right w:val="nil"/>
            </w:tcBorders>
            <w:shd w:val="clear" w:color="auto" w:fill="auto"/>
            <w:noWrap/>
            <w:vAlign w:val="center"/>
            <w:hideMark/>
          </w:tcPr>
          <w:p w14:paraId="5C68481C" w14:textId="77777777" w:rsidR="00DC2DB2" w:rsidRPr="00B63AB4" w:rsidRDefault="00DC2DB2" w:rsidP="00EB4A43">
            <w:pPr>
              <w:jc w:val="center"/>
              <w:rPr>
                <w:color w:val="000000"/>
                <w:sz w:val="20"/>
                <w:szCs w:val="20"/>
                <w:lang w:val="en-US"/>
              </w:rPr>
            </w:pPr>
            <w:r w:rsidRPr="00B63AB4">
              <w:rPr>
                <w:color w:val="000000"/>
                <w:sz w:val="20"/>
                <w:szCs w:val="20"/>
                <w:lang w:val="en-US"/>
              </w:rPr>
              <w:t>Hendricks, et al. 2017</w:t>
            </w:r>
            <w:r>
              <w:rPr>
                <w:color w:val="000000"/>
                <w:sz w:val="20"/>
                <w:szCs w:val="20"/>
                <w:lang w:val="en-US"/>
              </w:rPr>
              <w:fldChar w:fldCharType="begin" w:fldLock="1"/>
            </w:r>
            <w:r>
              <w:rPr>
                <w:color w:val="000000"/>
                <w:sz w:val="20"/>
                <w:szCs w:val="20"/>
                <w:lang w:val="en-US"/>
              </w:rPr>
              <w:instrText>ADDIN CSL_CITATION {"citationItems":[{"id":"ITEM-1","itemData":{"DOI":"10.1038/s41598-017-03054-8","ISSN":"2045-2322 (Electronic)","PMID":"28663568","abstract":"Obesity is a genetically heterogeneous disorder. Using targeted and whole-exome  sequencing, we studied 32 human and 87 rodent obesity genes in 2,548 severely obese children and 1,117 controls. We identified 52 variants contributing to obesity in 2% of cases including multiple novel variants in GNAS, which were sometimes found with accelerated growth rather than short stature as described previously. Nominally significant associations were found for rare functional variants in BBS1, BBS9, GNAS, MKKS, CLOCK and ANGPTL6. The p.S284X variant in ANGPTL6 drives the association signal (rs201622589, MAF~0.1%, odds ratio = 10.13, p-value = 0.042) and results in complete loss of secretion in cells. Further analysis including additional case-control studies and population controls (N = 260,642) did not support association of this variant with obesity (odds ratio = 2.34, p-value = 2.59 × 10(-3)), highlighting the challenges of testing rare variant associations and the need for very large sample sizes. Further validation in cohorts with severe obesity and engineering the variants in model organisms will be needed to explore whether human variants in ANGPTL6 and other genes that lead to obesity when deleted in mice, do contribute to obesity. Such studies may yield druggable targets for weight loss therapies.","author":[{"dropping-particle":"","family":"Hendricks","given":"Audrey E","non-dropping-particle":"","parse-names":false,"suffix":""},{"dropping-particle":"","family":"Bochukova","given":"Elena G","non-dropping-particle":"","parse-names":false,"suffix":""},{"dropping-particle":"","family":"Marenne","given":"Gaëlle","non-dropping-particle":"","parse-names":false,"suffix":""},{"dropping-particle":"","family":"Keogh","given":"Julia M","non-dropping-particle":"","parse-names":false,"suffix":""},{"dropping-particle":"","family":"Atanassova","given":"Neli","non-dropping-particle":"","parse-names":false,"suffix":""},{"dropping-particle":"","family":"Bounds","given":"Rebecca","non-dropping-particle":"","parse-names":false,"suffix":""},{"dropping-particle":"","family":"Wheeler","given":"Eleanor","non-dropping-particle":"","parse-names":false,"suffix":""},{"dropping-particle":"","family":"Mistry","given":"Vanisha","non-dropping-particle":"","parse-names":false,"suffix":""},{"dropping-particle":"","family":"Henning","given":"Elana","non-dropping-particle":"","parse-names":false,"suffix":""},{"dropping-particle":"","family":"Körner","given":"Antje","non-dropping-particle":"","parse-names":false,"suffix":""},{"dropping-particle":"","family":"Muddyman","given":"Dawn","non-dropping-particle":"","parse-names":false,"suffix":""},{"dropping-particle":"","family":"McCarthy","given":"Shane","non-dropping-particle":"","parse-names":false,"suffix":""},{"dropping-particle":"","family":"Hinney","given":"Anke","non-dropping-particle":"","parse-names":false,"suffix":""},{"dropping-particle":"","family":"Hebebrand","given":"Johannes","non-dropping-particle":"","parse-names":false,"suffix":""},{"dropping-particle":"","family":"Scott","given":"Robert A","non-dropping-particle":"","parse-names":false,"suffix":""},{"dropping-particle":"","family":"Langenberg","given":"Claudia","non-dropping-particle":"","parse-names":false,"suffix":""},{"dropping-particle":"","family":"Wareham","given":"Nick J","non-dropping-particle":"","parse-names":false,"suffix":""},{"dropping-particle":"","family":"Surendran","given":"Praveen","non-dropping-particle":"","parse-names":false,"suffix":""},{"dropping-particle":"","family":"Howson","given":"Joanna M","non-dropping-particle":"","parse-names":false,"suffix":""},{"dropping-particle":"","family":"Butterworth","given":"Adam S","non-dropping-particle":"","parse-names":false,"suffix":""},{"dropping-particle":"","family":"Danesh","given":"John","non-dropping-particle":"","parse-names":false,"suffix":""},{"dropping-particle":"","family":"Nordestgaard","given":"Børge G","non-dropping-particle":"","parse-names":false,"suffix":""},{"dropping-particle":"","family":"Nielsen","given":"Sune F","non-dropping-particle":"","parse-names":false,"suffix":""},{"dropping-particle":"","family":"Afzal","given":"Shoaib","non-dropping-particle":"","parse-names":false,"suffix":""},{"dropping-particle":"","family":"Papadia","given":"Sofia","non-dropping-particle":"","parse-names":false,"suffix":""},{"dropping-particle":"","family":"Ashford","given":"Sofie","non-dropping-particle":"","parse-names":false,"suffix":""},{"dropping-particle":"","family":"Garg","given":"Sumedha","non-dropping-particle":"","parse-names":false,"suffix":""},{"dropping-particle":"","family":"Millhauser","given":"Glenn L","non-dropping-particle":"","parse-names":false,"suffix":""},{"dropping-particle":"","family":"Palomino","given":"Rafael I","non-dropping-particle":"","parse-names":false,"suffix":""},{"dropping-particle":"","family":"Kwasniewska","given":"Alexandra","non-dropping-particle":"","parse-names":false,"suffix":""},{"dropping-particle":"","family":"Tachmazidou","given":"Ioanna","non-dropping-particle":"","parse-names":false,"suffix":""},{"dropping-particle":"","family":"O'Rahilly","given":"Stephen","non-dropping-particle":"","parse-names":false,"suffix":""},{"dropping-particle":"","family":"Zeggini","given":"Eleftheria","non-dropping-particle":"","parse-names":false,"suffix":""},{"dropping-particle":"","family":"Barroso","given":"Inês","non-dropping-particle":"","parse-names":false,"suffix":""},{"dropping-particle":"","family":"Farooqi","given":"I Sadaf","non-dropping-particle":"","parse-names":false,"suffix":""}],"container-title":"Scientific reports","id":"ITEM-1","issue":"1","issued":{"date-parts":[["2017","6"]]},"language":"eng","page":"4394","title":"Rare Variant Analysis of Human and Rodent Obesity Genes in Individuals with Severe  Childhood Obesity.","type":"article-journal","volume":"7"},"uris":["http://www.mendeley.com/documents/?uuid=c5368bd9-5538-4b3c-b3d8-736614ffd6c2"]}],"mendeley":{"formattedCitation":"&lt;sup&gt;2&lt;/sup&gt;","plainTextFormattedCitation":"2","previouslyFormattedCitation":"&lt;sup&gt;2&lt;/sup&gt;"},"properties":{"noteIndex":0},"schema":"https://github.com/citation-style-language/schema/raw/master/csl-citation.json"}</w:instrText>
            </w:r>
            <w:r>
              <w:rPr>
                <w:color w:val="000000"/>
                <w:sz w:val="20"/>
                <w:szCs w:val="20"/>
                <w:lang w:val="en-US"/>
              </w:rPr>
              <w:fldChar w:fldCharType="separate"/>
            </w:r>
            <w:r w:rsidRPr="00B95999">
              <w:rPr>
                <w:noProof/>
                <w:color w:val="000000"/>
                <w:sz w:val="20"/>
                <w:szCs w:val="20"/>
                <w:vertAlign w:val="superscript"/>
                <w:lang w:val="en-US"/>
              </w:rPr>
              <w:t>2</w:t>
            </w:r>
            <w:r>
              <w:rPr>
                <w:color w:val="000000"/>
                <w:sz w:val="20"/>
                <w:szCs w:val="20"/>
                <w:lang w:val="en-US"/>
              </w:rPr>
              <w:fldChar w:fldCharType="end"/>
            </w:r>
          </w:p>
        </w:tc>
        <w:tc>
          <w:tcPr>
            <w:tcW w:w="1134" w:type="dxa"/>
            <w:tcBorders>
              <w:top w:val="nil"/>
              <w:left w:val="nil"/>
              <w:right w:val="nil"/>
            </w:tcBorders>
            <w:shd w:val="clear" w:color="auto" w:fill="auto"/>
            <w:noWrap/>
            <w:vAlign w:val="center"/>
            <w:hideMark/>
          </w:tcPr>
          <w:p w14:paraId="27A34DA3" w14:textId="77777777" w:rsidR="00DC2DB2" w:rsidRPr="00B63AB4" w:rsidRDefault="00DC2DB2" w:rsidP="00EB4A43">
            <w:pPr>
              <w:jc w:val="center"/>
              <w:rPr>
                <w:color w:val="000000"/>
                <w:sz w:val="20"/>
                <w:szCs w:val="20"/>
                <w:lang w:val="en-US"/>
              </w:rPr>
            </w:pPr>
            <w:r w:rsidRPr="00B63AB4">
              <w:rPr>
                <w:color w:val="000000"/>
                <w:sz w:val="20"/>
                <w:szCs w:val="20"/>
                <w:lang w:val="en-US"/>
              </w:rPr>
              <w:t>32</w:t>
            </w:r>
          </w:p>
        </w:tc>
        <w:tc>
          <w:tcPr>
            <w:tcW w:w="1047" w:type="dxa"/>
            <w:tcBorders>
              <w:top w:val="nil"/>
              <w:left w:val="nil"/>
              <w:right w:val="nil"/>
            </w:tcBorders>
            <w:shd w:val="clear" w:color="auto" w:fill="auto"/>
            <w:noWrap/>
            <w:vAlign w:val="center"/>
            <w:hideMark/>
          </w:tcPr>
          <w:p w14:paraId="3EE63C88" w14:textId="77777777" w:rsidR="00DC2DB2" w:rsidRPr="00B63AB4" w:rsidRDefault="00DC2DB2" w:rsidP="00EB4A43">
            <w:pPr>
              <w:jc w:val="center"/>
              <w:rPr>
                <w:color w:val="000000"/>
                <w:sz w:val="20"/>
                <w:szCs w:val="20"/>
                <w:lang w:val="en-US"/>
              </w:rPr>
            </w:pPr>
            <w:r w:rsidRPr="00B63AB4">
              <w:rPr>
                <w:sz w:val="20"/>
                <w:szCs w:val="20"/>
                <w:lang w:val="en-US"/>
              </w:rPr>
              <w:t>21-14-12</w:t>
            </w:r>
          </w:p>
        </w:tc>
        <w:tc>
          <w:tcPr>
            <w:tcW w:w="1807" w:type="dxa"/>
            <w:tcBorders>
              <w:top w:val="nil"/>
              <w:left w:val="nil"/>
              <w:right w:val="nil"/>
            </w:tcBorders>
            <w:shd w:val="clear" w:color="auto" w:fill="auto"/>
            <w:noWrap/>
            <w:vAlign w:val="center"/>
            <w:hideMark/>
          </w:tcPr>
          <w:p w14:paraId="21AD10D7" w14:textId="77777777" w:rsidR="00DC2DB2" w:rsidRPr="00B63AB4" w:rsidRDefault="00DC2DB2" w:rsidP="00EB4A43">
            <w:pPr>
              <w:jc w:val="center"/>
              <w:rPr>
                <w:color w:val="000000"/>
                <w:sz w:val="20"/>
                <w:szCs w:val="20"/>
                <w:lang w:val="en-US"/>
              </w:rPr>
            </w:pPr>
            <w:r w:rsidRPr="00B63AB4">
              <w:rPr>
                <w:color w:val="000000"/>
                <w:sz w:val="20"/>
                <w:szCs w:val="20"/>
                <w:lang w:val="en-US"/>
              </w:rPr>
              <w:t>SEOO</w:t>
            </w:r>
          </w:p>
        </w:tc>
        <w:tc>
          <w:tcPr>
            <w:tcW w:w="1733" w:type="dxa"/>
            <w:tcBorders>
              <w:top w:val="nil"/>
              <w:left w:val="nil"/>
              <w:right w:val="nil"/>
            </w:tcBorders>
            <w:shd w:val="clear" w:color="auto" w:fill="auto"/>
            <w:noWrap/>
            <w:vAlign w:val="center"/>
            <w:hideMark/>
          </w:tcPr>
          <w:p w14:paraId="076BBD02" w14:textId="77777777" w:rsidR="00DC2DB2" w:rsidRPr="00B63AB4" w:rsidRDefault="00DC2DB2" w:rsidP="00EB4A43">
            <w:pPr>
              <w:jc w:val="center"/>
              <w:rPr>
                <w:color w:val="000000"/>
                <w:sz w:val="20"/>
                <w:szCs w:val="20"/>
                <w:lang w:val="en-US"/>
              </w:rPr>
            </w:pPr>
            <w:r w:rsidRPr="00B63AB4">
              <w:rPr>
                <w:color w:val="000000"/>
                <w:sz w:val="20"/>
                <w:szCs w:val="20"/>
                <w:lang w:val="en-US"/>
              </w:rPr>
              <w:t>UK</w:t>
            </w:r>
          </w:p>
        </w:tc>
      </w:tr>
      <w:tr w:rsidR="00DC2DB2" w:rsidRPr="00B63AB4" w14:paraId="4AE034F3" w14:textId="77777777" w:rsidTr="00EB4A43">
        <w:trPr>
          <w:trHeight w:val="315"/>
          <w:jc w:val="center"/>
        </w:trPr>
        <w:tc>
          <w:tcPr>
            <w:tcW w:w="3005" w:type="dxa"/>
            <w:tcBorders>
              <w:top w:val="nil"/>
              <w:left w:val="nil"/>
              <w:right w:val="nil"/>
            </w:tcBorders>
            <w:shd w:val="clear" w:color="auto" w:fill="auto"/>
            <w:noWrap/>
            <w:vAlign w:val="center"/>
          </w:tcPr>
          <w:p w14:paraId="3F4CB1C9" w14:textId="77777777" w:rsidR="00DC2DB2" w:rsidRPr="00B63AB4" w:rsidRDefault="00DC2DB2" w:rsidP="00EB4A43">
            <w:pPr>
              <w:jc w:val="center"/>
              <w:rPr>
                <w:color w:val="000000"/>
                <w:sz w:val="20"/>
                <w:szCs w:val="20"/>
                <w:lang w:val="en-US"/>
              </w:rPr>
            </w:pPr>
            <w:r w:rsidRPr="00B63AB4">
              <w:rPr>
                <w:color w:val="000000"/>
                <w:sz w:val="20"/>
                <w:szCs w:val="20"/>
                <w:lang w:val="en-US"/>
              </w:rPr>
              <w:t>Serra-</w:t>
            </w:r>
            <w:proofErr w:type="spellStart"/>
            <w:r w:rsidRPr="00B63AB4">
              <w:rPr>
                <w:color w:val="000000"/>
                <w:sz w:val="20"/>
                <w:szCs w:val="20"/>
                <w:lang w:val="en-US"/>
              </w:rPr>
              <w:t>Juhé</w:t>
            </w:r>
            <w:proofErr w:type="spellEnd"/>
            <w:r w:rsidRPr="00B63AB4">
              <w:rPr>
                <w:color w:val="000000"/>
                <w:sz w:val="20"/>
                <w:szCs w:val="20"/>
                <w:lang w:val="en-US"/>
              </w:rPr>
              <w:t>, et al. 2017</w:t>
            </w:r>
            <w:r>
              <w:rPr>
                <w:color w:val="000000"/>
                <w:sz w:val="20"/>
                <w:szCs w:val="20"/>
                <w:lang w:val="en-US"/>
              </w:rPr>
              <w:fldChar w:fldCharType="begin" w:fldLock="1"/>
            </w:r>
            <w:r>
              <w:rPr>
                <w:color w:val="000000"/>
                <w:sz w:val="20"/>
                <w:szCs w:val="20"/>
                <w:lang w:val="en-US"/>
              </w:rPr>
              <w:instrText>ADDIN CSL_CITATION {"citationItems":[{"id":"ITEM-1","itemData":{"DOI":"10.1371/journal.pgen.1006657","PMID":"28489853","author":[{"dropping-particle":"","family":"Serra-Juhé","given":"Clara","non-dropping-particle":"","parse-names":false,"suffix":""},{"dropping-particle":"","family":"Martos-Moreno","given":"Gabriel Á","non-dropping-particle":"","parse-names":false,"suffix":""},{"dropping-particle":"","family":"Bou de Pieri","given":"Francesc","non-dropping-particle":"","parse-names":false,"suffix":""},{"dropping-particle":"","family":"Flores","given":"Raquel","non-dropping-particle":"","parse-names":false,"suffix":""},{"dropping-particle":"","family":"González","given":"Juan R","non-dropping-particle":"","parse-names":false,"suffix":""},{"dropping-particle":"","family":"Rodríguez-Santiago","given":"Benjamín","non-dropping-particle":"","parse-names":false,"suffix":""},{"dropping-particle":"","family":"Argente","given":"Jesús","non-dropping-particle":"","parse-names":false,"suffix":""},{"dropping-particle":"","family":"Pérez-Jurado","given":"Luis A","non-dropping-particle":"","parse-names":false,"suffix":""}],"container-title":"PLoS genetics","id":"ITEM-1","issue":"5","issued":{"date-parts":[["2017"]]},"page":"e1006657","title":"Novel genes involved in severe early-onset obesity revealed by rare copy number and sequence variants","type":"article-journal","volume":"13"},"uris":["http://www.mendeley.com/documents/?uuid=720c0755-c1d6-487e-b437-ebadc155bb08"]}],"mendeley":{"formattedCitation":"&lt;sup&gt;3&lt;/sup&gt;","plainTextFormattedCitation":"3","previouslyFormattedCitation":"&lt;sup&gt;3&lt;/sup&gt;"},"properties":{"noteIndex":0},"schema":"https://github.com/citation-style-language/schema/raw/master/csl-citation.json"}</w:instrText>
            </w:r>
            <w:r>
              <w:rPr>
                <w:color w:val="000000"/>
                <w:sz w:val="20"/>
                <w:szCs w:val="20"/>
                <w:lang w:val="en-US"/>
              </w:rPr>
              <w:fldChar w:fldCharType="separate"/>
            </w:r>
            <w:r w:rsidRPr="00B95999">
              <w:rPr>
                <w:noProof/>
                <w:color w:val="000000"/>
                <w:sz w:val="20"/>
                <w:szCs w:val="20"/>
                <w:vertAlign w:val="superscript"/>
                <w:lang w:val="en-US"/>
              </w:rPr>
              <w:t>3</w:t>
            </w:r>
            <w:r>
              <w:rPr>
                <w:color w:val="000000"/>
                <w:sz w:val="20"/>
                <w:szCs w:val="20"/>
                <w:lang w:val="en-US"/>
              </w:rPr>
              <w:fldChar w:fldCharType="end"/>
            </w:r>
          </w:p>
        </w:tc>
        <w:tc>
          <w:tcPr>
            <w:tcW w:w="1134" w:type="dxa"/>
            <w:tcBorders>
              <w:top w:val="nil"/>
              <w:left w:val="nil"/>
              <w:right w:val="nil"/>
            </w:tcBorders>
            <w:shd w:val="clear" w:color="auto" w:fill="auto"/>
            <w:noWrap/>
            <w:vAlign w:val="center"/>
          </w:tcPr>
          <w:p w14:paraId="7C4D415C" w14:textId="77777777" w:rsidR="00DC2DB2" w:rsidRPr="00B63AB4" w:rsidRDefault="00DC2DB2" w:rsidP="00EB4A43">
            <w:pPr>
              <w:jc w:val="center"/>
              <w:rPr>
                <w:color w:val="000000"/>
                <w:sz w:val="20"/>
                <w:szCs w:val="20"/>
                <w:lang w:val="en-US"/>
              </w:rPr>
            </w:pPr>
            <w:r w:rsidRPr="00B63AB4">
              <w:rPr>
                <w:color w:val="000000"/>
                <w:sz w:val="20"/>
                <w:szCs w:val="20"/>
                <w:lang w:val="en-US"/>
              </w:rPr>
              <w:t>14</w:t>
            </w:r>
          </w:p>
        </w:tc>
        <w:tc>
          <w:tcPr>
            <w:tcW w:w="1047" w:type="dxa"/>
            <w:tcBorders>
              <w:top w:val="nil"/>
              <w:left w:val="nil"/>
              <w:right w:val="nil"/>
            </w:tcBorders>
            <w:shd w:val="clear" w:color="auto" w:fill="auto"/>
            <w:noWrap/>
            <w:vAlign w:val="center"/>
          </w:tcPr>
          <w:p w14:paraId="3AD1625B" w14:textId="77777777" w:rsidR="00DC2DB2" w:rsidRPr="00B63AB4" w:rsidRDefault="00DC2DB2" w:rsidP="00EB4A43">
            <w:pPr>
              <w:jc w:val="center"/>
              <w:rPr>
                <w:sz w:val="20"/>
                <w:szCs w:val="20"/>
                <w:lang w:val="en-US"/>
              </w:rPr>
            </w:pPr>
            <w:r w:rsidRPr="00B63AB4">
              <w:rPr>
                <w:sz w:val="20"/>
                <w:szCs w:val="20"/>
                <w:lang w:val="en-US"/>
              </w:rPr>
              <w:t>1-1-1</w:t>
            </w:r>
          </w:p>
        </w:tc>
        <w:tc>
          <w:tcPr>
            <w:tcW w:w="1807" w:type="dxa"/>
            <w:tcBorders>
              <w:top w:val="nil"/>
              <w:left w:val="nil"/>
              <w:right w:val="nil"/>
            </w:tcBorders>
            <w:shd w:val="clear" w:color="auto" w:fill="auto"/>
            <w:noWrap/>
            <w:vAlign w:val="center"/>
          </w:tcPr>
          <w:p w14:paraId="0DB70152" w14:textId="77777777" w:rsidR="00DC2DB2" w:rsidRPr="00B63AB4" w:rsidRDefault="00DC2DB2" w:rsidP="00EB4A43">
            <w:pPr>
              <w:jc w:val="center"/>
              <w:rPr>
                <w:color w:val="000000"/>
                <w:sz w:val="20"/>
                <w:szCs w:val="20"/>
                <w:lang w:val="en-US"/>
              </w:rPr>
            </w:pPr>
            <w:r w:rsidRPr="00B63AB4">
              <w:rPr>
                <w:color w:val="000000"/>
                <w:sz w:val="20"/>
                <w:szCs w:val="20"/>
                <w:lang w:val="en-US"/>
              </w:rPr>
              <w:t>SEOO</w:t>
            </w:r>
          </w:p>
        </w:tc>
        <w:tc>
          <w:tcPr>
            <w:tcW w:w="1733" w:type="dxa"/>
            <w:tcBorders>
              <w:top w:val="nil"/>
              <w:left w:val="nil"/>
              <w:right w:val="nil"/>
            </w:tcBorders>
            <w:shd w:val="clear" w:color="auto" w:fill="auto"/>
            <w:noWrap/>
            <w:vAlign w:val="center"/>
          </w:tcPr>
          <w:p w14:paraId="40BA6C79" w14:textId="77777777" w:rsidR="00DC2DB2" w:rsidRPr="00B63AB4" w:rsidRDefault="00DC2DB2" w:rsidP="00EB4A43">
            <w:pPr>
              <w:jc w:val="center"/>
              <w:rPr>
                <w:color w:val="000000"/>
                <w:sz w:val="20"/>
                <w:szCs w:val="20"/>
                <w:lang w:val="en-US"/>
              </w:rPr>
            </w:pPr>
            <w:r w:rsidRPr="00B63AB4">
              <w:rPr>
                <w:color w:val="000000"/>
                <w:sz w:val="20"/>
                <w:szCs w:val="20"/>
                <w:lang w:val="en-US"/>
              </w:rPr>
              <w:t>Spain</w:t>
            </w:r>
          </w:p>
        </w:tc>
      </w:tr>
      <w:tr w:rsidR="00DC2DB2" w:rsidRPr="00B95999" w14:paraId="70F5B54C" w14:textId="77777777" w:rsidTr="00EB4A43">
        <w:trPr>
          <w:trHeight w:val="315"/>
          <w:jc w:val="center"/>
        </w:trPr>
        <w:tc>
          <w:tcPr>
            <w:tcW w:w="3005" w:type="dxa"/>
            <w:tcBorders>
              <w:top w:val="nil"/>
              <w:left w:val="nil"/>
              <w:right w:val="nil"/>
            </w:tcBorders>
            <w:shd w:val="clear" w:color="auto" w:fill="auto"/>
            <w:noWrap/>
            <w:vAlign w:val="center"/>
          </w:tcPr>
          <w:p w14:paraId="165C23B3" w14:textId="77777777" w:rsidR="00DC2DB2" w:rsidRPr="00B63AB4" w:rsidRDefault="00DC2DB2" w:rsidP="00EB4A43">
            <w:pPr>
              <w:jc w:val="center"/>
              <w:rPr>
                <w:color w:val="000000"/>
                <w:sz w:val="20"/>
                <w:szCs w:val="20"/>
                <w:lang w:val="en-US"/>
              </w:rPr>
            </w:pPr>
            <w:proofErr w:type="spellStart"/>
            <w:r w:rsidRPr="00B63AB4">
              <w:rPr>
                <w:color w:val="000000"/>
                <w:sz w:val="20"/>
                <w:szCs w:val="20"/>
                <w:lang w:val="en-US"/>
              </w:rPr>
              <w:t>Kleinendorst</w:t>
            </w:r>
            <w:proofErr w:type="spellEnd"/>
            <w:r w:rsidRPr="00B63AB4">
              <w:rPr>
                <w:color w:val="000000"/>
                <w:sz w:val="20"/>
                <w:szCs w:val="20"/>
                <w:lang w:val="en-US"/>
              </w:rPr>
              <w:t>, et al. 2018</w:t>
            </w:r>
            <w:r>
              <w:rPr>
                <w:color w:val="000000"/>
                <w:sz w:val="20"/>
                <w:szCs w:val="20"/>
                <w:lang w:val="en-US"/>
              </w:rPr>
              <w:fldChar w:fldCharType="begin" w:fldLock="1"/>
            </w:r>
            <w:r>
              <w:rPr>
                <w:color w:val="000000"/>
                <w:sz w:val="20"/>
                <w:szCs w:val="20"/>
                <w:lang w:val="en-US"/>
              </w:rPr>
              <w:instrText>ADDIN CSL_CITATION {"citationItems":[{"id":"ITEM-1","itemData":{"DOI":"10.1136/jmedgenet-2018-105315","ISSN":"1468-6244 (Electronic)","PMID":"29970488","abstract":"BACKGROUND: Obesity is a global and severe health problem. Due to genetic  heterogeneity, the identification of genetic defects in patients with obesity can be time consuming and costly. Therefore, we developed a custom diagnostic targeted next-generation sequencing (NGS)-based analysis to simultaneously identify mutations in 52 obesity-related genes. The aim of this study was to assess the diagnostic yield of this approach in patients with suspected genetic obesity. METHODS: DNA of 1230 patients with obesity (median BMI adults 43.6 kg/m(2); median body mass index-SD children +3.4 SD) was analysed in the genome diagnostics section of the Department of Genetics of the UMC Utrecht (The Netherlands) by targeted analysis of 52 obesity-related genes. RESULTS: In 48 patients pathogenic mutations confirming the clinical diagnosis were detected. The majority of these were observed in the MC4R gene (18/48). In an additional 67 patients a probable pathogenic mutation was identified, necessitating further analysis to confirm the clinical relevance. CONCLUSIONS: NGS-based gene panel analysis in patients with obesity led to a definitive diagnosis of a genetic obesity disorder in 3.9% of obese probands, and a possible diagnosis in an additional 5.4% of obese probands. The highest yield was achieved in a selected paediatric subgroup, establishing a definitive diagnosis in 12 out of 164 children with severe early onset obesity (7.3%). These findings give a realistic insight in the diagnostic yield of genetic testing for patients with obesity and could help these patients to receive (future) personalised treatment.","author":[{"dropping-particle":"","family":"Kleinendorst","given":"Lotte","non-dropping-particle":"","parse-names":false,"suffix":""},{"dropping-particle":"","family":"Massink","given":"Maarten P G","non-dropping-particle":"","parse-names":false,"suffix":""},{"dropping-particle":"","family":"Cooiman","given":"Mellody I","non-dropping-particle":"","parse-names":false,"suffix":""},{"dropping-particle":"","family":"Savas","given":"Mesut","non-dropping-particle":"","parse-names":false,"suffix":""},{"dropping-particle":"","family":"Baan-Slootweg","given":"Olga H","non-dropping-particle":"van der","parse-names":false,"suffix":""},{"dropping-particle":"","family":"Roelants","given":"Roosje J","non-dropping-particle":"","parse-names":false,"suffix":""},{"dropping-particle":"","family":"Janssen","given":"Ignace C M","non-dropping-particle":"","parse-names":false,"suffix":""},{"dropping-particle":"","family":"Meijers-Heijboer","given":"Hanne J","non-dropping-particle":"","parse-names":false,"suffix":""},{"dropping-particle":"","family":"Knoers","given":"Nine V A M","non-dropping-particle":"","parse-names":false,"suffix":""},{"dropping-particle":"","family":"Ploos van Amstel","given":"Hans Kristian","non-dropping-particle":"","parse-names":false,"suffix":""},{"dropping-particle":"","family":"Rossum","given":"Elisabeth F C","non-dropping-particle":"van","parse-names":false,"suffix":""},{"dropping-particle":"","family":"Akker","given":"Erica L T","non-dropping-particle":"van den","parse-names":false,"suffix":""},{"dropping-particle":"","family":"Haaften","given":"Gijs","non-dropping-particle":"van","parse-names":false,"suffix":""},{"dropping-particle":"","family":"Zwaag","given":"Bert","non-dropping-particle":"van der","parse-names":false,"suffix":""},{"dropping-particle":"","family":"Haelst","given":"Mieke M","non-dropping-particle":"van","parse-names":false,"suffix":""}],"container-title":"Journal of medical genetics","id":"ITEM-1","issue":"9","issued":{"date-parts":[["2018","9"]]},"language":"eng","page":"578-586","publisher-place":"England","title":"Genetic obesity: next-generation sequencing results of 1230 patients with obesity.","type":"article-journal","volume":"55"},"uris":["http://www.mendeley.com/documents/?uuid=f4fab28a-4230-403d-97e6-cffa6469c80d"]}],"mendeley":{"formattedCitation":"&lt;sup&gt;4&lt;/sup&gt;","plainTextFormattedCitation":"4","previouslyFormattedCitation":"&lt;sup&gt;4&lt;/sup&gt;"},"properties":{"noteIndex":0},"schema":"https://github.com/citation-style-language/schema/raw/master/csl-citation.json"}</w:instrText>
            </w:r>
            <w:r>
              <w:rPr>
                <w:color w:val="000000"/>
                <w:sz w:val="20"/>
                <w:szCs w:val="20"/>
                <w:lang w:val="en-US"/>
              </w:rPr>
              <w:fldChar w:fldCharType="separate"/>
            </w:r>
            <w:r w:rsidRPr="00B95999">
              <w:rPr>
                <w:noProof/>
                <w:color w:val="000000"/>
                <w:sz w:val="20"/>
                <w:szCs w:val="20"/>
                <w:vertAlign w:val="superscript"/>
                <w:lang w:val="en-US"/>
              </w:rPr>
              <w:t>4</w:t>
            </w:r>
            <w:r>
              <w:rPr>
                <w:color w:val="000000"/>
                <w:sz w:val="20"/>
                <w:szCs w:val="20"/>
                <w:lang w:val="en-US"/>
              </w:rPr>
              <w:fldChar w:fldCharType="end"/>
            </w:r>
          </w:p>
        </w:tc>
        <w:tc>
          <w:tcPr>
            <w:tcW w:w="1134" w:type="dxa"/>
            <w:tcBorders>
              <w:top w:val="nil"/>
              <w:left w:val="nil"/>
              <w:right w:val="nil"/>
            </w:tcBorders>
            <w:shd w:val="clear" w:color="auto" w:fill="auto"/>
            <w:noWrap/>
            <w:vAlign w:val="center"/>
          </w:tcPr>
          <w:p w14:paraId="67D24033" w14:textId="77777777" w:rsidR="00DC2DB2" w:rsidRPr="00B63AB4" w:rsidRDefault="00DC2DB2" w:rsidP="00EB4A43">
            <w:pPr>
              <w:jc w:val="center"/>
              <w:rPr>
                <w:color w:val="000000"/>
                <w:sz w:val="20"/>
                <w:szCs w:val="20"/>
                <w:lang w:val="en-US"/>
              </w:rPr>
            </w:pPr>
            <w:r w:rsidRPr="00B63AB4">
              <w:rPr>
                <w:color w:val="000000"/>
                <w:sz w:val="20"/>
                <w:szCs w:val="20"/>
                <w:lang w:val="en-US"/>
              </w:rPr>
              <w:t>52</w:t>
            </w:r>
          </w:p>
        </w:tc>
        <w:tc>
          <w:tcPr>
            <w:tcW w:w="1047" w:type="dxa"/>
            <w:tcBorders>
              <w:top w:val="nil"/>
              <w:left w:val="nil"/>
              <w:right w:val="nil"/>
            </w:tcBorders>
            <w:shd w:val="clear" w:color="auto" w:fill="auto"/>
            <w:noWrap/>
            <w:vAlign w:val="center"/>
          </w:tcPr>
          <w:p w14:paraId="07F5CAE2" w14:textId="77777777" w:rsidR="00DC2DB2" w:rsidRPr="00B63AB4" w:rsidRDefault="00DC2DB2" w:rsidP="00EB4A43">
            <w:pPr>
              <w:jc w:val="center"/>
              <w:rPr>
                <w:sz w:val="20"/>
                <w:szCs w:val="20"/>
                <w:lang w:val="en-US"/>
              </w:rPr>
            </w:pPr>
            <w:r w:rsidRPr="00B63AB4">
              <w:rPr>
                <w:sz w:val="20"/>
                <w:szCs w:val="20"/>
                <w:lang w:val="en-US"/>
              </w:rPr>
              <w:t>18-17-12</w:t>
            </w:r>
          </w:p>
        </w:tc>
        <w:tc>
          <w:tcPr>
            <w:tcW w:w="1807" w:type="dxa"/>
            <w:tcBorders>
              <w:top w:val="nil"/>
              <w:left w:val="nil"/>
              <w:right w:val="nil"/>
            </w:tcBorders>
            <w:shd w:val="clear" w:color="auto" w:fill="auto"/>
            <w:noWrap/>
            <w:vAlign w:val="center"/>
          </w:tcPr>
          <w:p w14:paraId="7B74F838" w14:textId="77777777" w:rsidR="00DC2DB2" w:rsidRPr="00B63AB4" w:rsidRDefault="00DC2DB2" w:rsidP="00EB4A43">
            <w:pPr>
              <w:jc w:val="center"/>
              <w:rPr>
                <w:color w:val="000000"/>
                <w:sz w:val="20"/>
                <w:szCs w:val="20"/>
                <w:lang w:val="en-US"/>
              </w:rPr>
            </w:pPr>
            <w:r w:rsidRPr="00B63AB4">
              <w:rPr>
                <w:color w:val="000000"/>
                <w:sz w:val="20"/>
                <w:szCs w:val="20"/>
                <w:lang w:val="en-US"/>
              </w:rPr>
              <w:t>O+1criteria</w:t>
            </w:r>
          </w:p>
        </w:tc>
        <w:tc>
          <w:tcPr>
            <w:tcW w:w="1733" w:type="dxa"/>
            <w:tcBorders>
              <w:top w:val="nil"/>
              <w:left w:val="nil"/>
              <w:right w:val="nil"/>
            </w:tcBorders>
            <w:shd w:val="clear" w:color="auto" w:fill="auto"/>
            <w:noWrap/>
            <w:vAlign w:val="center"/>
          </w:tcPr>
          <w:p w14:paraId="51637E6B" w14:textId="77777777" w:rsidR="00DC2DB2" w:rsidRPr="00B63AB4" w:rsidRDefault="00DC2DB2" w:rsidP="00EB4A43">
            <w:pPr>
              <w:jc w:val="center"/>
              <w:rPr>
                <w:color w:val="000000"/>
                <w:sz w:val="20"/>
                <w:szCs w:val="20"/>
                <w:lang w:val="en-US"/>
              </w:rPr>
            </w:pPr>
            <w:r w:rsidRPr="00B63AB4">
              <w:rPr>
                <w:color w:val="000000"/>
                <w:sz w:val="20"/>
                <w:szCs w:val="20"/>
                <w:lang w:val="en-US"/>
              </w:rPr>
              <w:t xml:space="preserve">The Netherlands, Dutch Caribbean, </w:t>
            </w:r>
            <w:proofErr w:type="gramStart"/>
            <w:r w:rsidRPr="00B63AB4">
              <w:rPr>
                <w:color w:val="000000"/>
                <w:sz w:val="20"/>
                <w:szCs w:val="20"/>
                <w:lang w:val="en-US"/>
              </w:rPr>
              <w:t>UK</w:t>
            </w:r>
            <w:proofErr w:type="gramEnd"/>
            <w:r w:rsidRPr="00B63AB4">
              <w:rPr>
                <w:color w:val="000000"/>
                <w:sz w:val="20"/>
                <w:szCs w:val="20"/>
                <w:lang w:val="en-US"/>
              </w:rPr>
              <w:t xml:space="preserve"> and Finland</w:t>
            </w:r>
          </w:p>
        </w:tc>
      </w:tr>
      <w:tr w:rsidR="00DC2DB2" w:rsidRPr="00B5629A" w14:paraId="4E522AB5" w14:textId="77777777" w:rsidTr="00EB4A43">
        <w:trPr>
          <w:trHeight w:val="315"/>
          <w:jc w:val="center"/>
        </w:trPr>
        <w:tc>
          <w:tcPr>
            <w:tcW w:w="3005" w:type="dxa"/>
            <w:tcBorders>
              <w:top w:val="nil"/>
              <w:left w:val="nil"/>
              <w:right w:val="nil"/>
            </w:tcBorders>
            <w:shd w:val="clear" w:color="auto" w:fill="auto"/>
            <w:noWrap/>
            <w:vAlign w:val="center"/>
          </w:tcPr>
          <w:p w14:paraId="1D390A11" w14:textId="77777777" w:rsidR="00DC2DB2" w:rsidRPr="005042F6" w:rsidRDefault="00DC2DB2" w:rsidP="00EB4A43">
            <w:pPr>
              <w:jc w:val="center"/>
              <w:rPr>
                <w:color w:val="000000"/>
                <w:sz w:val="20"/>
                <w:szCs w:val="20"/>
                <w:lang w:val="en-US"/>
              </w:rPr>
            </w:pPr>
            <w:r w:rsidRPr="005042F6">
              <w:rPr>
                <w:color w:val="000000"/>
                <w:sz w:val="20"/>
                <w:szCs w:val="20"/>
                <w:lang w:val="en-US"/>
              </w:rPr>
              <w:t>Akinci, et al. 2019</w:t>
            </w:r>
            <w:r>
              <w:rPr>
                <w:color w:val="000000"/>
                <w:sz w:val="20"/>
                <w:szCs w:val="20"/>
                <w:lang w:val="en-US"/>
              </w:rPr>
              <w:fldChar w:fldCharType="begin" w:fldLock="1"/>
            </w:r>
            <w:r>
              <w:rPr>
                <w:color w:val="000000"/>
                <w:sz w:val="20"/>
                <w:szCs w:val="20"/>
                <w:lang w:val="en-US"/>
              </w:rPr>
              <w:instrText>ADDIN CSL_CITATION {"citationItems":[{"id":"ITEM-1","itemData":{"DOI":"10.4274/jcrpe.galenos.2019.2019.0021","ISSN":"1308-5735 (Electronic)","PMID":"30991789","abstract":"OBJECTIVE: Non syndromic monogenic obesity is a rare cause of early onset severe  obesity in the childhood period. This form may not be distinguishable from other forms of severe obesity without genetic analysis, particularly if patients do not exibit any physical abnormalities or developmental delay. The aim of this study was to screen 41 different obesity-related genes in children with non-syndromic early onset severe obesity. METHODS: Children with severe (body mass index-standard deviation score &gt;3) and early onset (&lt;7 years) obesity were screened by next-generation sequencing based, targeted DNA custom panel for 41 known-obesity-related genes and the results were confirmed by Sanger technique. RESULTS: Six novel variants were identified in five candidate genes in seven out of 105 children with severe obesity; two in SIM1 (p.W306C and p.Q36X), one in POMC (p.Y160H), one in PCSK1 (p.W130G fs Ter8), two in MC4R (p.D126E) and one in LEPR (p.Q4H). Additionally, two previously known variations in MC4R were identified in four patients (p.R165W in three, and p.V166I in one). CONCLUSION: We identified six novel and four previously described variants in six obesity-related genes in 11 out of 105 childrens with early onset severe obesity. The prevalence of monogenic obesity was 10.4% in our cohort.","author":[{"dropping-particle":"","family":"Akıncı","given":"Ayşehan","non-dropping-particle":"","parse-names":false,"suffix":""},{"dropping-particle":"","family":"Türkkahraman","given":"Doğa","non-dropping-particle":"","parse-names":false,"suffix":""},{"dropping-particle":"","family":"Tekedereli","given":"İbrahim","non-dropping-particle":"","parse-names":false,"suffix":""},{"dropping-particle":"","family":"Özer","given":"Leyla","non-dropping-particle":"","parse-names":false,"suffix":""},{"dropping-particle":"","family":"Evren","given":"Bahri","non-dropping-particle":"","parse-names":false,"suffix":""},{"dropping-particle":"","family":"Şahin","given":"İbrahim","non-dropping-particle":"","parse-names":false,"suffix":""},{"dropping-particle":"","family":"Kalkan","given":"Tarkan","non-dropping-particle":"","parse-names":false,"suffix":""},{"dropping-particle":"","family":"Çürek","given":"Yusuf","non-dropping-particle":"","parse-names":false,"suffix":""},{"dropping-particle":"","family":"Çamtosun","given":"Emine","non-dropping-particle":"","parse-names":false,"suffix":""},{"dropping-particle":"","family":"Döğer","given":"Esra","non-dropping-particle":"","parse-names":false,"suffix":""},{"dropping-particle":"","family":"Bideci","given":"Aysun","non-dropping-particle":"","parse-names":false,"suffix":""},{"dropping-particle":"","family":"Güven","given":"Ayla","non-dropping-particle":"","parse-names":false,"suffix":""},{"dropping-particle":"","family":"Eren","given":"Erdal","non-dropping-particle":"","parse-names":false,"suffix":""},{"dropping-particle":"","family":"Sangün","given":"Özlem","non-dropping-particle":"","parse-names":false,"suffix":""},{"dropping-particle":"","family":"Çayır","given":"Atilla","non-dropping-particle":"","parse-names":false,"suffix":""},{"dropping-particle":"","family":"Bilir","given":"Pelin","non-dropping-particle":"","parse-names":false,"suffix":""},{"dropping-particle":"","family":"Törel Ergür","given":"Ayça","non-dropping-particle":"","parse-names":false,"suffix":""},{"dropping-particle":"","family":"Ercan","given":"Oya","non-dropping-particle":"","parse-names":false,"suffix":""}],"container-title":"Journal of clinical research in pediatric endocrinology","id":"ITEM-1","issue":"4","issued":{"date-parts":[["2019","11"]]},"language":"eng","page":"341-349","title":"Novel Mutations in Obesity-related Genes in Turkish Children with Non-syndromic  Early Onset Severe Obesity: A Multicentre Study.","type":"article-journal","volume":"11"},"uris":["http://www.mendeley.com/documents/?uuid=b058274d-ac21-4253-bcbd-428f0abc03fa"]}],"mendeley":{"formattedCitation":"&lt;sup&gt;5&lt;/sup&gt;","plainTextFormattedCitation":"5","previouslyFormattedCitation":"&lt;sup&gt;5&lt;/sup&gt;"},"properties":{"noteIndex":0},"schema":"https://github.com/citation-style-language/schema/raw/master/csl-citation.json"}</w:instrText>
            </w:r>
            <w:r>
              <w:rPr>
                <w:color w:val="000000"/>
                <w:sz w:val="20"/>
                <w:szCs w:val="20"/>
                <w:lang w:val="en-US"/>
              </w:rPr>
              <w:fldChar w:fldCharType="separate"/>
            </w:r>
            <w:r w:rsidRPr="00B95999">
              <w:rPr>
                <w:noProof/>
                <w:color w:val="000000"/>
                <w:sz w:val="20"/>
                <w:szCs w:val="20"/>
                <w:vertAlign w:val="superscript"/>
                <w:lang w:val="en-US"/>
              </w:rPr>
              <w:t>5</w:t>
            </w:r>
            <w:r>
              <w:rPr>
                <w:color w:val="000000"/>
                <w:sz w:val="20"/>
                <w:szCs w:val="20"/>
                <w:lang w:val="en-US"/>
              </w:rPr>
              <w:fldChar w:fldCharType="end"/>
            </w:r>
          </w:p>
        </w:tc>
        <w:tc>
          <w:tcPr>
            <w:tcW w:w="1134" w:type="dxa"/>
            <w:tcBorders>
              <w:top w:val="nil"/>
              <w:left w:val="nil"/>
              <w:right w:val="nil"/>
            </w:tcBorders>
            <w:shd w:val="clear" w:color="auto" w:fill="auto"/>
            <w:noWrap/>
            <w:vAlign w:val="center"/>
          </w:tcPr>
          <w:p w14:paraId="3043DF8E" w14:textId="77777777" w:rsidR="00DC2DB2" w:rsidRPr="005042F6" w:rsidRDefault="00DC2DB2" w:rsidP="00EB4A43">
            <w:pPr>
              <w:jc w:val="center"/>
              <w:rPr>
                <w:color w:val="000000"/>
                <w:sz w:val="20"/>
                <w:szCs w:val="20"/>
                <w:lang w:val="en-US"/>
              </w:rPr>
            </w:pPr>
            <w:r w:rsidRPr="005042F6">
              <w:rPr>
                <w:color w:val="000000"/>
                <w:sz w:val="20"/>
                <w:szCs w:val="20"/>
                <w:lang w:val="en-US"/>
              </w:rPr>
              <w:t>41</w:t>
            </w:r>
          </w:p>
        </w:tc>
        <w:tc>
          <w:tcPr>
            <w:tcW w:w="1047" w:type="dxa"/>
            <w:tcBorders>
              <w:top w:val="nil"/>
              <w:left w:val="nil"/>
              <w:right w:val="nil"/>
            </w:tcBorders>
            <w:shd w:val="clear" w:color="auto" w:fill="auto"/>
            <w:noWrap/>
            <w:vAlign w:val="center"/>
          </w:tcPr>
          <w:p w14:paraId="36E418F6" w14:textId="77777777" w:rsidR="00DC2DB2" w:rsidRPr="005042F6" w:rsidRDefault="00DC2DB2" w:rsidP="00EB4A43">
            <w:pPr>
              <w:jc w:val="center"/>
              <w:rPr>
                <w:sz w:val="20"/>
                <w:szCs w:val="20"/>
                <w:lang w:val="en-US"/>
              </w:rPr>
            </w:pPr>
            <w:r w:rsidRPr="005042F6">
              <w:rPr>
                <w:sz w:val="20"/>
                <w:szCs w:val="20"/>
                <w:lang w:val="en-US"/>
              </w:rPr>
              <w:t>6-6-4</w:t>
            </w:r>
          </w:p>
        </w:tc>
        <w:tc>
          <w:tcPr>
            <w:tcW w:w="1807" w:type="dxa"/>
            <w:tcBorders>
              <w:top w:val="nil"/>
              <w:left w:val="nil"/>
              <w:right w:val="nil"/>
            </w:tcBorders>
            <w:shd w:val="clear" w:color="auto" w:fill="auto"/>
            <w:noWrap/>
            <w:vAlign w:val="center"/>
          </w:tcPr>
          <w:p w14:paraId="679E6F0E" w14:textId="77777777" w:rsidR="00DC2DB2" w:rsidRPr="005042F6" w:rsidRDefault="00DC2DB2" w:rsidP="00EB4A43">
            <w:pPr>
              <w:jc w:val="center"/>
              <w:rPr>
                <w:color w:val="000000"/>
                <w:sz w:val="20"/>
                <w:szCs w:val="20"/>
                <w:lang w:val="en-US"/>
              </w:rPr>
            </w:pPr>
            <w:r w:rsidRPr="005042F6">
              <w:rPr>
                <w:color w:val="000000"/>
                <w:sz w:val="20"/>
                <w:szCs w:val="20"/>
                <w:lang w:val="en-US"/>
              </w:rPr>
              <w:t>SEOO</w:t>
            </w:r>
          </w:p>
        </w:tc>
        <w:tc>
          <w:tcPr>
            <w:tcW w:w="1733" w:type="dxa"/>
            <w:tcBorders>
              <w:top w:val="nil"/>
              <w:left w:val="nil"/>
              <w:right w:val="nil"/>
            </w:tcBorders>
            <w:shd w:val="clear" w:color="auto" w:fill="auto"/>
            <w:noWrap/>
            <w:vAlign w:val="center"/>
          </w:tcPr>
          <w:p w14:paraId="4417562F" w14:textId="77777777" w:rsidR="00DC2DB2" w:rsidRPr="005042F6" w:rsidRDefault="00DC2DB2" w:rsidP="00EB4A43">
            <w:pPr>
              <w:jc w:val="center"/>
              <w:rPr>
                <w:color w:val="000000"/>
                <w:sz w:val="20"/>
                <w:szCs w:val="20"/>
                <w:lang w:val="en-US"/>
              </w:rPr>
            </w:pPr>
            <w:r w:rsidRPr="005042F6">
              <w:rPr>
                <w:color w:val="000000"/>
                <w:sz w:val="20"/>
                <w:szCs w:val="20"/>
                <w:lang w:val="en-US"/>
              </w:rPr>
              <w:t>Turkey</w:t>
            </w:r>
          </w:p>
        </w:tc>
      </w:tr>
      <w:tr w:rsidR="00DC2DB2" w:rsidRPr="00B63AB4" w14:paraId="2A36A12A" w14:textId="77777777" w:rsidTr="00EB4A43">
        <w:trPr>
          <w:trHeight w:val="315"/>
          <w:jc w:val="center"/>
        </w:trPr>
        <w:tc>
          <w:tcPr>
            <w:tcW w:w="3005" w:type="dxa"/>
            <w:tcBorders>
              <w:top w:val="nil"/>
              <w:left w:val="nil"/>
              <w:bottom w:val="single" w:sz="4" w:space="0" w:color="auto"/>
              <w:right w:val="nil"/>
            </w:tcBorders>
            <w:shd w:val="clear" w:color="auto" w:fill="auto"/>
            <w:noWrap/>
            <w:vAlign w:val="center"/>
            <w:hideMark/>
          </w:tcPr>
          <w:p w14:paraId="413D2F3B" w14:textId="77777777" w:rsidR="00DC2DB2" w:rsidRPr="00B63AB4" w:rsidRDefault="00DC2DB2" w:rsidP="00EB4A43">
            <w:pPr>
              <w:jc w:val="center"/>
              <w:rPr>
                <w:color w:val="000000"/>
                <w:sz w:val="20"/>
                <w:szCs w:val="20"/>
                <w:lang w:val="en-US"/>
              </w:rPr>
            </w:pPr>
            <w:r w:rsidRPr="00B63AB4">
              <w:rPr>
                <w:color w:val="000000"/>
                <w:sz w:val="20"/>
                <w:szCs w:val="20"/>
                <w:lang w:val="en-US"/>
              </w:rPr>
              <w:t>Serra-</w:t>
            </w:r>
            <w:proofErr w:type="spellStart"/>
            <w:r w:rsidRPr="00B63AB4">
              <w:rPr>
                <w:color w:val="000000"/>
                <w:sz w:val="20"/>
                <w:szCs w:val="20"/>
                <w:lang w:val="en-US"/>
              </w:rPr>
              <w:t>Juhé</w:t>
            </w:r>
            <w:proofErr w:type="spellEnd"/>
            <w:r w:rsidRPr="00B63AB4">
              <w:rPr>
                <w:color w:val="000000"/>
                <w:sz w:val="20"/>
                <w:szCs w:val="20"/>
                <w:lang w:val="en-US"/>
              </w:rPr>
              <w:t>, et al. 2020</w:t>
            </w:r>
            <w:r>
              <w:rPr>
                <w:color w:val="000000"/>
                <w:sz w:val="20"/>
                <w:szCs w:val="20"/>
                <w:lang w:val="en-US"/>
              </w:rPr>
              <w:fldChar w:fldCharType="begin" w:fldLock="1"/>
            </w:r>
            <w:r>
              <w:rPr>
                <w:color w:val="000000"/>
                <w:sz w:val="20"/>
                <w:szCs w:val="20"/>
                <w:lang w:val="en-US"/>
              </w:rPr>
              <w:instrText>ADDIN CSL_CITATION {"citationItems":[{"id":"ITEM-1","itemData":{"DOI":"10.1038/s41366-019-0357-5","ISSN":"1476-5497 (Electronic)","PMID":"30926952","abstract":"BACKGROUND: Obesity is a very heterogeneous disorder at both the clinical and  molecular levels and with high heritability. Several monogenic forms and genes with strong effects have been identified for non-syndromic severe obesity. Novel therapeutic interventions are in development for some genetic forms, emphasizing the importance of determining genetic contributions. OBJECTIVE: We aimed to define the contribution of rare single-nucleotide genetic variants (RSVs) in candidate genes to non-syndromic severe early-onset obesity (EOO; body mass index (BMI) &gt;+3 standard deviation score, &lt;3 years). METHODS: Using a pooled DNA-sequencing approach, we screened for RSVs in 15 obesity candidate genes in a series of 463 EOO patients and 480 controls. We also analysed exome data from 293 EOO patients from the \"Viva la Familia\" (VLF) study as a replication dataset. RESULTS: Likely or known pathogenic RSVs were identified in 23 patients (5.0%), with 7 of the 15 genes (BDNF, FTO, MC3R, MC4R, NEGR1, PPARG and SIM1) harbouring RSVs only in cases (3.67%) and none in controls. All were heterozygous changes, either de novo (one in BDNF) or inherited from obese parents (seven maternal, three paternal), and no individual carried more than one variant. Results were replicated in the VLF study, where 4.10% of probands carried RSVs in the overrepresented genes. RSVs in five genes were either absent (LEP) or more common in controls than in cases (ADRB3, LEPR, PCSK1 and PCSK2) in both obese datasets. CONCLUSIONS: Heterozygous RSVs in several candidate genes of the melanocortin pathway are found in ~5.0% patients with EOO. These results support the clinical utility of genetic testing to identify patients who might benefit from targeted therapeutic intervention.","author":[{"dropping-particle":"","family":"Serra-Juhé","given":"Clara","non-dropping-particle":"","parse-names":false,"suffix":""},{"dropping-particle":"","family":"Martos-Moreno","given":"Gabriel Á","non-dropping-particle":"","parse-names":false,"suffix":""},{"dropping-particle":"","family":"Bou de Pieri","given":"Francesc","non-dropping-particle":"","parse-names":false,"suffix":""},{"dropping-particle":"","family":"Flores","given":"Raquel","non-dropping-particle":"","parse-names":false,"suffix":""},{"dropping-particle":"","family":"Chowen","given":"Julie A","non-dropping-particle":"","parse-names":false,"suffix":""},{"dropping-particle":"","family":"Pérez-Jurado","given":"Luis A","non-dropping-particle":"","parse-names":false,"suffix":""},{"dropping-particle":"","family":"Argente","given":"Jesús","non-dropping-particle":"","parse-names":false,"suffix":""}],"container-title":"International journal of obesity (2005)","id":"ITEM-1","issue":"4","issued":{"date-parts":[["2020","4"]]},"language":"eng","page":"830-841","title":"Heterozygous rare genetic variants in non-syndromic early-onset obesity.","type":"article-journal","volume":"44"},"uris":["http://www.mendeley.com/documents/?uuid=9fc6ec2b-d9c6-4d97-9d7c-0d0686ffc177"]}],"mendeley":{"formattedCitation":"&lt;sup&gt;6&lt;/sup&gt;","plainTextFormattedCitation":"6","previouslyFormattedCitation":"&lt;sup&gt;6&lt;/sup&gt;"},"properties":{"noteIndex":0},"schema":"https://github.com/citation-style-language/schema/raw/master/csl-citation.json"}</w:instrText>
            </w:r>
            <w:r>
              <w:rPr>
                <w:color w:val="000000"/>
                <w:sz w:val="20"/>
                <w:szCs w:val="20"/>
                <w:lang w:val="en-US"/>
              </w:rPr>
              <w:fldChar w:fldCharType="separate"/>
            </w:r>
            <w:r w:rsidRPr="00B95999">
              <w:rPr>
                <w:noProof/>
                <w:color w:val="000000"/>
                <w:sz w:val="20"/>
                <w:szCs w:val="20"/>
                <w:vertAlign w:val="superscript"/>
                <w:lang w:val="en-US"/>
              </w:rPr>
              <w:t>6</w:t>
            </w:r>
            <w:r>
              <w:rPr>
                <w:color w:val="000000"/>
                <w:sz w:val="20"/>
                <w:szCs w:val="20"/>
                <w:lang w:val="en-US"/>
              </w:rPr>
              <w:fldChar w:fldCharType="end"/>
            </w:r>
          </w:p>
        </w:tc>
        <w:tc>
          <w:tcPr>
            <w:tcW w:w="1134" w:type="dxa"/>
            <w:tcBorders>
              <w:top w:val="nil"/>
              <w:left w:val="nil"/>
              <w:bottom w:val="single" w:sz="4" w:space="0" w:color="auto"/>
              <w:right w:val="nil"/>
            </w:tcBorders>
            <w:shd w:val="clear" w:color="auto" w:fill="auto"/>
            <w:noWrap/>
            <w:vAlign w:val="center"/>
            <w:hideMark/>
          </w:tcPr>
          <w:p w14:paraId="6349BD3A" w14:textId="77777777" w:rsidR="00DC2DB2" w:rsidRPr="00B63AB4" w:rsidRDefault="00DC2DB2" w:rsidP="00EB4A43">
            <w:pPr>
              <w:jc w:val="center"/>
              <w:rPr>
                <w:color w:val="000000"/>
                <w:sz w:val="20"/>
                <w:szCs w:val="20"/>
                <w:lang w:val="en-US"/>
              </w:rPr>
            </w:pPr>
            <w:r w:rsidRPr="00B63AB4">
              <w:rPr>
                <w:color w:val="000000"/>
                <w:sz w:val="20"/>
                <w:szCs w:val="20"/>
                <w:lang w:val="en-US"/>
              </w:rPr>
              <w:t>15</w:t>
            </w:r>
          </w:p>
        </w:tc>
        <w:tc>
          <w:tcPr>
            <w:tcW w:w="1047" w:type="dxa"/>
            <w:tcBorders>
              <w:top w:val="nil"/>
              <w:left w:val="nil"/>
              <w:bottom w:val="single" w:sz="4" w:space="0" w:color="auto"/>
              <w:right w:val="nil"/>
            </w:tcBorders>
            <w:shd w:val="clear" w:color="auto" w:fill="auto"/>
            <w:noWrap/>
            <w:vAlign w:val="center"/>
            <w:hideMark/>
          </w:tcPr>
          <w:p w14:paraId="1EED4F43" w14:textId="77777777" w:rsidR="00DC2DB2" w:rsidRPr="00B63AB4" w:rsidRDefault="00DC2DB2" w:rsidP="00EB4A43">
            <w:pPr>
              <w:jc w:val="center"/>
              <w:rPr>
                <w:color w:val="000000"/>
                <w:sz w:val="20"/>
                <w:szCs w:val="20"/>
                <w:lang w:val="en-US"/>
              </w:rPr>
            </w:pPr>
            <w:r w:rsidRPr="00B63AB4">
              <w:rPr>
                <w:sz w:val="20"/>
                <w:szCs w:val="20"/>
                <w:lang w:val="en-US"/>
              </w:rPr>
              <w:t>18-18-15</w:t>
            </w:r>
          </w:p>
        </w:tc>
        <w:tc>
          <w:tcPr>
            <w:tcW w:w="1807" w:type="dxa"/>
            <w:tcBorders>
              <w:top w:val="nil"/>
              <w:left w:val="nil"/>
              <w:bottom w:val="single" w:sz="4" w:space="0" w:color="auto"/>
              <w:right w:val="nil"/>
            </w:tcBorders>
            <w:shd w:val="clear" w:color="auto" w:fill="auto"/>
            <w:noWrap/>
            <w:vAlign w:val="center"/>
            <w:hideMark/>
          </w:tcPr>
          <w:p w14:paraId="1106741E" w14:textId="77777777" w:rsidR="00DC2DB2" w:rsidRPr="00B63AB4" w:rsidRDefault="00DC2DB2" w:rsidP="00EB4A43">
            <w:pPr>
              <w:jc w:val="center"/>
              <w:rPr>
                <w:color w:val="000000"/>
                <w:sz w:val="20"/>
                <w:szCs w:val="20"/>
                <w:lang w:val="en-US"/>
              </w:rPr>
            </w:pPr>
            <w:r w:rsidRPr="00B63AB4">
              <w:rPr>
                <w:color w:val="000000"/>
                <w:sz w:val="20"/>
                <w:szCs w:val="20"/>
                <w:lang w:val="en-US"/>
              </w:rPr>
              <w:t>SEOO</w:t>
            </w:r>
          </w:p>
        </w:tc>
        <w:tc>
          <w:tcPr>
            <w:tcW w:w="1733" w:type="dxa"/>
            <w:tcBorders>
              <w:top w:val="nil"/>
              <w:left w:val="nil"/>
              <w:bottom w:val="single" w:sz="4" w:space="0" w:color="auto"/>
              <w:right w:val="nil"/>
            </w:tcBorders>
            <w:shd w:val="clear" w:color="auto" w:fill="auto"/>
            <w:noWrap/>
            <w:vAlign w:val="center"/>
            <w:hideMark/>
          </w:tcPr>
          <w:p w14:paraId="3FA14DE8" w14:textId="77777777" w:rsidR="00DC2DB2" w:rsidRPr="00B63AB4" w:rsidRDefault="00DC2DB2" w:rsidP="00EB4A43">
            <w:pPr>
              <w:jc w:val="center"/>
              <w:rPr>
                <w:color w:val="000000"/>
                <w:sz w:val="20"/>
                <w:szCs w:val="20"/>
                <w:lang w:val="en-US"/>
              </w:rPr>
            </w:pPr>
            <w:r w:rsidRPr="00B63AB4">
              <w:rPr>
                <w:color w:val="000000"/>
                <w:sz w:val="20"/>
                <w:szCs w:val="20"/>
                <w:lang w:val="en-US"/>
              </w:rPr>
              <w:t>Spain</w:t>
            </w:r>
          </w:p>
        </w:tc>
      </w:tr>
      <w:tr w:rsidR="00DC2DB2" w:rsidRPr="00B63AB4" w14:paraId="49E88EF8" w14:textId="77777777" w:rsidTr="00EB4A43">
        <w:trPr>
          <w:trHeight w:val="315"/>
          <w:jc w:val="center"/>
        </w:trPr>
        <w:tc>
          <w:tcPr>
            <w:tcW w:w="3005" w:type="dxa"/>
            <w:tcBorders>
              <w:top w:val="single" w:sz="4" w:space="0" w:color="auto"/>
              <w:left w:val="nil"/>
              <w:bottom w:val="nil"/>
              <w:right w:val="nil"/>
            </w:tcBorders>
            <w:shd w:val="clear" w:color="auto" w:fill="auto"/>
            <w:noWrap/>
            <w:vAlign w:val="center"/>
            <w:hideMark/>
          </w:tcPr>
          <w:p w14:paraId="0CD1809B" w14:textId="77777777" w:rsidR="00DC2DB2" w:rsidRPr="00B63AB4" w:rsidRDefault="00DC2DB2" w:rsidP="00EB4A43">
            <w:pPr>
              <w:jc w:val="center"/>
              <w:rPr>
                <w:color w:val="000000"/>
                <w:sz w:val="20"/>
                <w:szCs w:val="20"/>
                <w:lang w:val="en-US"/>
              </w:rPr>
            </w:pPr>
            <w:r w:rsidRPr="00B63AB4">
              <w:rPr>
                <w:color w:val="000000"/>
                <w:sz w:val="20"/>
                <w:szCs w:val="20"/>
                <w:lang w:val="en-US"/>
              </w:rPr>
              <w:t>Yeo, et al. 1998</w:t>
            </w:r>
            <w:r>
              <w:rPr>
                <w:color w:val="000000"/>
                <w:sz w:val="20"/>
                <w:szCs w:val="20"/>
                <w:lang w:val="en-US"/>
              </w:rPr>
              <w:fldChar w:fldCharType="begin" w:fldLock="1"/>
            </w:r>
            <w:r>
              <w:rPr>
                <w:color w:val="000000"/>
                <w:sz w:val="20"/>
                <w:szCs w:val="20"/>
                <w:lang w:val="en-US"/>
              </w:rPr>
              <w:instrText>ADDIN CSL_CITATION {"citationItems":[{"id":"ITEM-1","itemData":{"DOI":"10.1038/2404","ISSN":"1061-4036 (Print)","PMID":"9771698","author":[{"dropping-particle":"","family":"Yeo","given":"G S","non-dropping-particle":"","parse-names":false,"suffix":""},{"dropping-particle":"","family":"Farooqi","given":"I S","non-dropping-particle":"","parse-names":false,"suffix":""},{"dropping-particle":"","family":"Aminian","given":"S","non-dropping-particle":"","parse-names":false,"suffix":""},{"dropping-particle":"","family":"Halsall","given":"D J","non-dropping-particle":"","parse-names":false,"suffix":""},{"dropping-particle":"","family":"Stanhope","given":"R G","non-dropping-particle":"","parse-names":false,"suffix":""},{"dropping-particle":"","family":"O'Rahilly","given":"S","non-dropping-particle":"","parse-names":false,"suffix":""}],"container-title":"Nature genetics","id":"ITEM-1","issue":"2","issued":{"date-parts":[["1998","10"]]},"language":"eng","page":"111-112","publisher-place":"United States","title":"A frameshift mutation in MC4R associated with dominantly inherited human obesity.","type":"article","volume":"20"},"uris":["http://www.mendeley.com/documents/?uuid=607d17cc-e47c-4663-8eb6-40138fb91b4c"]}],"mendeley":{"formattedCitation":"&lt;sup&gt;7&lt;/sup&gt;","plainTextFormattedCitation":"7","previouslyFormattedCitation":"&lt;sup&gt;7&lt;/sup&gt;"},"properties":{"noteIndex":0},"schema":"https://github.com/citation-style-language/schema/raw/master/csl-citation.json"}</w:instrText>
            </w:r>
            <w:r>
              <w:rPr>
                <w:color w:val="000000"/>
                <w:sz w:val="20"/>
                <w:szCs w:val="20"/>
                <w:lang w:val="en-US"/>
              </w:rPr>
              <w:fldChar w:fldCharType="separate"/>
            </w:r>
            <w:r w:rsidRPr="00B95999">
              <w:rPr>
                <w:noProof/>
                <w:color w:val="000000"/>
                <w:sz w:val="20"/>
                <w:szCs w:val="20"/>
                <w:vertAlign w:val="superscript"/>
                <w:lang w:val="en-US"/>
              </w:rPr>
              <w:t>7</w:t>
            </w:r>
            <w:r>
              <w:rPr>
                <w:color w:val="000000"/>
                <w:sz w:val="20"/>
                <w:szCs w:val="20"/>
                <w:lang w:val="en-US"/>
              </w:rPr>
              <w:fldChar w:fldCharType="end"/>
            </w:r>
          </w:p>
        </w:tc>
        <w:tc>
          <w:tcPr>
            <w:tcW w:w="1134" w:type="dxa"/>
            <w:tcBorders>
              <w:top w:val="single" w:sz="4" w:space="0" w:color="auto"/>
              <w:left w:val="nil"/>
              <w:bottom w:val="nil"/>
              <w:right w:val="nil"/>
            </w:tcBorders>
            <w:shd w:val="clear" w:color="auto" w:fill="auto"/>
            <w:noWrap/>
            <w:vAlign w:val="center"/>
            <w:hideMark/>
          </w:tcPr>
          <w:p w14:paraId="5C3F8490" w14:textId="77777777" w:rsidR="00DC2DB2" w:rsidRPr="00B63AB4" w:rsidRDefault="00DC2DB2" w:rsidP="00EB4A43">
            <w:pPr>
              <w:jc w:val="center"/>
              <w:rPr>
                <w:i/>
                <w:color w:val="000000"/>
                <w:sz w:val="20"/>
                <w:szCs w:val="20"/>
                <w:lang w:val="en-US"/>
              </w:rPr>
            </w:pPr>
            <w:r w:rsidRPr="00B63AB4">
              <w:rPr>
                <w:i/>
                <w:color w:val="000000"/>
                <w:sz w:val="20"/>
                <w:szCs w:val="20"/>
                <w:lang w:val="en-US"/>
              </w:rPr>
              <w:t>MC4R</w:t>
            </w:r>
          </w:p>
        </w:tc>
        <w:tc>
          <w:tcPr>
            <w:tcW w:w="1047" w:type="dxa"/>
            <w:tcBorders>
              <w:top w:val="single" w:sz="4" w:space="0" w:color="auto"/>
              <w:left w:val="nil"/>
              <w:bottom w:val="nil"/>
              <w:right w:val="nil"/>
            </w:tcBorders>
            <w:shd w:val="clear" w:color="auto" w:fill="auto"/>
            <w:noWrap/>
            <w:vAlign w:val="center"/>
            <w:hideMark/>
          </w:tcPr>
          <w:p w14:paraId="0BCD6261" w14:textId="77777777" w:rsidR="00DC2DB2" w:rsidRPr="00B63AB4" w:rsidRDefault="00DC2DB2" w:rsidP="00EB4A43">
            <w:pPr>
              <w:jc w:val="center"/>
              <w:rPr>
                <w:color w:val="000000"/>
                <w:sz w:val="20"/>
                <w:szCs w:val="20"/>
                <w:lang w:val="en-US"/>
              </w:rPr>
            </w:pPr>
            <w:r w:rsidRPr="00B63AB4">
              <w:rPr>
                <w:sz w:val="20"/>
                <w:szCs w:val="20"/>
                <w:lang w:val="en-US"/>
              </w:rPr>
              <w:t>1-1-1</w:t>
            </w:r>
          </w:p>
        </w:tc>
        <w:tc>
          <w:tcPr>
            <w:tcW w:w="1807" w:type="dxa"/>
            <w:tcBorders>
              <w:top w:val="single" w:sz="4" w:space="0" w:color="auto"/>
              <w:left w:val="nil"/>
              <w:bottom w:val="nil"/>
              <w:right w:val="nil"/>
            </w:tcBorders>
            <w:shd w:val="clear" w:color="auto" w:fill="auto"/>
            <w:noWrap/>
            <w:vAlign w:val="center"/>
            <w:hideMark/>
          </w:tcPr>
          <w:p w14:paraId="6143E373" w14:textId="77777777" w:rsidR="00DC2DB2" w:rsidRPr="00B63AB4" w:rsidRDefault="00DC2DB2" w:rsidP="00EB4A43">
            <w:pPr>
              <w:jc w:val="center"/>
              <w:rPr>
                <w:color w:val="000000"/>
                <w:sz w:val="20"/>
                <w:szCs w:val="20"/>
                <w:lang w:val="en-US"/>
              </w:rPr>
            </w:pPr>
            <w:r w:rsidRPr="00B63AB4">
              <w:rPr>
                <w:color w:val="000000"/>
                <w:sz w:val="20"/>
                <w:szCs w:val="20"/>
                <w:lang w:val="en-US"/>
              </w:rPr>
              <w:t>SEOO</w:t>
            </w:r>
          </w:p>
        </w:tc>
        <w:tc>
          <w:tcPr>
            <w:tcW w:w="1733" w:type="dxa"/>
            <w:tcBorders>
              <w:top w:val="single" w:sz="4" w:space="0" w:color="auto"/>
              <w:left w:val="nil"/>
              <w:bottom w:val="nil"/>
              <w:right w:val="nil"/>
            </w:tcBorders>
            <w:shd w:val="clear" w:color="auto" w:fill="auto"/>
            <w:noWrap/>
            <w:vAlign w:val="center"/>
            <w:hideMark/>
          </w:tcPr>
          <w:p w14:paraId="0479A62C" w14:textId="77777777" w:rsidR="00DC2DB2" w:rsidRPr="00B63AB4" w:rsidRDefault="00DC2DB2" w:rsidP="00EB4A43">
            <w:pPr>
              <w:jc w:val="center"/>
              <w:rPr>
                <w:color w:val="000000"/>
                <w:sz w:val="20"/>
                <w:szCs w:val="20"/>
                <w:lang w:val="en-US"/>
              </w:rPr>
            </w:pPr>
            <w:r w:rsidRPr="00B63AB4">
              <w:rPr>
                <w:color w:val="000000"/>
                <w:sz w:val="20"/>
                <w:szCs w:val="20"/>
                <w:lang w:val="en-US"/>
              </w:rPr>
              <w:t>UK</w:t>
            </w:r>
          </w:p>
        </w:tc>
      </w:tr>
      <w:tr w:rsidR="00DC2DB2" w:rsidRPr="00B63AB4" w14:paraId="567B1F59" w14:textId="77777777" w:rsidTr="00EB4A43">
        <w:trPr>
          <w:trHeight w:val="315"/>
          <w:jc w:val="center"/>
        </w:trPr>
        <w:tc>
          <w:tcPr>
            <w:tcW w:w="3005" w:type="dxa"/>
            <w:tcBorders>
              <w:top w:val="nil"/>
              <w:left w:val="nil"/>
              <w:bottom w:val="nil"/>
              <w:right w:val="nil"/>
            </w:tcBorders>
            <w:shd w:val="clear" w:color="auto" w:fill="auto"/>
            <w:noWrap/>
            <w:vAlign w:val="center"/>
            <w:hideMark/>
          </w:tcPr>
          <w:p w14:paraId="79C1A7A4" w14:textId="77777777" w:rsidR="00DC2DB2" w:rsidRPr="00B63AB4" w:rsidRDefault="00DC2DB2" w:rsidP="00EB4A43">
            <w:pPr>
              <w:jc w:val="center"/>
              <w:rPr>
                <w:color w:val="000000"/>
                <w:sz w:val="20"/>
                <w:szCs w:val="20"/>
                <w:lang w:val="en-US"/>
              </w:rPr>
            </w:pPr>
            <w:proofErr w:type="spellStart"/>
            <w:r w:rsidRPr="00B63AB4">
              <w:rPr>
                <w:color w:val="000000"/>
                <w:sz w:val="20"/>
                <w:szCs w:val="20"/>
                <w:lang w:val="en-US"/>
              </w:rPr>
              <w:t>Vaisse</w:t>
            </w:r>
            <w:proofErr w:type="spellEnd"/>
            <w:r w:rsidRPr="00B63AB4">
              <w:rPr>
                <w:color w:val="000000"/>
                <w:sz w:val="20"/>
                <w:szCs w:val="20"/>
                <w:lang w:val="en-US"/>
              </w:rPr>
              <w:t>, et al. 1998</w:t>
            </w:r>
            <w:r>
              <w:rPr>
                <w:color w:val="000000"/>
                <w:sz w:val="20"/>
                <w:szCs w:val="20"/>
                <w:lang w:val="en-US"/>
              </w:rPr>
              <w:fldChar w:fldCharType="begin" w:fldLock="1"/>
            </w:r>
            <w:r>
              <w:rPr>
                <w:color w:val="000000"/>
                <w:sz w:val="20"/>
                <w:szCs w:val="20"/>
                <w:lang w:val="en-US"/>
              </w:rPr>
              <w:instrText>ADDIN CSL_CITATION {"citationItems":[{"id":"ITEM-1","itemData":{"DOI":"10.1038/2407","ISSN":"1061-4036 (Print)","PMID":"9771699","author":[{"dropping-particle":"","family":"Vaisse","given":"C","non-dropping-particle":"","parse-names":false,"suffix":""},{"dropping-particle":"","family":"Clement","given":"K","non-dropping-particle":"","parse-names":false,"suffix":""},{"dropping-particle":"","family":"Guy-Grand","given":"B","non-dropping-particle":"","parse-names":false,"suffix":""},{"dropping-particle":"","family":"Froguel","given":"P","non-dropping-particle":"","parse-names":false,"suffix":""}],"container-title":"Nature genetics","id":"ITEM-1","issue":"2","issued":{"date-parts":[["1998","10"]]},"language":"eng","page":"113-114","publisher-place":"United States","title":"A frameshift mutation in human MC4R is associated with a dominant form of obesity.","type":"article","volume":"20"},"uris":["http://www.mendeley.com/documents/?uuid=45e3b13c-108c-418a-a781-cefbe1959335"]}],"mendeley":{"formattedCitation":"&lt;sup&gt;8&lt;/sup&gt;","plainTextFormattedCitation":"8","previouslyFormattedCitation":"&lt;sup&gt;8&lt;/sup&gt;"},"properties":{"noteIndex":0},"schema":"https://github.com/citation-style-language/schema/raw/master/csl-citation.json"}</w:instrText>
            </w:r>
            <w:r>
              <w:rPr>
                <w:color w:val="000000"/>
                <w:sz w:val="20"/>
                <w:szCs w:val="20"/>
                <w:lang w:val="en-US"/>
              </w:rPr>
              <w:fldChar w:fldCharType="separate"/>
            </w:r>
            <w:r w:rsidRPr="00B95999">
              <w:rPr>
                <w:noProof/>
                <w:color w:val="000000"/>
                <w:sz w:val="20"/>
                <w:szCs w:val="20"/>
                <w:vertAlign w:val="superscript"/>
                <w:lang w:val="en-US"/>
              </w:rPr>
              <w:t>8</w:t>
            </w:r>
            <w:r>
              <w:rPr>
                <w:color w:val="000000"/>
                <w:sz w:val="20"/>
                <w:szCs w:val="20"/>
                <w:lang w:val="en-US"/>
              </w:rPr>
              <w:fldChar w:fldCharType="end"/>
            </w:r>
          </w:p>
        </w:tc>
        <w:tc>
          <w:tcPr>
            <w:tcW w:w="1134" w:type="dxa"/>
            <w:tcBorders>
              <w:top w:val="nil"/>
              <w:left w:val="nil"/>
              <w:bottom w:val="nil"/>
              <w:right w:val="nil"/>
            </w:tcBorders>
            <w:shd w:val="clear" w:color="auto" w:fill="auto"/>
            <w:noWrap/>
            <w:vAlign w:val="center"/>
            <w:hideMark/>
          </w:tcPr>
          <w:p w14:paraId="15493FD5" w14:textId="77777777" w:rsidR="00DC2DB2" w:rsidRPr="00B63AB4" w:rsidRDefault="00DC2DB2" w:rsidP="00EB4A43">
            <w:pPr>
              <w:jc w:val="center"/>
              <w:rPr>
                <w:i/>
                <w:color w:val="000000"/>
                <w:sz w:val="20"/>
                <w:szCs w:val="20"/>
                <w:lang w:val="en-US"/>
              </w:rPr>
            </w:pPr>
            <w:r w:rsidRPr="00B63AB4">
              <w:rPr>
                <w:i/>
                <w:color w:val="000000"/>
                <w:sz w:val="20"/>
                <w:szCs w:val="20"/>
                <w:lang w:val="en-US"/>
              </w:rPr>
              <w:t>MC4R</w:t>
            </w:r>
          </w:p>
        </w:tc>
        <w:tc>
          <w:tcPr>
            <w:tcW w:w="1047" w:type="dxa"/>
            <w:tcBorders>
              <w:top w:val="nil"/>
              <w:left w:val="nil"/>
              <w:bottom w:val="nil"/>
              <w:right w:val="nil"/>
            </w:tcBorders>
            <w:shd w:val="clear" w:color="auto" w:fill="auto"/>
            <w:noWrap/>
            <w:vAlign w:val="center"/>
            <w:hideMark/>
          </w:tcPr>
          <w:p w14:paraId="36228E98" w14:textId="77777777" w:rsidR="00DC2DB2" w:rsidRPr="00B63AB4" w:rsidRDefault="00DC2DB2" w:rsidP="00EB4A43">
            <w:pPr>
              <w:jc w:val="center"/>
              <w:rPr>
                <w:color w:val="000000"/>
                <w:sz w:val="20"/>
                <w:szCs w:val="20"/>
                <w:lang w:val="en-US"/>
              </w:rPr>
            </w:pPr>
            <w:r w:rsidRPr="00B63AB4">
              <w:rPr>
                <w:sz w:val="20"/>
                <w:szCs w:val="20"/>
                <w:lang w:val="en-US"/>
              </w:rPr>
              <w:t>2-1-1</w:t>
            </w:r>
          </w:p>
        </w:tc>
        <w:tc>
          <w:tcPr>
            <w:tcW w:w="1807" w:type="dxa"/>
            <w:tcBorders>
              <w:top w:val="nil"/>
              <w:left w:val="nil"/>
              <w:bottom w:val="nil"/>
              <w:right w:val="nil"/>
            </w:tcBorders>
            <w:shd w:val="clear" w:color="auto" w:fill="auto"/>
            <w:noWrap/>
            <w:vAlign w:val="center"/>
            <w:hideMark/>
          </w:tcPr>
          <w:p w14:paraId="66C52A3E" w14:textId="77777777" w:rsidR="00DC2DB2" w:rsidRPr="00B63AB4" w:rsidRDefault="00DC2DB2" w:rsidP="00EB4A43">
            <w:pPr>
              <w:jc w:val="center"/>
              <w:rPr>
                <w:color w:val="000000"/>
                <w:sz w:val="20"/>
                <w:szCs w:val="20"/>
                <w:lang w:val="en-US"/>
              </w:rPr>
            </w:pPr>
            <w:r w:rsidRPr="00B63AB4">
              <w:rPr>
                <w:color w:val="000000"/>
                <w:sz w:val="20"/>
                <w:szCs w:val="20"/>
                <w:lang w:val="en-US"/>
              </w:rPr>
              <w:t>SO</w:t>
            </w:r>
          </w:p>
        </w:tc>
        <w:tc>
          <w:tcPr>
            <w:tcW w:w="1733" w:type="dxa"/>
            <w:tcBorders>
              <w:top w:val="nil"/>
              <w:left w:val="nil"/>
              <w:bottom w:val="nil"/>
              <w:right w:val="nil"/>
            </w:tcBorders>
            <w:shd w:val="clear" w:color="auto" w:fill="auto"/>
            <w:noWrap/>
            <w:vAlign w:val="center"/>
            <w:hideMark/>
          </w:tcPr>
          <w:p w14:paraId="34F2823D" w14:textId="77777777" w:rsidR="00DC2DB2" w:rsidRPr="00B63AB4" w:rsidRDefault="00DC2DB2" w:rsidP="00EB4A43">
            <w:pPr>
              <w:jc w:val="center"/>
              <w:rPr>
                <w:color w:val="000000"/>
                <w:sz w:val="20"/>
                <w:szCs w:val="20"/>
                <w:lang w:val="en-US"/>
              </w:rPr>
            </w:pPr>
            <w:r w:rsidRPr="00B63AB4">
              <w:rPr>
                <w:color w:val="000000"/>
                <w:sz w:val="20"/>
                <w:szCs w:val="20"/>
                <w:lang w:val="en-US"/>
              </w:rPr>
              <w:t>France</w:t>
            </w:r>
          </w:p>
        </w:tc>
      </w:tr>
      <w:tr w:rsidR="00DC2DB2" w:rsidRPr="00B95999" w14:paraId="25B08D6E" w14:textId="77777777" w:rsidTr="00EB4A43">
        <w:trPr>
          <w:trHeight w:val="315"/>
          <w:jc w:val="center"/>
        </w:trPr>
        <w:tc>
          <w:tcPr>
            <w:tcW w:w="3005" w:type="dxa"/>
            <w:tcBorders>
              <w:top w:val="nil"/>
              <w:left w:val="nil"/>
              <w:bottom w:val="nil"/>
              <w:right w:val="nil"/>
            </w:tcBorders>
            <w:shd w:val="clear" w:color="auto" w:fill="auto"/>
            <w:noWrap/>
            <w:vAlign w:val="center"/>
            <w:hideMark/>
          </w:tcPr>
          <w:p w14:paraId="4C6E7438" w14:textId="77777777" w:rsidR="00DC2DB2" w:rsidRPr="00B63AB4" w:rsidRDefault="00DC2DB2" w:rsidP="00EB4A43">
            <w:pPr>
              <w:jc w:val="center"/>
              <w:rPr>
                <w:sz w:val="20"/>
                <w:szCs w:val="20"/>
                <w:lang w:val="en-US"/>
              </w:rPr>
            </w:pPr>
            <w:proofErr w:type="spellStart"/>
            <w:r w:rsidRPr="00B63AB4">
              <w:rPr>
                <w:sz w:val="20"/>
                <w:szCs w:val="20"/>
                <w:lang w:val="en-US"/>
              </w:rPr>
              <w:t>Hinney</w:t>
            </w:r>
            <w:proofErr w:type="spellEnd"/>
            <w:r w:rsidRPr="00B63AB4">
              <w:rPr>
                <w:sz w:val="20"/>
                <w:szCs w:val="20"/>
                <w:lang w:val="en-US"/>
              </w:rPr>
              <w:t>, et al. 1999</w:t>
            </w:r>
            <w:r>
              <w:rPr>
                <w:sz w:val="20"/>
                <w:szCs w:val="20"/>
                <w:lang w:val="en-US"/>
              </w:rPr>
              <w:fldChar w:fldCharType="begin" w:fldLock="1"/>
            </w:r>
            <w:r>
              <w:rPr>
                <w:sz w:val="20"/>
                <w:szCs w:val="20"/>
                <w:lang w:val="en-US"/>
              </w:rPr>
              <w:instrText>ADDIN CSL_CITATION {"citationItems":[{"id":"ITEM-1","itemData":{"DOI":"10.1210/jcem.84.4.5728","ISSN":"0021-972X (Print)","PMID":"10199800","abstract":"The melanocortin-4 receptor gene (MC4-R) has been implicated in weight regulation.  Recently, two independent groups reported frameshift mutations associated with a dominant form of obesity (1, 2). We screened the coding region of the MC4-R in 306 extremely obese children and adolescents (mean body mass index: BMI 34.4 +/- 6.6 kg/m2), 25 healthy underweight students (mean BMI 17.1 +/- 0.8 kg/m2), 52 normal weight individuals (mean BMI 22.0 +/- 1.0 kg/m2), 51 inpatients with anorexia nervosa (AN, DSM IV criteria, mean BMI 14.3 +/- 1.5 kg/m2) and 27 patients with bulimia nervosa (BN, DSM IV criteria, mean BMI 21.7 +/- 5.8 kg/m2) by single strand conformation polymorphism analysis (SSCP). Several mutations were identified, including the frameshift mutation described (1). The mutations were as follows: a) The deletion of 4 bp (delta of CTCT at codon 211) results in a frameshift, thus rendering a truncated protein. This mutation has been assumed to be associated with dominantly-inherited morbid obesity in humans (1). Both the index patient (BMI 42.06 kg/m2, height 171 cm, age 19.6 years) and her mother (BMI 37.55 kg/m2, height 164 cm, age 42.5 years) were heterozygous for the deletion. b) A nonsense mutation at position 35 of the MC4-R was detected in two obese probands (BMI 31.29 kg/m2 and BMI 45.91 kg/m2). This mutation leads to a truncated protein that encompasses the N-terminal extracellular domain. Both carriers additionally showed (c) a missense mutation (Asp-37-Val). In both of these cases Tyr-35-Stop and Asp-37-Val were maternally transmitted, thus these variations form a haplotype. d) e) A male obese proband harbored two missense mutations (Ser-30-Phe, Gly-252-Ser). f)-i) Four different missense mutations (Pro-78-Leu, Thr-112-Met, Arg-165-Trp, Ile-317-Thr) were detected in four different male probands, respectively. All of these mutations (a to i) were found solely in extremely obese individuals whose BMIs were all above the 99th percentile. j) A silent mutation (C-579-T, Val-193-Val) was detected in a male underweight individual. k) A previously described polymorphism (Val-103-Ile; 3) was detected with similar frequencies in all different study groups. 1) We identified a novel polymorphism (Ile-251-Leu) with similar allele frequencies in all groups under study. In conclusion, our data indicate that mutations in the MC4-R are not uncommon. Whereas our data support the evidence for dominantly inherited obesity as revealed by the three obese probands …","author":[{"dropping-particle":"","family":"Hinney","given":"A","non-dropping-particle":"","parse-names":false,"suffix":""},{"dropping-particle":"","family":"Schmidt","given":"A","non-dropping-particle":"","parse-names":false,"suffix":""},{"dropping-particle":"","family":"Nottebom","given":"K","non-dropping-particle":"","parse-names":false,"suffix":""},{"dropping-particle":"","family":"Heibült","given":"O","non-dropping-particle":"","parse-names":false,"suffix":""},{"dropping-particle":"","family":"Becker","given":"I","non-dropping-particle":"","parse-names":false,"suffix":""},{"dropping-particle":"","family":"Ziegler","given":"A","non-dropping-particle":"","parse-names":false,"suffix":""},{"dropping-particle":"","family":"Gerber","given":"G","non-dropping-particle":"","parse-names":false,"suffix":""},{"dropping-particle":"","family":"Sina","given":"M","non-dropping-particle":"","parse-names":false,"suffix":""},{"dropping-particle":"","family":"Görg","given":"T","non-dropping-particle":"","parse-names":false,"suffix":""},{"dropping-particle":"","family":"Mayer","given":"H","non-dropping-particle":"","parse-names":false,"suffix":""},{"dropping-particle":"","family":"Siegfried","given":"W","non-dropping-particle":"","parse-names":false,"suffix":""},{"dropping-particle":"","family":"Fichter","given":"M","non-dropping-particle":"","parse-names":false,"suffix":""},{"dropping-particle":"","family":"Remschmidt","given":"H","non-dropping-particle":"","parse-names":false,"suffix":""},{"dropping-particle":"","family":"Hebebrand","given":"J","non-dropping-particle":"","parse-names":false,"suffix":""}],"container-title":"The Journal of clinical endocrinology and metabolism","id":"ITEM-1","issue":"4","issued":{"date-parts":[["1999","4"]]},"language":"eng","page":"1483-1486","publisher-place":"United States","title":"Several mutations in the melanocortin-4 receptor gene including a nonsense and a  frameshift mutation associated with dominantly inherited obesity in humans.","type":"article-journal","volume":"84"},"uris":["http://www.mendeley.com/documents/?uuid=baa7677a-adee-4a63-bb88-e76ecd98b6b2"]}],"mendeley":{"formattedCitation":"&lt;sup&gt;9&lt;/sup&gt;","plainTextFormattedCitation":"9","previouslyFormattedCitation":"&lt;sup&gt;9&lt;/sup&gt;"},"properties":{"noteIndex":0},"schema":"https://github.com/citation-style-language/schema/raw/master/csl-citation.json"}</w:instrText>
            </w:r>
            <w:r>
              <w:rPr>
                <w:sz w:val="20"/>
                <w:szCs w:val="20"/>
                <w:lang w:val="en-US"/>
              </w:rPr>
              <w:fldChar w:fldCharType="separate"/>
            </w:r>
            <w:r w:rsidRPr="00B95999">
              <w:rPr>
                <w:noProof/>
                <w:sz w:val="20"/>
                <w:szCs w:val="20"/>
                <w:vertAlign w:val="superscript"/>
                <w:lang w:val="en-US"/>
              </w:rPr>
              <w:t>9</w:t>
            </w:r>
            <w:r>
              <w:rPr>
                <w:sz w:val="20"/>
                <w:szCs w:val="20"/>
                <w:lang w:val="en-US"/>
              </w:rPr>
              <w:fldChar w:fldCharType="end"/>
            </w:r>
          </w:p>
        </w:tc>
        <w:tc>
          <w:tcPr>
            <w:tcW w:w="1134" w:type="dxa"/>
            <w:tcBorders>
              <w:top w:val="nil"/>
              <w:left w:val="nil"/>
              <w:bottom w:val="nil"/>
              <w:right w:val="nil"/>
            </w:tcBorders>
            <w:shd w:val="clear" w:color="auto" w:fill="auto"/>
            <w:noWrap/>
            <w:vAlign w:val="center"/>
            <w:hideMark/>
          </w:tcPr>
          <w:p w14:paraId="446D6ED9" w14:textId="77777777" w:rsidR="00DC2DB2" w:rsidRPr="00B63AB4" w:rsidRDefault="00DC2DB2" w:rsidP="00EB4A43">
            <w:pPr>
              <w:jc w:val="center"/>
              <w:rPr>
                <w:i/>
                <w:color w:val="000000"/>
                <w:sz w:val="20"/>
                <w:szCs w:val="20"/>
                <w:lang w:val="en-US"/>
              </w:rPr>
            </w:pPr>
            <w:r w:rsidRPr="00B63AB4">
              <w:rPr>
                <w:i/>
                <w:color w:val="000000"/>
                <w:sz w:val="20"/>
                <w:szCs w:val="20"/>
                <w:lang w:val="en-US"/>
              </w:rPr>
              <w:t>MC4R</w:t>
            </w:r>
          </w:p>
        </w:tc>
        <w:tc>
          <w:tcPr>
            <w:tcW w:w="1047" w:type="dxa"/>
            <w:tcBorders>
              <w:top w:val="nil"/>
              <w:left w:val="nil"/>
              <w:bottom w:val="nil"/>
              <w:right w:val="nil"/>
            </w:tcBorders>
            <w:shd w:val="clear" w:color="auto" w:fill="auto"/>
            <w:noWrap/>
            <w:vAlign w:val="center"/>
            <w:hideMark/>
          </w:tcPr>
          <w:p w14:paraId="354240E4" w14:textId="77777777" w:rsidR="00DC2DB2" w:rsidRPr="00B63AB4" w:rsidRDefault="00DC2DB2" w:rsidP="00EB4A43">
            <w:pPr>
              <w:jc w:val="center"/>
              <w:rPr>
                <w:color w:val="000000"/>
                <w:sz w:val="20"/>
                <w:szCs w:val="20"/>
                <w:lang w:val="en-US"/>
              </w:rPr>
            </w:pPr>
            <w:r w:rsidRPr="00B63AB4">
              <w:rPr>
                <w:sz w:val="20"/>
                <w:szCs w:val="20"/>
                <w:lang w:val="en-US"/>
              </w:rPr>
              <w:t>3-3-2</w:t>
            </w:r>
          </w:p>
        </w:tc>
        <w:tc>
          <w:tcPr>
            <w:tcW w:w="1807" w:type="dxa"/>
            <w:tcBorders>
              <w:top w:val="nil"/>
              <w:left w:val="nil"/>
              <w:bottom w:val="nil"/>
              <w:right w:val="nil"/>
            </w:tcBorders>
            <w:shd w:val="clear" w:color="auto" w:fill="auto"/>
            <w:noWrap/>
            <w:vAlign w:val="center"/>
            <w:hideMark/>
          </w:tcPr>
          <w:p w14:paraId="49C03E4C" w14:textId="77777777" w:rsidR="00DC2DB2" w:rsidRPr="00B63AB4" w:rsidRDefault="00DC2DB2" w:rsidP="00EB4A43">
            <w:pPr>
              <w:jc w:val="center"/>
              <w:rPr>
                <w:color w:val="000000"/>
                <w:sz w:val="20"/>
                <w:szCs w:val="20"/>
                <w:lang w:val="en-US"/>
              </w:rPr>
            </w:pPr>
            <w:r w:rsidRPr="00B63AB4">
              <w:rPr>
                <w:color w:val="000000"/>
                <w:sz w:val="20"/>
                <w:szCs w:val="20"/>
                <w:lang w:val="en-US"/>
              </w:rPr>
              <w:t>SEOO</w:t>
            </w:r>
          </w:p>
        </w:tc>
        <w:tc>
          <w:tcPr>
            <w:tcW w:w="1733" w:type="dxa"/>
            <w:tcBorders>
              <w:top w:val="nil"/>
              <w:left w:val="nil"/>
              <w:bottom w:val="nil"/>
              <w:right w:val="nil"/>
            </w:tcBorders>
            <w:shd w:val="clear" w:color="auto" w:fill="auto"/>
            <w:noWrap/>
            <w:vAlign w:val="center"/>
            <w:hideMark/>
          </w:tcPr>
          <w:p w14:paraId="6F22D0C8" w14:textId="77777777" w:rsidR="00DC2DB2" w:rsidRPr="00B63AB4" w:rsidRDefault="00DC2DB2" w:rsidP="00EB4A43">
            <w:pPr>
              <w:jc w:val="center"/>
              <w:rPr>
                <w:color w:val="000000"/>
                <w:sz w:val="20"/>
                <w:szCs w:val="20"/>
                <w:lang w:val="en-US"/>
              </w:rPr>
            </w:pPr>
            <w:r w:rsidRPr="00B63AB4">
              <w:rPr>
                <w:color w:val="000000"/>
                <w:sz w:val="20"/>
                <w:szCs w:val="20"/>
                <w:lang w:val="en-US"/>
              </w:rPr>
              <w:t>Germany</w:t>
            </w:r>
          </w:p>
        </w:tc>
      </w:tr>
      <w:tr w:rsidR="00DC2DB2" w:rsidRPr="00B95999" w14:paraId="4C230C34" w14:textId="77777777" w:rsidTr="00EB4A43">
        <w:trPr>
          <w:trHeight w:val="315"/>
          <w:jc w:val="center"/>
        </w:trPr>
        <w:tc>
          <w:tcPr>
            <w:tcW w:w="3005" w:type="dxa"/>
            <w:tcBorders>
              <w:top w:val="nil"/>
              <w:left w:val="nil"/>
              <w:bottom w:val="nil"/>
              <w:right w:val="nil"/>
            </w:tcBorders>
            <w:shd w:val="clear" w:color="auto" w:fill="auto"/>
            <w:noWrap/>
            <w:vAlign w:val="center"/>
            <w:hideMark/>
          </w:tcPr>
          <w:p w14:paraId="012E89B6" w14:textId="77777777" w:rsidR="00DC2DB2" w:rsidRPr="00B63AB4" w:rsidRDefault="00DC2DB2" w:rsidP="00EB4A43">
            <w:pPr>
              <w:jc w:val="center"/>
              <w:rPr>
                <w:color w:val="000000"/>
                <w:sz w:val="20"/>
                <w:szCs w:val="20"/>
                <w:lang w:val="en-US"/>
              </w:rPr>
            </w:pPr>
            <w:r w:rsidRPr="00B63AB4">
              <w:rPr>
                <w:color w:val="000000"/>
                <w:sz w:val="20"/>
                <w:szCs w:val="20"/>
                <w:lang w:val="en-US"/>
              </w:rPr>
              <w:t>Farooqi, et al. 2000</w:t>
            </w:r>
            <w:r>
              <w:rPr>
                <w:color w:val="000000"/>
                <w:sz w:val="20"/>
                <w:szCs w:val="20"/>
                <w:lang w:val="en-US"/>
              </w:rPr>
              <w:fldChar w:fldCharType="begin" w:fldLock="1"/>
            </w:r>
            <w:r>
              <w:rPr>
                <w:color w:val="000000"/>
                <w:sz w:val="20"/>
                <w:szCs w:val="20"/>
                <w:lang w:val="en-US"/>
              </w:rPr>
              <w:instrText>ADDIN CSL_CITATION {"citationItems":[{"id":"ITEM-1","itemData":{"DOI":"10.1172/JCI9397","ISSN":"0021-9738 (Print)","PMID":"10903343","abstract":"Over 20 severely obese subjects in 11 independent kindreds have been reported to  have pathogenic heterozygous mutations in the gene encoding the melanocortin 4 receptor (MC4R), making this the most common known monogenic cause of human obesity. To date, the detailed clinical phenotype of this dominantly inherited disorder has not been defined, and no homozygous subjects have been described. We determined the nucleotide sequence of the entire coding region of the MC4R gene in 243 subjects with severe, early-onset obesity. A novel two-base pair GT insertion in codon 279 was found in two unrelated subjects, and four novel missense mutations, N62S, R165Q, V253I, C271Y, and one mutation (T112M) reported previously were found in five subjects. N62S was found in homozygous form in five children with severe obesity from a consanguineous pedigree. All four heterozygous carriers were nonobese. Several features of the phenotype, e.g. hyperphagia, tendency toward tall stature, hyperinsulinemia, and preserved reproductive function, closely resemble those reported previously in Mc4r knock-out mice. In addition, a marked increase in bone mineral density was seen in all affected subjects. In transient transfection assays, the N62S mutant receptor showed a responsiveness to alphaMSH that was intermediate between the wild-type receptor and mutant receptors carrying nonsense and missense mutations associated with dominantly inherited obesity. Thus MC4R mutations result in a syndrome of hyperphagic obesity in humans that can present with either dominant or recessive patterns of inheritance.","author":[{"dropping-particle":"","family":"Farooqi","given":"I S","non-dropping-particle":"","parse-names":false,"suffix":""},{"dropping-particle":"","family":"Yeo","given":"G S","non-dropping-particle":"","parse-names":false,"suffix":""},{"dropping-particle":"","family":"Keogh","given":"J M","non-dropping-particle":"","parse-names":false,"suffix":""},{"dropping-particle":"","family":"Aminian","given":"S","non-dropping-particle":"","parse-names":false,"suffix":""},{"dropping-particle":"","family":"Jebb","given":"S A","non-dropping-particle":"","parse-names":false,"suffix":""},{"dropping-particle":"","family":"Butler","given":"G","non-dropping-particle":"","parse-names":false,"suffix":""},{"dropping-particle":"","family":"Cheetham","given":"T","non-dropping-particle":"","parse-names":false,"suffix":""},{"dropping-particle":"","family":"O'Rahilly","given":"S","non-dropping-particle":"","parse-names":false,"suffix":""}],"container-title":"The Journal of clinical investigation","id":"ITEM-1","issue":"2","issued":{"date-parts":[["2000","7"]]},"language":"eng","page":"271-279","title":"Dominant and recessive inheritance of morbid obesity associated with melanocortin 4  receptor deficiency.","type":"article-journal","volume":"106"},"uris":["http://www.mendeley.com/documents/?uuid=522bf3c2-ec42-4226-abbc-5f493b1f54b5"]}],"mendeley":{"formattedCitation":"&lt;sup&gt;10&lt;/sup&gt;","plainTextFormattedCitation":"10","previouslyFormattedCitation":"&lt;sup&gt;10&lt;/sup&gt;"},"properties":{"noteIndex":0},"schema":"https://github.com/citation-style-language/schema/raw/master/csl-citation.json"}</w:instrText>
            </w:r>
            <w:r>
              <w:rPr>
                <w:color w:val="000000"/>
                <w:sz w:val="20"/>
                <w:szCs w:val="20"/>
                <w:lang w:val="en-US"/>
              </w:rPr>
              <w:fldChar w:fldCharType="separate"/>
            </w:r>
            <w:r w:rsidRPr="00B95999">
              <w:rPr>
                <w:noProof/>
                <w:color w:val="000000"/>
                <w:sz w:val="20"/>
                <w:szCs w:val="20"/>
                <w:vertAlign w:val="superscript"/>
                <w:lang w:val="en-US"/>
              </w:rPr>
              <w:t>10</w:t>
            </w:r>
            <w:r>
              <w:rPr>
                <w:color w:val="000000"/>
                <w:sz w:val="20"/>
                <w:szCs w:val="20"/>
                <w:lang w:val="en-US"/>
              </w:rPr>
              <w:fldChar w:fldCharType="end"/>
            </w:r>
          </w:p>
        </w:tc>
        <w:tc>
          <w:tcPr>
            <w:tcW w:w="1134" w:type="dxa"/>
            <w:tcBorders>
              <w:top w:val="nil"/>
              <w:left w:val="nil"/>
              <w:bottom w:val="nil"/>
              <w:right w:val="nil"/>
            </w:tcBorders>
            <w:shd w:val="clear" w:color="auto" w:fill="auto"/>
            <w:noWrap/>
            <w:vAlign w:val="center"/>
            <w:hideMark/>
          </w:tcPr>
          <w:p w14:paraId="7165A8F0" w14:textId="77777777" w:rsidR="00DC2DB2" w:rsidRPr="00B63AB4" w:rsidRDefault="00DC2DB2" w:rsidP="00EB4A43">
            <w:pPr>
              <w:jc w:val="center"/>
              <w:rPr>
                <w:i/>
                <w:color w:val="000000"/>
                <w:sz w:val="20"/>
                <w:szCs w:val="20"/>
                <w:lang w:val="en-US"/>
              </w:rPr>
            </w:pPr>
            <w:r w:rsidRPr="00B63AB4">
              <w:rPr>
                <w:i/>
                <w:color w:val="000000"/>
                <w:sz w:val="20"/>
                <w:szCs w:val="20"/>
                <w:lang w:val="en-US"/>
              </w:rPr>
              <w:t>MC4R</w:t>
            </w:r>
          </w:p>
        </w:tc>
        <w:tc>
          <w:tcPr>
            <w:tcW w:w="1047" w:type="dxa"/>
            <w:tcBorders>
              <w:top w:val="nil"/>
              <w:left w:val="nil"/>
              <w:bottom w:val="nil"/>
              <w:right w:val="nil"/>
            </w:tcBorders>
            <w:shd w:val="clear" w:color="auto" w:fill="auto"/>
            <w:noWrap/>
            <w:vAlign w:val="center"/>
            <w:hideMark/>
          </w:tcPr>
          <w:p w14:paraId="640EE444" w14:textId="77777777" w:rsidR="00DC2DB2" w:rsidRPr="00B63AB4" w:rsidRDefault="00DC2DB2" w:rsidP="00EB4A43">
            <w:pPr>
              <w:jc w:val="center"/>
              <w:rPr>
                <w:color w:val="000000"/>
                <w:sz w:val="20"/>
                <w:szCs w:val="20"/>
                <w:lang w:val="en-US"/>
              </w:rPr>
            </w:pPr>
            <w:r w:rsidRPr="00B63AB4">
              <w:rPr>
                <w:sz w:val="20"/>
                <w:szCs w:val="20"/>
                <w:lang w:val="en-US"/>
              </w:rPr>
              <w:t>2-2-2</w:t>
            </w:r>
          </w:p>
        </w:tc>
        <w:tc>
          <w:tcPr>
            <w:tcW w:w="1807" w:type="dxa"/>
            <w:tcBorders>
              <w:top w:val="nil"/>
              <w:left w:val="nil"/>
              <w:bottom w:val="nil"/>
              <w:right w:val="nil"/>
            </w:tcBorders>
            <w:shd w:val="clear" w:color="auto" w:fill="auto"/>
            <w:noWrap/>
            <w:vAlign w:val="center"/>
            <w:hideMark/>
          </w:tcPr>
          <w:p w14:paraId="2A57EB6E" w14:textId="77777777" w:rsidR="00DC2DB2" w:rsidRPr="00B63AB4" w:rsidRDefault="00DC2DB2" w:rsidP="00EB4A43">
            <w:pPr>
              <w:jc w:val="center"/>
              <w:rPr>
                <w:color w:val="000000"/>
                <w:sz w:val="20"/>
                <w:szCs w:val="20"/>
                <w:lang w:val="en-US"/>
              </w:rPr>
            </w:pPr>
            <w:r w:rsidRPr="00B63AB4">
              <w:rPr>
                <w:color w:val="000000"/>
                <w:sz w:val="20"/>
                <w:szCs w:val="20"/>
                <w:lang w:val="en-US"/>
              </w:rPr>
              <w:t>SEOO</w:t>
            </w:r>
          </w:p>
        </w:tc>
        <w:tc>
          <w:tcPr>
            <w:tcW w:w="1733" w:type="dxa"/>
            <w:tcBorders>
              <w:top w:val="nil"/>
              <w:left w:val="nil"/>
              <w:bottom w:val="nil"/>
              <w:right w:val="nil"/>
            </w:tcBorders>
            <w:shd w:val="clear" w:color="auto" w:fill="auto"/>
            <w:noWrap/>
            <w:vAlign w:val="center"/>
            <w:hideMark/>
          </w:tcPr>
          <w:p w14:paraId="09EFB5ED" w14:textId="77777777" w:rsidR="00DC2DB2" w:rsidRPr="00B63AB4" w:rsidRDefault="00DC2DB2" w:rsidP="00EB4A43">
            <w:pPr>
              <w:jc w:val="center"/>
              <w:rPr>
                <w:color w:val="000000"/>
                <w:sz w:val="20"/>
                <w:szCs w:val="20"/>
                <w:lang w:val="en-US"/>
              </w:rPr>
            </w:pPr>
            <w:r w:rsidRPr="00B63AB4">
              <w:rPr>
                <w:color w:val="000000"/>
                <w:sz w:val="20"/>
                <w:szCs w:val="20"/>
                <w:lang w:val="en-US"/>
              </w:rPr>
              <w:t>UK</w:t>
            </w:r>
          </w:p>
        </w:tc>
      </w:tr>
      <w:tr w:rsidR="00DC2DB2" w:rsidRPr="00B95999" w14:paraId="481CB745" w14:textId="77777777" w:rsidTr="00EB4A43">
        <w:trPr>
          <w:trHeight w:val="315"/>
          <w:jc w:val="center"/>
        </w:trPr>
        <w:tc>
          <w:tcPr>
            <w:tcW w:w="3005" w:type="dxa"/>
            <w:tcBorders>
              <w:top w:val="nil"/>
              <w:left w:val="nil"/>
              <w:bottom w:val="nil"/>
              <w:right w:val="nil"/>
            </w:tcBorders>
            <w:shd w:val="clear" w:color="auto" w:fill="auto"/>
            <w:noWrap/>
            <w:vAlign w:val="center"/>
            <w:hideMark/>
          </w:tcPr>
          <w:p w14:paraId="77980F30" w14:textId="77777777" w:rsidR="00DC2DB2" w:rsidRPr="00B63AB4" w:rsidRDefault="00DC2DB2" w:rsidP="00EB4A43">
            <w:pPr>
              <w:jc w:val="center"/>
              <w:rPr>
                <w:color w:val="000000"/>
                <w:sz w:val="20"/>
                <w:szCs w:val="20"/>
                <w:lang w:val="en-US"/>
              </w:rPr>
            </w:pPr>
            <w:proofErr w:type="spellStart"/>
            <w:r w:rsidRPr="00B63AB4">
              <w:rPr>
                <w:color w:val="000000"/>
                <w:sz w:val="20"/>
                <w:szCs w:val="20"/>
                <w:lang w:val="en-US"/>
              </w:rPr>
              <w:t>Vaisse</w:t>
            </w:r>
            <w:proofErr w:type="spellEnd"/>
            <w:r w:rsidRPr="00B63AB4">
              <w:rPr>
                <w:color w:val="000000"/>
                <w:sz w:val="20"/>
                <w:szCs w:val="20"/>
                <w:lang w:val="en-US"/>
              </w:rPr>
              <w:t>, et al. 2000</w:t>
            </w:r>
            <w:r>
              <w:rPr>
                <w:color w:val="000000"/>
                <w:sz w:val="20"/>
                <w:szCs w:val="20"/>
                <w:lang w:val="en-US"/>
              </w:rPr>
              <w:fldChar w:fldCharType="begin" w:fldLock="1"/>
            </w:r>
            <w:r>
              <w:rPr>
                <w:color w:val="000000"/>
                <w:sz w:val="20"/>
                <w:szCs w:val="20"/>
                <w:lang w:val="en-US"/>
              </w:rPr>
              <w:instrText>ADDIN CSL_CITATION {"citationItems":[{"id":"ITEM-1","itemData":{"DOI":"10.1172/JCI9238","ISSN":"0021-9738 (Print)","PMID":"10903341","abstract":"By integrating an agonist satiety signal, provided by alpha-melanocyte-stimulating  hormone (alpha-MSH), and an antagonist signal, provided by agouti-related protein (AGRP), the melanocortin-4 receptor (MC4-R) is a key element in the hypothalamic control of food intake. Inactivation of the gene encoding this G protein-coupled receptor causes obesity in mice. In humans, frameshift mutations in MC4-R cause an early-onset dominant form of obesity in two families. In this study we find a high frequency (4%) of rare heterozygous MC4-R mutations in a large population of morbidly obese patients. No such mutations were found in controls. By analyzing the phenotypes of the probands carrying these mutations, we demonstrate that these patients display a common, nonsyndromic form of obesity. Interestingly, functional analysis of the mutant receptors indicates that obesity-associated defects in MC4-R range from loss of function to constitutive activation. Transmission of these mutations in the families of the carriers indicates a variable expressivity that is not related to the functional severity of the mutations. This variable expressivity of MC4-R-associated obesity is not due to variations in genes for alpha-MSH or AGRP. Taken together, these results demonstrate that MC4-R mutations are a frequent but heterogeneous genetic cause of morbid obesity.","author":[{"dropping-particle":"","family":"Vaisse","given":"C","non-dropping-particle":"","parse-names":false,"suffix":""},{"dropping-particle":"","family":"Clement","given":"K","non-dropping-particle":"","parse-names":false,"suffix":""},{"dropping-particle":"","family":"Durand","given":"E","non-dropping-particle":"","parse-names":false,"suffix":""},{"dropping-particle":"","family":"Hercberg","given":"S","non-dropping-particle":"","parse-names":false,"suffix":""},{"dropping-particle":"","family":"Guy-Grand","given":"B","non-dropping-particle":"","parse-names":false,"suffix":""},{"dropping-particle":"","family":"Froguel","given":"P","non-dropping-particle":"","parse-names":false,"suffix":""}],"container-title":"The Journal of clinical investigation","id":"ITEM-1","issue":"2","issued":{"date-parts":[["2000","7"]]},"language":"eng","page":"253-262","title":"Melanocortin-4 receptor mutations are a frequent and heterogeneous cause of morbid  obesity.","type":"article-journal","volume":"106"},"uris":["http://www.mendeley.com/documents/?uuid=d24a8695-a8ec-450d-82ee-2c6029767283"]}],"mendeley":{"formattedCitation":"&lt;sup&gt;11&lt;/sup&gt;","plainTextFormattedCitation":"11","previouslyFormattedCitation":"&lt;sup&gt;11&lt;/sup&gt;"},"properties":{"noteIndex":0},"schema":"https://github.com/citation-style-language/schema/raw/master/csl-citation.json"}</w:instrText>
            </w:r>
            <w:r>
              <w:rPr>
                <w:color w:val="000000"/>
                <w:sz w:val="20"/>
                <w:szCs w:val="20"/>
                <w:lang w:val="en-US"/>
              </w:rPr>
              <w:fldChar w:fldCharType="separate"/>
            </w:r>
            <w:r w:rsidRPr="00B95999">
              <w:rPr>
                <w:noProof/>
                <w:color w:val="000000"/>
                <w:sz w:val="20"/>
                <w:szCs w:val="20"/>
                <w:vertAlign w:val="superscript"/>
                <w:lang w:val="en-US"/>
              </w:rPr>
              <w:t>11</w:t>
            </w:r>
            <w:r>
              <w:rPr>
                <w:color w:val="000000"/>
                <w:sz w:val="20"/>
                <w:szCs w:val="20"/>
                <w:lang w:val="en-US"/>
              </w:rPr>
              <w:fldChar w:fldCharType="end"/>
            </w:r>
          </w:p>
        </w:tc>
        <w:tc>
          <w:tcPr>
            <w:tcW w:w="1134" w:type="dxa"/>
            <w:tcBorders>
              <w:top w:val="nil"/>
              <w:left w:val="nil"/>
              <w:bottom w:val="nil"/>
              <w:right w:val="nil"/>
            </w:tcBorders>
            <w:shd w:val="clear" w:color="auto" w:fill="auto"/>
            <w:noWrap/>
            <w:vAlign w:val="center"/>
            <w:hideMark/>
          </w:tcPr>
          <w:p w14:paraId="1F8B9EA6" w14:textId="77777777" w:rsidR="00DC2DB2" w:rsidRPr="00B63AB4" w:rsidRDefault="00DC2DB2" w:rsidP="00EB4A43">
            <w:pPr>
              <w:jc w:val="center"/>
              <w:rPr>
                <w:i/>
                <w:color w:val="000000"/>
                <w:sz w:val="20"/>
                <w:szCs w:val="20"/>
                <w:lang w:val="en-US"/>
              </w:rPr>
            </w:pPr>
            <w:r w:rsidRPr="00B63AB4">
              <w:rPr>
                <w:i/>
                <w:color w:val="000000"/>
                <w:sz w:val="20"/>
                <w:szCs w:val="20"/>
                <w:lang w:val="en-US"/>
              </w:rPr>
              <w:t>MC4R</w:t>
            </w:r>
          </w:p>
        </w:tc>
        <w:tc>
          <w:tcPr>
            <w:tcW w:w="1047" w:type="dxa"/>
            <w:tcBorders>
              <w:top w:val="nil"/>
              <w:left w:val="nil"/>
              <w:bottom w:val="nil"/>
              <w:right w:val="nil"/>
            </w:tcBorders>
            <w:shd w:val="clear" w:color="auto" w:fill="auto"/>
            <w:noWrap/>
            <w:vAlign w:val="center"/>
            <w:hideMark/>
          </w:tcPr>
          <w:p w14:paraId="4A5203AC" w14:textId="77777777" w:rsidR="00DC2DB2" w:rsidRPr="00B63AB4" w:rsidRDefault="00DC2DB2" w:rsidP="00EB4A43">
            <w:pPr>
              <w:jc w:val="center"/>
              <w:rPr>
                <w:color w:val="000000"/>
                <w:sz w:val="20"/>
                <w:szCs w:val="20"/>
                <w:lang w:val="en-US"/>
              </w:rPr>
            </w:pPr>
            <w:r w:rsidRPr="00B63AB4">
              <w:rPr>
                <w:sz w:val="20"/>
                <w:szCs w:val="20"/>
                <w:lang w:val="en-US"/>
              </w:rPr>
              <w:t>5-4-4</w:t>
            </w:r>
          </w:p>
        </w:tc>
        <w:tc>
          <w:tcPr>
            <w:tcW w:w="1807" w:type="dxa"/>
            <w:tcBorders>
              <w:top w:val="nil"/>
              <w:left w:val="nil"/>
              <w:bottom w:val="nil"/>
              <w:right w:val="nil"/>
            </w:tcBorders>
            <w:shd w:val="clear" w:color="auto" w:fill="auto"/>
            <w:noWrap/>
            <w:vAlign w:val="center"/>
            <w:hideMark/>
          </w:tcPr>
          <w:p w14:paraId="4763AE42" w14:textId="77777777" w:rsidR="00DC2DB2" w:rsidRPr="00B63AB4" w:rsidRDefault="00DC2DB2" w:rsidP="00EB4A43">
            <w:pPr>
              <w:jc w:val="center"/>
              <w:rPr>
                <w:color w:val="000000"/>
                <w:sz w:val="20"/>
                <w:szCs w:val="20"/>
                <w:lang w:val="en-US"/>
              </w:rPr>
            </w:pPr>
            <w:r w:rsidRPr="00B63AB4">
              <w:rPr>
                <w:color w:val="000000"/>
                <w:sz w:val="20"/>
                <w:szCs w:val="20"/>
                <w:lang w:val="en-US"/>
              </w:rPr>
              <w:t>SO</w:t>
            </w:r>
          </w:p>
        </w:tc>
        <w:tc>
          <w:tcPr>
            <w:tcW w:w="1733" w:type="dxa"/>
            <w:tcBorders>
              <w:top w:val="nil"/>
              <w:left w:val="nil"/>
              <w:bottom w:val="nil"/>
              <w:right w:val="nil"/>
            </w:tcBorders>
            <w:shd w:val="clear" w:color="auto" w:fill="auto"/>
            <w:noWrap/>
            <w:vAlign w:val="center"/>
            <w:hideMark/>
          </w:tcPr>
          <w:p w14:paraId="5620EC79" w14:textId="77777777" w:rsidR="00DC2DB2" w:rsidRPr="00B63AB4" w:rsidRDefault="00DC2DB2" w:rsidP="00EB4A43">
            <w:pPr>
              <w:jc w:val="center"/>
              <w:rPr>
                <w:color w:val="000000"/>
                <w:sz w:val="20"/>
                <w:szCs w:val="20"/>
                <w:lang w:val="en-US"/>
              </w:rPr>
            </w:pPr>
            <w:r w:rsidRPr="00B63AB4">
              <w:rPr>
                <w:color w:val="000000"/>
                <w:sz w:val="20"/>
                <w:szCs w:val="20"/>
                <w:lang w:val="en-US"/>
              </w:rPr>
              <w:t>France</w:t>
            </w:r>
          </w:p>
        </w:tc>
      </w:tr>
      <w:tr w:rsidR="00DC2DB2" w:rsidRPr="00B95999" w14:paraId="3B617A16" w14:textId="77777777" w:rsidTr="00EB4A43">
        <w:trPr>
          <w:trHeight w:val="315"/>
          <w:jc w:val="center"/>
        </w:trPr>
        <w:tc>
          <w:tcPr>
            <w:tcW w:w="3005" w:type="dxa"/>
            <w:tcBorders>
              <w:top w:val="nil"/>
              <w:left w:val="nil"/>
              <w:bottom w:val="nil"/>
              <w:right w:val="nil"/>
            </w:tcBorders>
            <w:shd w:val="clear" w:color="auto" w:fill="auto"/>
            <w:noWrap/>
            <w:vAlign w:val="center"/>
            <w:hideMark/>
          </w:tcPr>
          <w:p w14:paraId="10AFBFB1" w14:textId="77777777" w:rsidR="00DC2DB2" w:rsidRPr="00B63AB4" w:rsidRDefault="00DC2DB2" w:rsidP="00EB4A43">
            <w:pPr>
              <w:jc w:val="center"/>
              <w:rPr>
                <w:color w:val="000000"/>
                <w:sz w:val="20"/>
                <w:szCs w:val="20"/>
                <w:lang w:val="en-US"/>
              </w:rPr>
            </w:pPr>
            <w:proofErr w:type="spellStart"/>
            <w:r w:rsidRPr="00B63AB4">
              <w:rPr>
                <w:color w:val="000000"/>
                <w:sz w:val="20"/>
                <w:szCs w:val="20"/>
                <w:lang w:val="en-US"/>
              </w:rPr>
              <w:t>Dubern</w:t>
            </w:r>
            <w:proofErr w:type="spellEnd"/>
            <w:r w:rsidRPr="00B63AB4">
              <w:rPr>
                <w:color w:val="000000"/>
                <w:sz w:val="20"/>
                <w:szCs w:val="20"/>
                <w:lang w:val="en-US"/>
              </w:rPr>
              <w:t>, et al. 2001</w:t>
            </w:r>
            <w:r>
              <w:rPr>
                <w:color w:val="000000"/>
                <w:sz w:val="20"/>
                <w:szCs w:val="20"/>
                <w:lang w:val="en-US"/>
              </w:rPr>
              <w:fldChar w:fldCharType="begin" w:fldLock="1"/>
            </w:r>
            <w:r>
              <w:rPr>
                <w:color w:val="000000"/>
                <w:sz w:val="20"/>
                <w:szCs w:val="20"/>
                <w:lang w:val="en-US"/>
              </w:rPr>
              <w:instrText>ADDIN CSL_CITATION {"citationItems":[{"id":"ITEM-1","itemData":{"DOI":"10.1067/mpd.2001.116284","ISSN":"0022-3476 (Print)","PMID":"11487744","abstract":"OBJECTIVE: To search for mutations in melanocortin pathway elements, that is, the  melanocortin-4 receptor (MC4R ), agouti-related protein (AGRP ), and (alpha-melanocyte-stimulating hormone (alpha MSH ) genes in children with severe obesity. STUDY DESIGN: Direct sequencing of the MC4R encoding sequence and single-strand polymorphism conformation analysis of AGRP and alpha MSH genes were performed in 63 severely obese children. Polymerase chain reaction (PCR) assays of restriction fragment length polymorphism were used to assess the frequency of each newly discovered mutation in 283 non-obese control subjects. RESULTS: Four dominantly inherited, heterozygous, missense MC4R mutations (Val50Met, Ser58Cys, Ile102Ser, and Ile170Val) were identified in 4 unrelated children and none of the control subjects. Expression of the obese phenotype was variable in mutation-positive family members. Clinical and laboratory features were similar in the obese children with and without an MC4R mutation. Two polymorphisms were detected in the AGRP -encoding sequence (a silent mutation in exon 1 and Ala67Thr in exon 2), with similar frequencies in the obese and control groups. No mutations were found in the alpha MSH gene. CONCLUSIONS: MC4R mutations may be a non-negligible cause of severe obesity in children with variable expression and penetrance. Mutations in AGRP and alpha MSH genes were not among the causes of obesity in our population.","author":[{"dropping-particle":"","family":"Dubern","given":"B","non-dropping-particle":"","parse-names":false,"suffix":""},{"dropping-particle":"","family":"Clément","given":"K","non-dropping-particle":"","parse-names":false,"suffix":""},{"dropping-particle":"","family":"Pelloux","given":"V","non-dropping-particle":"","parse-names":false,"suffix":""},{"dropping-particle":"","family":"Froguel","given":"P","non-dropping-particle":"","parse-names":false,"suffix":""},{"dropping-particle":"","family":"Girardet","given":"J P","non-dropping-particle":"","parse-names":false,"suffix":""},{"dropping-particle":"","family":"Guy-Grand","given":"B","non-dropping-particle":"","parse-names":false,"suffix":""},{"dropping-particle":"","family":"Tounian","given":"P","non-dropping-particle":"","parse-names":false,"suffix":""}],"container-title":"The Journal of pediatrics","id":"ITEM-1","issue":"2","issued":{"date-parts":[["2001","8"]]},"language":"eng","page":"204-209","publisher-place":"United States","title":"Mutational analysis of melanocortin-4 receptor, agouti-related protein, and  alpha-melanocyte-stimulating hormone genes in severely obese children.","type":"article-journal","volume":"139"},"uris":["http://www.mendeley.com/documents/?uuid=a39471e9-e5e9-4198-829f-17f18c9dc1ee"]}],"mendeley":{"formattedCitation":"&lt;sup&gt;12&lt;/sup&gt;","plainTextFormattedCitation":"12","previouslyFormattedCitation":"&lt;sup&gt;12&lt;/sup&gt;"},"properties":{"noteIndex":0},"schema":"https://github.com/citation-style-language/schema/raw/master/csl-citation.json"}</w:instrText>
            </w:r>
            <w:r>
              <w:rPr>
                <w:color w:val="000000"/>
                <w:sz w:val="20"/>
                <w:szCs w:val="20"/>
                <w:lang w:val="en-US"/>
              </w:rPr>
              <w:fldChar w:fldCharType="separate"/>
            </w:r>
            <w:r w:rsidRPr="00B95999">
              <w:rPr>
                <w:noProof/>
                <w:color w:val="000000"/>
                <w:sz w:val="20"/>
                <w:szCs w:val="20"/>
                <w:vertAlign w:val="superscript"/>
                <w:lang w:val="en-US"/>
              </w:rPr>
              <w:t>12</w:t>
            </w:r>
            <w:r>
              <w:rPr>
                <w:color w:val="000000"/>
                <w:sz w:val="20"/>
                <w:szCs w:val="20"/>
                <w:lang w:val="en-US"/>
              </w:rPr>
              <w:fldChar w:fldCharType="end"/>
            </w:r>
          </w:p>
        </w:tc>
        <w:tc>
          <w:tcPr>
            <w:tcW w:w="1134" w:type="dxa"/>
            <w:tcBorders>
              <w:top w:val="nil"/>
              <w:left w:val="nil"/>
              <w:bottom w:val="nil"/>
              <w:right w:val="nil"/>
            </w:tcBorders>
            <w:shd w:val="clear" w:color="auto" w:fill="auto"/>
            <w:noWrap/>
            <w:vAlign w:val="center"/>
            <w:hideMark/>
          </w:tcPr>
          <w:p w14:paraId="415992D0" w14:textId="77777777" w:rsidR="00DC2DB2" w:rsidRPr="00B63AB4" w:rsidRDefault="00DC2DB2" w:rsidP="00EB4A43">
            <w:pPr>
              <w:jc w:val="center"/>
              <w:rPr>
                <w:i/>
                <w:color w:val="000000"/>
                <w:sz w:val="20"/>
                <w:szCs w:val="20"/>
                <w:lang w:val="en-US"/>
              </w:rPr>
            </w:pPr>
            <w:r w:rsidRPr="00B63AB4">
              <w:rPr>
                <w:i/>
                <w:color w:val="000000"/>
                <w:sz w:val="20"/>
                <w:szCs w:val="20"/>
                <w:lang w:val="en-US"/>
              </w:rPr>
              <w:t>MC4R</w:t>
            </w:r>
          </w:p>
        </w:tc>
        <w:tc>
          <w:tcPr>
            <w:tcW w:w="1047" w:type="dxa"/>
            <w:tcBorders>
              <w:top w:val="nil"/>
              <w:left w:val="nil"/>
              <w:bottom w:val="nil"/>
              <w:right w:val="nil"/>
            </w:tcBorders>
            <w:shd w:val="clear" w:color="auto" w:fill="auto"/>
            <w:noWrap/>
            <w:vAlign w:val="center"/>
            <w:hideMark/>
          </w:tcPr>
          <w:p w14:paraId="2462012B" w14:textId="77777777" w:rsidR="00DC2DB2" w:rsidRPr="00B63AB4" w:rsidRDefault="00DC2DB2" w:rsidP="00EB4A43">
            <w:pPr>
              <w:jc w:val="center"/>
              <w:rPr>
                <w:color w:val="000000"/>
                <w:sz w:val="20"/>
                <w:szCs w:val="20"/>
                <w:lang w:val="en-US"/>
              </w:rPr>
            </w:pPr>
            <w:r w:rsidRPr="00B63AB4">
              <w:rPr>
                <w:sz w:val="20"/>
                <w:szCs w:val="20"/>
                <w:lang w:val="en-US"/>
              </w:rPr>
              <w:t>4-4-4</w:t>
            </w:r>
          </w:p>
        </w:tc>
        <w:tc>
          <w:tcPr>
            <w:tcW w:w="1807" w:type="dxa"/>
            <w:tcBorders>
              <w:top w:val="nil"/>
              <w:left w:val="nil"/>
              <w:bottom w:val="nil"/>
              <w:right w:val="nil"/>
            </w:tcBorders>
            <w:shd w:val="clear" w:color="auto" w:fill="auto"/>
            <w:noWrap/>
            <w:vAlign w:val="center"/>
            <w:hideMark/>
          </w:tcPr>
          <w:p w14:paraId="5ED38CA9" w14:textId="77777777" w:rsidR="00DC2DB2" w:rsidRPr="00B63AB4" w:rsidRDefault="00DC2DB2" w:rsidP="00EB4A43">
            <w:pPr>
              <w:jc w:val="center"/>
              <w:rPr>
                <w:color w:val="000000"/>
                <w:sz w:val="20"/>
                <w:szCs w:val="20"/>
                <w:lang w:val="en-US"/>
              </w:rPr>
            </w:pPr>
            <w:r w:rsidRPr="00B63AB4">
              <w:rPr>
                <w:color w:val="000000"/>
                <w:sz w:val="20"/>
                <w:szCs w:val="20"/>
                <w:lang w:val="en-US"/>
              </w:rPr>
              <w:t>SEOO</w:t>
            </w:r>
          </w:p>
        </w:tc>
        <w:tc>
          <w:tcPr>
            <w:tcW w:w="1733" w:type="dxa"/>
            <w:tcBorders>
              <w:top w:val="nil"/>
              <w:left w:val="nil"/>
              <w:bottom w:val="nil"/>
              <w:right w:val="nil"/>
            </w:tcBorders>
            <w:shd w:val="clear" w:color="auto" w:fill="auto"/>
            <w:noWrap/>
            <w:vAlign w:val="center"/>
            <w:hideMark/>
          </w:tcPr>
          <w:p w14:paraId="74C81884" w14:textId="77777777" w:rsidR="00DC2DB2" w:rsidRPr="00B63AB4" w:rsidRDefault="00DC2DB2" w:rsidP="00EB4A43">
            <w:pPr>
              <w:jc w:val="center"/>
              <w:rPr>
                <w:color w:val="000000"/>
                <w:sz w:val="20"/>
                <w:szCs w:val="20"/>
                <w:lang w:val="en-US"/>
              </w:rPr>
            </w:pPr>
            <w:r w:rsidRPr="00B63AB4">
              <w:rPr>
                <w:color w:val="000000"/>
                <w:sz w:val="20"/>
                <w:szCs w:val="20"/>
                <w:lang w:val="en-US"/>
              </w:rPr>
              <w:t>France</w:t>
            </w:r>
          </w:p>
        </w:tc>
      </w:tr>
      <w:tr w:rsidR="00DC2DB2" w:rsidRPr="00B95999" w14:paraId="32C60F37" w14:textId="77777777" w:rsidTr="00EB4A43">
        <w:trPr>
          <w:trHeight w:val="315"/>
          <w:jc w:val="center"/>
        </w:trPr>
        <w:tc>
          <w:tcPr>
            <w:tcW w:w="3005" w:type="dxa"/>
            <w:tcBorders>
              <w:top w:val="nil"/>
              <w:left w:val="nil"/>
              <w:bottom w:val="nil"/>
              <w:right w:val="nil"/>
            </w:tcBorders>
            <w:shd w:val="clear" w:color="auto" w:fill="auto"/>
            <w:noWrap/>
            <w:vAlign w:val="center"/>
            <w:hideMark/>
          </w:tcPr>
          <w:p w14:paraId="25957AD5" w14:textId="77777777" w:rsidR="00DC2DB2" w:rsidRPr="00B95999" w:rsidRDefault="00DC2DB2" w:rsidP="00EB4A43">
            <w:pPr>
              <w:jc w:val="center"/>
              <w:rPr>
                <w:color w:val="000000"/>
                <w:sz w:val="20"/>
                <w:szCs w:val="20"/>
                <w:lang w:val="it-IT"/>
              </w:rPr>
            </w:pPr>
            <w:r w:rsidRPr="00B95999">
              <w:rPr>
                <w:color w:val="000000"/>
                <w:sz w:val="20"/>
                <w:szCs w:val="20"/>
                <w:lang w:val="it-IT"/>
              </w:rPr>
              <w:t>Miraglia Del Giudice, et al. 2002</w:t>
            </w:r>
            <w:r>
              <w:rPr>
                <w:color w:val="000000"/>
                <w:sz w:val="20"/>
                <w:szCs w:val="20"/>
                <w:lang w:val="en-US"/>
              </w:rPr>
              <w:fldChar w:fldCharType="begin" w:fldLock="1"/>
            </w:r>
            <w:r>
              <w:rPr>
                <w:color w:val="000000"/>
                <w:sz w:val="20"/>
                <w:szCs w:val="20"/>
                <w:lang w:val="it-IT"/>
              </w:rPr>
              <w:instrText>ADDIN CSL_CITATION {"citationItems":[{"id":"ITEM-1","itemData":{"DOI":"10.1038/sj.ijo.0801983","PMID":"12032748","abstract":"BACKGROUND: Melanocortin-4 receptor (MC4R) mutations have been reported as the most  common single genetic cause of obesity in some populations and it has been suggested that they may be responsible for more than 4% of early-onset obesity. OBJECTIVES: To verify the presence of mutations of the MC4R coding region in children from southern Italy with early-onset obesity. SUBJECTS AND METHODS: Two-hundred and eight unrelated obese children and adolescents were included in the study. The average age at obesity onset was 4.5+/-2.6 y. MC4R coding region was screened using both single-strand conformation polymorphism (SSCP) analysis and denaturing high-performance liquid chromatography (DHPLC). Automatic sequencing of PCR products of all individuals that showed an aberrant SSCP and/or DHPLC pattern was performed. RESULTS: One novel missense mutation and one previously described polymorphism (Vall03Ile) were identified. The missense mutation C142T, resulting in the substitution of proline with serine at codon 48, within the first MC4R transmembrane domain, was detected at the heterozygous state in a 15-y-old obese girl (body mass index (BMI)=35 kg/m(2)) who has been obese since she was 8 y old. The mutation co-segregated with the obesity phenotype for over three generations and was not found in the control population. CONCLUSIONS: Our data show MC4R obesity causing mutations in less than 0.5% of the patients (ie 1 out of 208 patients) and therefore indicate a low prevalence of MC4R variants in the obese population from southern Italy. The specific genetic background of the Mediterranean population could make it difficult for MC4R mutations to produce an essentially polygenic trait such as common obesity, at least during childhood.","author":[{"dropping-particle":"","family":"Miraglia Del Giudice","given":"E","non-dropping-particle":"","parse-names":false,"suffix":""},{"dropping-particle":"","family":"Cirillo","given":"G","non-dropping-particle":"","parse-names":false,"suffix":""},{"dropping-particle":"","family":"Nigro","given":"V","non-dropping-particle":"","parse-names":false,"suffix":""},{"dropping-particle":"","family":"Santoro","given":"N","non-dropping-particle":"","parse-names":false,"suffix":""},{"dropping-particle":"","family":"D'Urso","given":"L","non-dropping-particle":"","parse-names":false,"suffix":""},{"dropping-particle":"","family":"Raimondo","given":"P","non-dropping-particle":"","parse-names":false,"suffix":""},{"dropping-particle":"","family":"Cozzolino","given":"D","non-dropping-particle":"","parse-names":false,"suffix":""},{"dropping-particle":"","family":"Scafato","given":"D","non-dropping-particle":"","parse-names":false,"suffix":""},{"dropping-particle":"","family":"Perrone","given":"L","non-dropping-particle":"","parse-names":false,"suffix":""}],"container-title":"International journal of obesity and related metabolic disorders : journal of the  International Association for the Study of Obesity","id":"ITEM-1","issue":"5","issued":{"date-parts":[["2002","5"]]},"language":"eng","page":"647-651","publisher-place":"England","title":"Low frequency of melanocortin-4 receptor (MC4R) mutations in a Mediterranean  population with early-onset obesity.","type":"article-journal","volume":"26"},"uris":["http://www.mendeley.com/documents/?uuid=7e4cd364-3039-456c-9a36-1d313049cd86"]}],"mendeley":{"formattedCitation":"&lt;sup&gt;13&lt;/sup&gt;","plainTextFormattedCitation":"13","previouslyFormattedCitation":"&lt;sup&gt;13&lt;/sup&gt;"},"properties":{"noteIndex":0},"schema":"https://github.com/citation-style-language/schema/raw/master/csl-citation.json"}</w:instrText>
            </w:r>
            <w:r>
              <w:rPr>
                <w:color w:val="000000"/>
                <w:sz w:val="20"/>
                <w:szCs w:val="20"/>
                <w:lang w:val="en-US"/>
              </w:rPr>
              <w:fldChar w:fldCharType="separate"/>
            </w:r>
            <w:r w:rsidRPr="00B95999">
              <w:rPr>
                <w:noProof/>
                <w:color w:val="000000"/>
                <w:sz w:val="20"/>
                <w:szCs w:val="20"/>
                <w:vertAlign w:val="superscript"/>
                <w:lang w:val="it-IT"/>
              </w:rPr>
              <w:t>13</w:t>
            </w:r>
            <w:r>
              <w:rPr>
                <w:color w:val="000000"/>
                <w:sz w:val="20"/>
                <w:szCs w:val="20"/>
                <w:lang w:val="en-US"/>
              </w:rPr>
              <w:fldChar w:fldCharType="end"/>
            </w:r>
          </w:p>
        </w:tc>
        <w:tc>
          <w:tcPr>
            <w:tcW w:w="1134" w:type="dxa"/>
            <w:tcBorders>
              <w:top w:val="nil"/>
              <w:left w:val="nil"/>
              <w:bottom w:val="nil"/>
              <w:right w:val="nil"/>
            </w:tcBorders>
            <w:shd w:val="clear" w:color="auto" w:fill="auto"/>
            <w:noWrap/>
            <w:vAlign w:val="center"/>
            <w:hideMark/>
          </w:tcPr>
          <w:p w14:paraId="7295F2E0" w14:textId="77777777" w:rsidR="00DC2DB2" w:rsidRPr="00B95999" w:rsidRDefault="00DC2DB2" w:rsidP="00EB4A43">
            <w:pPr>
              <w:jc w:val="center"/>
              <w:rPr>
                <w:i/>
                <w:color w:val="000000"/>
                <w:sz w:val="20"/>
                <w:szCs w:val="20"/>
                <w:lang w:val="it-IT"/>
              </w:rPr>
            </w:pPr>
            <w:r w:rsidRPr="00B95999">
              <w:rPr>
                <w:i/>
                <w:color w:val="000000"/>
                <w:sz w:val="20"/>
                <w:szCs w:val="20"/>
                <w:lang w:val="it-IT"/>
              </w:rPr>
              <w:t>MC4R</w:t>
            </w:r>
          </w:p>
        </w:tc>
        <w:tc>
          <w:tcPr>
            <w:tcW w:w="1047" w:type="dxa"/>
            <w:tcBorders>
              <w:top w:val="nil"/>
              <w:left w:val="nil"/>
              <w:bottom w:val="nil"/>
              <w:right w:val="nil"/>
            </w:tcBorders>
            <w:shd w:val="clear" w:color="auto" w:fill="auto"/>
            <w:noWrap/>
            <w:vAlign w:val="center"/>
            <w:hideMark/>
          </w:tcPr>
          <w:p w14:paraId="7D936FBC" w14:textId="77777777" w:rsidR="00DC2DB2" w:rsidRPr="00B95999" w:rsidRDefault="00DC2DB2" w:rsidP="00EB4A43">
            <w:pPr>
              <w:jc w:val="center"/>
              <w:rPr>
                <w:color w:val="000000"/>
                <w:sz w:val="20"/>
                <w:szCs w:val="20"/>
                <w:lang w:val="it-IT"/>
              </w:rPr>
            </w:pPr>
            <w:r w:rsidRPr="00B95999">
              <w:rPr>
                <w:sz w:val="20"/>
                <w:szCs w:val="20"/>
                <w:lang w:val="it-IT"/>
              </w:rPr>
              <w:t>4-1-1</w:t>
            </w:r>
          </w:p>
        </w:tc>
        <w:tc>
          <w:tcPr>
            <w:tcW w:w="1807" w:type="dxa"/>
            <w:tcBorders>
              <w:top w:val="nil"/>
              <w:left w:val="nil"/>
              <w:bottom w:val="nil"/>
              <w:right w:val="nil"/>
            </w:tcBorders>
            <w:shd w:val="clear" w:color="auto" w:fill="auto"/>
            <w:noWrap/>
            <w:vAlign w:val="center"/>
            <w:hideMark/>
          </w:tcPr>
          <w:p w14:paraId="1C3282F3" w14:textId="77777777" w:rsidR="00DC2DB2" w:rsidRPr="00B95999" w:rsidRDefault="00DC2DB2" w:rsidP="00EB4A43">
            <w:pPr>
              <w:jc w:val="center"/>
              <w:rPr>
                <w:color w:val="000000"/>
                <w:sz w:val="20"/>
                <w:szCs w:val="20"/>
                <w:lang w:val="it-IT"/>
              </w:rPr>
            </w:pPr>
            <w:r w:rsidRPr="00B95999">
              <w:rPr>
                <w:color w:val="000000"/>
                <w:sz w:val="20"/>
                <w:szCs w:val="20"/>
                <w:lang w:val="it-IT"/>
              </w:rPr>
              <w:t>EOO</w:t>
            </w:r>
          </w:p>
        </w:tc>
        <w:tc>
          <w:tcPr>
            <w:tcW w:w="1733" w:type="dxa"/>
            <w:tcBorders>
              <w:top w:val="nil"/>
              <w:left w:val="nil"/>
              <w:bottom w:val="nil"/>
              <w:right w:val="nil"/>
            </w:tcBorders>
            <w:shd w:val="clear" w:color="auto" w:fill="auto"/>
            <w:noWrap/>
            <w:vAlign w:val="center"/>
            <w:hideMark/>
          </w:tcPr>
          <w:p w14:paraId="58D65D4C" w14:textId="77777777" w:rsidR="00DC2DB2" w:rsidRPr="00B95999" w:rsidRDefault="00DC2DB2" w:rsidP="00EB4A43">
            <w:pPr>
              <w:jc w:val="center"/>
              <w:rPr>
                <w:color w:val="000000"/>
                <w:sz w:val="20"/>
                <w:szCs w:val="20"/>
                <w:lang w:val="it-IT"/>
              </w:rPr>
            </w:pPr>
            <w:proofErr w:type="spellStart"/>
            <w:r w:rsidRPr="00B95999">
              <w:rPr>
                <w:color w:val="000000"/>
                <w:sz w:val="20"/>
                <w:szCs w:val="20"/>
                <w:lang w:val="it-IT"/>
              </w:rPr>
              <w:t>Italy</w:t>
            </w:r>
            <w:proofErr w:type="spellEnd"/>
          </w:p>
        </w:tc>
      </w:tr>
      <w:tr w:rsidR="00DC2DB2" w:rsidRPr="00B95999" w14:paraId="4B3A8BF4" w14:textId="77777777" w:rsidTr="00EB4A43">
        <w:trPr>
          <w:trHeight w:val="315"/>
          <w:jc w:val="center"/>
        </w:trPr>
        <w:tc>
          <w:tcPr>
            <w:tcW w:w="3005" w:type="dxa"/>
            <w:tcBorders>
              <w:top w:val="nil"/>
              <w:left w:val="nil"/>
              <w:bottom w:val="nil"/>
              <w:right w:val="nil"/>
            </w:tcBorders>
            <w:shd w:val="clear" w:color="auto" w:fill="auto"/>
            <w:noWrap/>
            <w:vAlign w:val="center"/>
            <w:hideMark/>
          </w:tcPr>
          <w:p w14:paraId="73428C51" w14:textId="77777777" w:rsidR="00DC2DB2" w:rsidRPr="00B95999" w:rsidRDefault="00DC2DB2" w:rsidP="00EB4A43">
            <w:pPr>
              <w:jc w:val="center"/>
              <w:rPr>
                <w:color w:val="000000"/>
                <w:sz w:val="20"/>
                <w:szCs w:val="20"/>
                <w:lang w:val="it-IT"/>
              </w:rPr>
            </w:pPr>
            <w:r w:rsidRPr="00B95999">
              <w:rPr>
                <w:color w:val="000000"/>
                <w:sz w:val="20"/>
                <w:szCs w:val="20"/>
                <w:lang w:val="it-IT"/>
              </w:rPr>
              <w:t>Lubrano-</w:t>
            </w:r>
            <w:proofErr w:type="spellStart"/>
            <w:r w:rsidRPr="00B95999">
              <w:rPr>
                <w:color w:val="000000"/>
                <w:sz w:val="20"/>
                <w:szCs w:val="20"/>
                <w:lang w:val="it-IT"/>
              </w:rPr>
              <w:t>Berthelier</w:t>
            </w:r>
            <w:proofErr w:type="spellEnd"/>
            <w:r w:rsidRPr="00B95999">
              <w:rPr>
                <w:color w:val="000000"/>
                <w:sz w:val="20"/>
                <w:szCs w:val="20"/>
                <w:lang w:val="it-IT"/>
              </w:rPr>
              <w:t>, et al. 2003</w:t>
            </w:r>
            <w:r>
              <w:rPr>
                <w:color w:val="000000"/>
                <w:sz w:val="20"/>
                <w:szCs w:val="20"/>
                <w:lang w:val="it-IT"/>
              </w:rPr>
              <w:fldChar w:fldCharType="begin" w:fldLock="1"/>
            </w:r>
            <w:r>
              <w:rPr>
                <w:color w:val="000000"/>
                <w:sz w:val="20"/>
                <w:szCs w:val="20"/>
                <w:lang w:val="it-IT"/>
              </w:rPr>
              <w:instrText>ADDIN CSL_CITATION {"citationItems":[{"id":"ITEM-1","itemData":{"DOI":"10.1093/hmg/ddg016","ISSN":"0964-6906 (Print)","PMID":"12499395","abstract":"Heterozygous mutations in the coding region of the serpentine Melanocortin 4  receptor are the most common genetic cause of human obesity described to date. There are still conflicting data regarding the overall prevalence of such mutations in obesity and limited information is available on the functional defects caused by most obesity-associated MC4R mutations. We report here the screening for mutations in the coding region of the MC4R of a new cohort of 172 patients presenting with severe childhood obesity and a family history of obesity. Three heterozygous MC4R mutations (Ser127Leu, Ala244Glu and Pro299His) were found in three patients of this cohort (1.74%), confirming that such mutations are implicated in a significant number of childhood obesity cases. A functional analysis of these mutant receptors, in addition to 11 other childhood obesity-associated MC4R mutations, indicates that they all alter the activation of the receptor by the endogenous agonist alpha-MSH. To further examine the functional defects caused by childhood obesity-associated MC4R mutations, we developed a novel, sensitive technique to quantitatively analyze the effect of a mutation on MC4R cell surface expression. Using this method we analyzed the cell surface expression of all the 14 described childhood obesity-associated MC4R missense mutations. We demonstrate that 81.3% of childhood obesity-associated heterozygous MC4R mutations lead to intracellular retention of the receptor. This result has implications for the potential pharmacologic rescue of childhood obesity-associated MC4R mutations and for the treatment of patients presenting with this condition.","author":[{"dropping-particle":"","family":"Lubrano-Berthelier","given":"Cecile","non-dropping-particle":"","parse-names":false,"suffix":""},{"dropping-particle":"","family":"Durand","given":"Emmanuelle","non-dropping-particle":"","parse-names":false,"suffix":""},{"dropping-particle":"","family":"Dubern","given":"Beatrice","non-dropping-particle":"","parse-names":false,"suffix":""},{"dropping-particle":"","family":"Shapiro","given":"Astrid","non-dropping-particle":"","parse-names":false,"suffix":""},{"dropping-particle":"","family":"Dazin","given":"Paul","non-dropping-particle":"","parse-names":false,"suffix":""},{"dropping-particle":"","family":"Weill","given":"Jacques","non-dropping-particle":"","parse-names":false,"suffix":""},{"dropping-particle":"","family":"Ferron","given":"Camille","non-dropping-particle":"","parse-names":false,"suffix":""},{"dropping-particle":"","family":"Froguel","given":"Philippe","non-dropping-particle":"","parse-names":false,"suffix":""},{"dropping-particle":"","family":"Vaisse","given":"Christian","non-dropping-particle":"","parse-names":false,"suffix":""}],"container-title":"Human molecular genetics","id":"ITEM-1","issue":"2","issued":{"date-parts":[["2003","1"]]},"language":"eng","page":"145-153","publisher-place":"England","title":"Intracellular retention is a common characteristic of childhood obesity-associated  MC4R mutations.","type":"article-journal","volume":"12"},"uris":["http://www.mendeley.com/documents/?uuid=d32bbe41-9e2e-4760-b6d9-215f2438bbb9"]}],"mendeley":{"formattedCitation":"&lt;sup&gt;14&lt;/sup&gt;","plainTextFormattedCitation":"14","previouslyFormattedCitation":"&lt;sup&gt;14&lt;/sup&gt;"},"properties":{"noteIndex":0},"schema":"https://github.com/citation-style-language/schema/raw/master/csl-citation.json"}</w:instrText>
            </w:r>
            <w:r>
              <w:rPr>
                <w:color w:val="000000"/>
                <w:sz w:val="20"/>
                <w:szCs w:val="20"/>
                <w:lang w:val="it-IT"/>
              </w:rPr>
              <w:fldChar w:fldCharType="separate"/>
            </w:r>
            <w:r w:rsidRPr="00B95999">
              <w:rPr>
                <w:noProof/>
                <w:color w:val="000000"/>
                <w:sz w:val="20"/>
                <w:szCs w:val="20"/>
                <w:vertAlign w:val="superscript"/>
                <w:lang w:val="it-IT"/>
              </w:rPr>
              <w:t>14</w:t>
            </w:r>
            <w:r>
              <w:rPr>
                <w:color w:val="000000"/>
                <w:sz w:val="20"/>
                <w:szCs w:val="20"/>
                <w:lang w:val="it-IT"/>
              </w:rPr>
              <w:fldChar w:fldCharType="end"/>
            </w:r>
          </w:p>
        </w:tc>
        <w:tc>
          <w:tcPr>
            <w:tcW w:w="1134" w:type="dxa"/>
            <w:tcBorders>
              <w:top w:val="nil"/>
              <w:left w:val="nil"/>
              <w:bottom w:val="nil"/>
              <w:right w:val="nil"/>
            </w:tcBorders>
            <w:shd w:val="clear" w:color="auto" w:fill="auto"/>
            <w:noWrap/>
            <w:vAlign w:val="center"/>
            <w:hideMark/>
          </w:tcPr>
          <w:p w14:paraId="5B0DE960" w14:textId="77777777" w:rsidR="00DC2DB2" w:rsidRPr="00B95999" w:rsidRDefault="00DC2DB2" w:rsidP="00EB4A43">
            <w:pPr>
              <w:jc w:val="center"/>
              <w:rPr>
                <w:i/>
                <w:color w:val="000000"/>
                <w:sz w:val="20"/>
                <w:szCs w:val="20"/>
                <w:lang w:val="it-IT"/>
              </w:rPr>
            </w:pPr>
            <w:r w:rsidRPr="00B95999">
              <w:rPr>
                <w:i/>
                <w:color w:val="000000"/>
                <w:sz w:val="20"/>
                <w:szCs w:val="20"/>
                <w:lang w:val="it-IT"/>
              </w:rPr>
              <w:t>MC4R</w:t>
            </w:r>
          </w:p>
        </w:tc>
        <w:tc>
          <w:tcPr>
            <w:tcW w:w="1047" w:type="dxa"/>
            <w:tcBorders>
              <w:top w:val="nil"/>
              <w:left w:val="nil"/>
              <w:bottom w:val="nil"/>
              <w:right w:val="nil"/>
            </w:tcBorders>
            <w:shd w:val="clear" w:color="auto" w:fill="auto"/>
            <w:noWrap/>
            <w:vAlign w:val="center"/>
            <w:hideMark/>
          </w:tcPr>
          <w:p w14:paraId="3FBEDBB8" w14:textId="77777777" w:rsidR="00DC2DB2" w:rsidRPr="00B95999" w:rsidRDefault="00DC2DB2" w:rsidP="00EB4A43">
            <w:pPr>
              <w:jc w:val="center"/>
              <w:rPr>
                <w:color w:val="000000"/>
                <w:sz w:val="20"/>
                <w:szCs w:val="20"/>
                <w:lang w:val="it-IT"/>
              </w:rPr>
            </w:pPr>
            <w:r w:rsidRPr="00B95999">
              <w:rPr>
                <w:sz w:val="20"/>
                <w:szCs w:val="20"/>
                <w:lang w:val="it-IT"/>
              </w:rPr>
              <w:t>5-3-3</w:t>
            </w:r>
          </w:p>
        </w:tc>
        <w:tc>
          <w:tcPr>
            <w:tcW w:w="1807" w:type="dxa"/>
            <w:tcBorders>
              <w:top w:val="nil"/>
              <w:left w:val="nil"/>
              <w:bottom w:val="nil"/>
              <w:right w:val="nil"/>
            </w:tcBorders>
            <w:shd w:val="clear" w:color="auto" w:fill="auto"/>
            <w:noWrap/>
            <w:vAlign w:val="center"/>
            <w:hideMark/>
          </w:tcPr>
          <w:p w14:paraId="18000580" w14:textId="77777777" w:rsidR="00DC2DB2" w:rsidRPr="00B95999" w:rsidRDefault="00DC2DB2" w:rsidP="00EB4A43">
            <w:pPr>
              <w:jc w:val="center"/>
              <w:rPr>
                <w:color w:val="000000"/>
                <w:sz w:val="20"/>
                <w:szCs w:val="20"/>
                <w:lang w:val="it-IT"/>
              </w:rPr>
            </w:pPr>
            <w:r w:rsidRPr="00B95999">
              <w:rPr>
                <w:color w:val="000000"/>
                <w:sz w:val="20"/>
                <w:szCs w:val="20"/>
                <w:lang w:val="it-IT"/>
              </w:rPr>
              <w:t>SEOO</w:t>
            </w:r>
          </w:p>
        </w:tc>
        <w:tc>
          <w:tcPr>
            <w:tcW w:w="1733" w:type="dxa"/>
            <w:tcBorders>
              <w:top w:val="nil"/>
              <w:left w:val="nil"/>
              <w:bottom w:val="nil"/>
              <w:right w:val="nil"/>
            </w:tcBorders>
            <w:shd w:val="clear" w:color="auto" w:fill="auto"/>
            <w:noWrap/>
            <w:vAlign w:val="center"/>
            <w:hideMark/>
          </w:tcPr>
          <w:p w14:paraId="53DFC94E" w14:textId="77777777" w:rsidR="00DC2DB2" w:rsidRPr="00B95999" w:rsidRDefault="00DC2DB2" w:rsidP="00EB4A43">
            <w:pPr>
              <w:jc w:val="center"/>
              <w:rPr>
                <w:color w:val="000000"/>
                <w:sz w:val="20"/>
                <w:szCs w:val="20"/>
                <w:lang w:val="it-IT"/>
              </w:rPr>
            </w:pPr>
            <w:r w:rsidRPr="00B95999">
              <w:rPr>
                <w:color w:val="000000"/>
                <w:sz w:val="20"/>
                <w:szCs w:val="20"/>
                <w:lang w:val="it-IT"/>
              </w:rPr>
              <w:t>France</w:t>
            </w:r>
          </w:p>
        </w:tc>
      </w:tr>
      <w:tr w:rsidR="00DC2DB2" w:rsidRPr="00B95999" w14:paraId="2AC44D00" w14:textId="77777777" w:rsidTr="00EB4A43">
        <w:trPr>
          <w:trHeight w:val="315"/>
          <w:jc w:val="center"/>
        </w:trPr>
        <w:tc>
          <w:tcPr>
            <w:tcW w:w="3005" w:type="dxa"/>
            <w:tcBorders>
              <w:top w:val="nil"/>
              <w:left w:val="nil"/>
              <w:bottom w:val="nil"/>
              <w:right w:val="nil"/>
            </w:tcBorders>
            <w:shd w:val="clear" w:color="auto" w:fill="auto"/>
            <w:noWrap/>
            <w:vAlign w:val="center"/>
            <w:hideMark/>
          </w:tcPr>
          <w:p w14:paraId="2017E895" w14:textId="77777777" w:rsidR="00DC2DB2" w:rsidRPr="00B95999" w:rsidRDefault="00DC2DB2" w:rsidP="00EB4A43">
            <w:pPr>
              <w:jc w:val="center"/>
              <w:rPr>
                <w:color w:val="000000"/>
                <w:sz w:val="20"/>
                <w:szCs w:val="20"/>
                <w:lang w:val="it-IT"/>
              </w:rPr>
            </w:pPr>
            <w:r w:rsidRPr="00B95999">
              <w:rPr>
                <w:color w:val="000000"/>
                <w:sz w:val="20"/>
                <w:szCs w:val="20"/>
                <w:lang w:val="it-IT"/>
              </w:rPr>
              <w:t>Marti, et al. 2003</w:t>
            </w:r>
            <w:r>
              <w:rPr>
                <w:color w:val="000000"/>
                <w:sz w:val="20"/>
                <w:szCs w:val="20"/>
                <w:lang w:val="it-IT"/>
              </w:rPr>
              <w:fldChar w:fldCharType="begin" w:fldLock="1"/>
            </w:r>
            <w:r>
              <w:rPr>
                <w:color w:val="000000"/>
                <w:sz w:val="20"/>
                <w:szCs w:val="20"/>
                <w:lang w:val="it-IT"/>
              </w:rPr>
              <w:instrText>ADDIN CSL_CITATION {"citationItems":[{"id":"ITEM-1","itemData":{"DOI":"10.1038/sj.ijo.0802244","PMID":"12629567","abstract":"BACKGROUND: In recent years, several groups have reported dominant inheritance of  obesity conferred by missense, nonsense and frameshift mutations in the melanocortin 4 receptor gene (MC4R). Hence, MC4R is involved in the most common monogenic form of human obesity described so far. OBJECTIVES: In this context, we screened a Spanish population, composed of obese subjects and normal weight controls, for mutations in the MC4-R by single-strand conformational polymorphism (SSCP). SUBJECTS AND METHODS: Overall 313 individuals, 159 obese subjects (body mass index: BMI: 37.6 kg/m(2), 95% CI: 36.7-38.5 kg/m(2)) and 154 normal weight control subjects (BMI: 22.3 kg/m(2), 95% CI: 22.0-22.6 kg/m(2)) were screened for MC4-R mutations. RESULTS: We detected a novel nonsense mutation at codon 16 of the MC4-R in an obese female (BMI: 30.0 kg/m(2)) and a previously described missense mutation (Val-253-Ile) located within the sixth trans-membrane domain of the MC4-R in a normal weight individual (BMI: 19.0 kg/m(2)). The polymorphism Val-103-Ile was detected in one obese individual, while four subjects (two cases and two controls) with the polymorphism Ile-251-Leu were found. CONCLUSIONS: We have identified a novel nonsense mutation (Trp-16-Stop) that, based on previously described frameshift and nonsense mutations, most likely results in dominantly inherited obesity. Within this Spanish population, the frequency of the Ile-251-Leu polymorphism of the MC4R was similar in obese and control subjects (about 1.3%), while the polymorphism Val-103-Ile was only detected in an obese individual (0.6%).","author":[{"dropping-particle":"","family":"Marti","given":"A","non-dropping-particle":"","parse-names":false,"suffix":""},{"dropping-particle":"","family":"Corbalán","given":"M S","non-dropping-particle":"","parse-names":false,"suffix":""},{"dropping-particle":"","family":"Forga","given":"L","non-dropping-particle":"","parse-names":false,"suffix":""},{"dropping-particle":"","family":"Martinez","given":"J A","non-dropping-particle":"","parse-names":false,"suffix":""},{"dropping-particle":"","family":"Hinney","given":"A","non-dropping-particle":"","parse-names":false,"suffix":""},{"dropping-particle":"","family":"Hebebrand","given":"J","non-dropping-particle":"","parse-names":false,"suffix":""}],"container-title":"International journal of obesity and related metabolic disorders : journal of the  International Association for the Study of Obesity","id":"ITEM-1","issue":"3","issued":{"date-parts":[["2003","3"]]},"language":"eng","page":"385-388","publisher-place":"England","title":"A novel nonsense mutation in the melanocortin-4 receptor associated with obesity in  a Spanish population.","type":"article-journal","volume":"27"},"uris":["http://www.mendeley.com/documents/?uuid=e6bc6ca1-27a9-432d-9b78-a94b8e9f7ea5"]}],"mendeley":{"formattedCitation":"&lt;sup&gt;15&lt;/sup&gt;","plainTextFormattedCitation":"15","previouslyFormattedCitation":"&lt;sup&gt;15&lt;/sup&gt;"},"properties":{"noteIndex":0},"schema":"https://github.com/citation-style-language/schema/raw/master/csl-citation.json"}</w:instrText>
            </w:r>
            <w:r>
              <w:rPr>
                <w:color w:val="000000"/>
                <w:sz w:val="20"/>
                <w:szCs w:val="20"/>
                <w:lang w:val="it-IT"/>
              </w:rPr>
              <w:fldChar w:fldCharType="separate"/>
            </w:r>
            <w:r w:rsidRPr="00B95999">
              <w:rPr>
                <w:noProof/>
                <w:color w:val="000000"/>
                <w:sz w:val="20"/>
                <w:szCs w:val="20"/>
                <w:vertAlign w:val="superscript"/>
                <w:lang w:val="it-IT"/>
              </w:rPr>
              <w:t>15</w:t>
            </w:r>
            <w:r>
              <w:rPr>
                <w:color w:val="000000"/>
                <w:sz w:val="20"/>
                <w:szCs w:val="20"/>
                <w:lang w:val="it-IT"/>
              </w:rPr>
              <w:fldChar w:fldCharType="end"/>
            </w:r>
          </w:p>
        </w:tc>
        <w:tc>
          <w:tcPr>
            <w:tcW w:w="1134" w:type="dxa"/>
            <w:tcBorders>
              <w:top w:val="nil"/>
              <w:left w:val="nil"/>
              <w:bottom w:val="nil"/>
              <w:right w:val="nil"/>
            </w:tcBorders>
            <w:shd w:val="clear" w:color="auto" w:fill="auto"/>
            <w:noWrap/>
            <w:vAlign w:val="center"/>
            <w:hideMark/>
          </w:tcPr>
          <w:p w14:paraId="504266E8" w14:textId="77777777" w:rsidR="00DC2DB2" w:rsidRPr="00B95999" w:rsidRDefault="00DC2DB2" w:rsidP="00EB4A43">
            <w:pPr>
              <w:jc w:val="center"/>
              <w:rPr>
                <w:i/>
                <w:color w:val="000000"/>
                <w:sz w:val="20"/>
                <w:szCs w:val="20"/>
                <w:lang w:val="it-IT"/>
              </w:rPr>
            </w:pPr>
            <w:r w:rsidRPr="00B95999">
              <w:rPr>
                <w:i/>
                <w:color w:val="000000"/>
                <w:sz w:val="20"/>
                <w:szCs w:val="20"/>
                <w:lang w:val="it-IT"/>
              </w:rPr>
              <w:t>MC4R</w:t>
            </w:r>
          </w:p>
        </w:tc>
        <w:tc>
          <w:tcPr>
            <w:tcW w:w="1047" w:type="dxa"/>
            <w:tcBorders>
              <w:top w:val="nil"/>
              <w:left w:val="nil"/>
              <w:bottom w:val="nil"/>
              <w:right w:val="nil"/>
            </w:tcBorders>
            <w:shd w:val="clear" w:color="auto" w:fill="auto"/>
            <w:noWrap/>
            <w:vAlign w:val="center"/>
            <w:hideMark/>
          </w:tcPr>
          <w:p w14:paraId="1E72B6C3" w14:textId="77777777" w:rsidR="00DC2DB2" w:rsidRPr="00B95999" w:rsidRDefault="00DC2DB2" w:rsidP="00EB4A43">
            <w:pPr>
              <w:jc w:val="center"/>
              <w:rPr>
                <w:color w:val="000000"/>
                <w:sz w:val="20"/>
                <w:szCs w:val="20"/>
                <w:lang w:val="it-IT"/>
              </w:rPr>
            </w:pPr>
            <w:r w:rsidRPr="00B95999">
              <w:rPr>
                <w:sz w:val="20"/>
                <w:szCs w:val="20"/>
                <w:lang w:val="it-IT"/>
              </w:rPr>
              <w:t>1-1-1</w:t>
            </w:r>
          </w:p>
        </w:tc>
        <w:tc>
          <w:tcPr>
            <w:tcW w:w="1807" w:type="dxa"/>
            <w:tcBorders>
              <w:top w:val="nil"/>
              <w:left w:val="nil"/>
              <w:bottom w:val="nil"/>
              <w:right w:val="nil"/>
            </w:tcBorders>
            <w:shd w:val="clear" w:color="auto" w:fill="auto"/>
            <w:noWrap/>
            <w:vAlign w:val="center"/>
            <w:hideMark/>
          </w:tcPr>
          <w:p w14:paraId="31DA2092" w14:textId="77777777" w:rsidR="00DC2DB2" w:rsidRPr="00B95999" w:rsidRDefault="00DC2DB2" w:rsidP="00EB4A43">
            <w:pPr>
              <w:jc w:val="center"/>
              <w:rPr>
                <w:color w:val="000000"/>
                <w:sz w:val="20"/>
                <w:szCs w:val="20"/>
                <w:lang w:val="it-IT"/>
              </w:rPr>
            </w:pPr>
            <w:r w:rsidRPr="00B95999">
              <w:rPr>
                <w:color w:val="000000"/>
                <w:sz w:val="20"/>
                <w:szCs w:val="20"/>
                <w:lang w:val="it-IT"/>
              </w:rPr>
              <w:t>O</w:t>
            </w:r>
          </w:p>
        </w:tc>
        <w:tc>
          <w:tcPr>
            <w:tcW w:w="1733" w:type="dxa"/>
            <w:tcBorders>
              <w:top w:val="nil"/>
              <w:left w:val="nil"/>
              <w:bottom w:val="nil"/>
              <w:right w:val="nil"/>
            </w:tcBorders>
            <w:shd w:val="clear" w:color="auto" w:fill="auto"/>
            <w:noWrap/>
            <w:vAlign w:val="center"/>
            <w:hideMark/>
          </w:tcPr>
          <w:p w14:paraId="182050B1" w14:textId="77777777" w:rsidR="00DC2DB2" w:rsidRPr="00B95999" w:rsidRDefault="00DC2DB2" w:rsidP="00EB4A43">
            <w:pPr>
              <w:jc w:val="center"/>
              <w:rPr>
                <w:color w:val="000000"/>
                <w:sz w:val="20"/>
                <w:szCs w:val="20"/>
                <w:lang w:val="it-IT"/>
              </w:rPr>
            </w:pPr>
            <w:proofErr w:type="spellStart"/>
            <w:r w:rsidRPr="00B95999">
              <w:rPr>
                <w:color w:val="000000"/>
                <w:sz w:val="20"/>
                <w:szCs w:val="20"/>
                <w:lang w:val="it-IT"/>
              </w:rPr>
              <w:t>Spain</w:t>
            </w:r>
            <w:proofErr w:type="spellEnd"/>
          </w:p>
        </w:tc>
      </w:tr>
      <w:tr w:rsidR="00DC2DB2" w:rsidRPr="00B95999" w14:paraId="69CF3352" w14:textId="77777777" w:rsidTr="00EB4A43">
        <w:trPr>
          <w:trHeight w:val="315"/>
          <w:jc w:val="center"/>
        </w:trPr>
        <w:tc>
          <w:tcPr>
            <w:tcW w:w="3005" w:type="dxa"/>
            <w:tcBorders>
              <w:top w:val="nil"/>
              <w:left w:val="nil"/>
              <w:bottom w:val="nil"/>
              <w:right w:val="nil"/>
            </w:tcBorders>
            <w:shd w:val="clear" w:color="auto" w:fill="auto"/>
            <w:noWrap/>
            <w:vAlign w:val="center"/>
            <w:hideMark/>
          </w:tcPr>
          <w:p w14:paraId="47CAC367" w14:textId="77777777" w:rsidR="00DC2DB2" w:rsidRPr="00B95999" w:rsidRDefault="00DC2DB2" w:rsidP="00EB4A43">
            <w:pPr>
              <w:jc w:val="center"/>
              <w:rPr>
                <w:color w:val="000000"/>
                <w:sz w:val="20"/>
                <w:szCs w:val="20"/>
                <w:lang w:val="it-IT"/>
              </w:rPr>
            </w:pPr>
            <w:proofErr w:type="spellStart"/>
            <w:r w:rsidRPr="00B95999">
              <w:rPr>
                <w:color w:val="000000"/>
                <w:sz w:val="20"/>
                <w:szCs w:val="20"/>
                <w:lang w:val="it-IT"/>
              </w:rPr>
              <w:t>Farooqi</w:t>
            </w:r>
            <w:proofErr w:type="spellEnd"/>
            <w:r w:rsidRPr="00B95999">
              <w:rPr>
                <w:color w:val="000000"/>
                <w:sz w:val="20"/>
                <w:szCs w:val="20"/>
                <w:lang w:val="it-IT"/>
              </w:rPr>
              <w:t>, et al. 2003</w:t>
            </w:r>
            <w:r>
              <w:rPr>
                <w:color w:val="000000"/>
                <w:sz w:val="20"/>
                <w:szCs w:val="20"/>
                <w:lang w:val="it-IT"/>
              </w:rPr>
              <w:fldChar w:fldCharType="begin" w:fldLock="1"/>
            </w:r>
            <w:r>
              <w:rPr>
                <w:color w:val="000000"/>
                <w:sz w:val="20"/>
                <w:szCs w:val="20"/>
                <w:lang w:val="it-IT"/>
              </w:rPr>
              <w:instrText>ADDIN CSL_CITATION {"citationItems":[{"id":"ITEM-1","itemData":{"DOI":"10.1056/NEJMoa022050","PMID":"12646665","author":[{"dropping-particle":"","family":"Farooqi","given":"I Sadaf","non-dropping-particle":"","parse-names":false,"suffix":""},{"dropping-particle":"","family":"Keogh","given":"Julia M","non-dropping-particle":"","parse-names":false,"suffix":""},{"dropping-particle":"","family":"Yeo","given":"Giles S H","non-dropping-particle":"","parse-names":false,"suffix":""},{"dropping-particle":"","family":"Lank","given":"Emma J","non-dropping-particle":"","parse-names":false,"suffix":""},{"dropping-particle":"","family":"Cheetham","given":"Tim","non-dropping-particle":"","parse-names":false,"suffix":""},{"dropping-particle":"","family":"O'Rahilly","given":"Stephen","non-dropping-particle":"","parse-names":false,"suffix":""}],"container-title":"The New England journal of medicine","id":"ITEM-1","issue":"12","issued":{"date-parts":[["2003"]]},"page":"1085-1095","title":"Clinical spectrum of obesity and mutations in the melanocortin 4 receptor gene","type":"article-journal","volume":"348"},"uris":["http://www.mendeley.com/documents/?uuid=89f73455-dcb6-487e-907c-a3243f116380"]}],"mendeley":{"formattedCitation":"&lt;sup&gt;16&lt;/sup&gt;","plainTextFormattedCitation":"16","previouslyFormattedCitation":"&lt;sup&gt;16&lt;/sup&gt;"},"properties":{"noteIndex":0},"schema":"https://github.com/citation-style-language/schema/raw/master/csl-citation.json"}</w:instrText>
            </w:r>
            <w:r>
              <w:rPr>
                <w:color w:val="000000"/>
                <w:sz w:val="20"/>
                <w:szCs w:val="20"/>
                <w:lang w:val="it-IT"/>
              </w:rPr>
              <w:fldChar w:fldCharType="separate"/>
            </w:r>
            <w:r w:rsidRPr="00B95999">
              <w:rPr>
                <w:noProof/>
                <w:color w:val="000000"/>
                <w:sz w:val="20"/>
                <w:szCs w:val="20"/>
                <w:vertAlign w:val="superscript"/>
                <w:lang w:val="it-IT"/>
              </w:rPr>
              <w:t>16</w:t>
            </w:r>
            <w:r>
              <w:rPr>
                <w:color w:val="000000"/>
                <w:sz w:val="20"/>
                <w:szCs w:val="20"/>
                <w:lang w:val="it-IT"/>
              </w:rPr>
              <w:fldChar w:fldCharType="end"/>
            </w:r>
          </w:p>
        </w:tc>
        <w:tc>
          <w:tcPr>
            <w:tcW w:w="1134" w:type="dxa"/>
            <w:tcBorders>
              <w:top w:val="nil"/>
              <w:left w:val="nil"/>
              <w:bottom w:val="nil"/>
              <w:right w:val="nil"/>
            </w:tcBorders>
            <w:shd w:val="clear" w:color="auto" w:fill="auto"/>
            <w:noWrap/>
            <w:vAlign w:val="center"/>
            <w:hideMark/>
          </w:tcPr>
          <w:p w14:paraId="48B72E6B" w14:textId="77777777" w:rsidR="00DC2DB2" w:rsidRPr="00B95999" w:rsidRDefault="00DC2DB2" w:rsidP="00EB4A43">
            <w:pPr>
              <w:jc w:val="center"/>
              <w:rPr>
                <w:i/>
                <w:color w:val="000000"/>
                <w:sz w:val="20"/>
                <w:szCs w:val="20"/>
                <w:lang w:val="it-IT"/>
              </w:rPr>
            </w:pPr>
            <w:r w:rsidRPr="00B95999">
              <w:rPr>
                <w:i/>
                <w:color w:val="000000"/>
                <w:sz w:val="20"/>
                <w:szCs w:val="20"/>
                <w:lang w:val="it-IT"/>
              </w:rPr>
              <w:t>MC4R</w:t>
            </w:r>
          </w:p>
        </w:tc>
        <w:tc>
          <w:tcPr>
            <w:tcW w:w="1047" w:type="dxa"/>
            <w:tcBorders>
              <w:top w:val="nil"/>
              <w:left w:val="nil"/>
              <w:bottom w:val="nil"/>
              <w:right w:val="nil"/>
            </w:tcBorders>
            <w:shd w:val="clear" w:color="auto" w:fill="auto"/>
            <w:noWrap/>
            <w:vAlign w:val="center"/>
            <w:hideMark/>
          </w:tcPr>
          <w:p w14:paraId="367C9D35" w14:textId="77777777" w:rsidR="00DC2DB2" w:rsidRPr="00B95999" w:rsidRDefault="00DC2DB2" w:rsidP="00EB4A43">
            <w:pPr>
              <w:jc w:val="center"/>
              <w:rPr>
                <w:color w:val="000000"/>
                <w:sz w:val="20"/>
                <w:szCs w:val="20"/>
                <w:lang w:val="it-IT"/>
              </w:rPr>
            </w:pPr>
            <w:r w:rsidRPr="00B95999">
              <w:rPr>
                <w:sz w:val="20"/>
                <w:szCs w:val="20"/>
                <w:lang w:val="it-IT"/>
              </w:rPr>
              <w:t>20-11-9</w:t>
            </w:r>
          </w:p>
        </w:tc>
        <w:tc>
          <w:tcPr>
            <w:tcW w:w="1807" w:type="dxa"/>
            <w:tcBorders>
              <w:top w:val="nil"/>
              <w:left w:val="nil"/>
              <w:bottom w:val="nil"/>
              <w:right w:val="nil"/>
            </w:tcBorders>
            <w:shd w:val="clear" w:color="auto" w:fill="auto"/>
            <w:noWrap/>
            <w:vAlign w:val="center"/>
            <w:hideMark/>
          </w:tcPr>
          <w:p w14:paraId="65A7C807" w14:textId="77777777" w:rsidR="00DC2DB2" w:rsidRPr="00B95999" w:rsidRDefault="00DC2DB2" w:rsidP="00EB4A43">
            <w:pPr>
              <w:jc w:val="center"/>
              <w:rPr>
                <w:color w:val="000000"/>
                <w:sz w:val="20"/>
                <w:szCs w:val="20"/>
                <w:lang w:val="it-IT"/>
              </w:rPr>
            </w:pPr>
            <w:r w:rsidRPr="00B95999">
              <w:rPr>
                <w:color w:val="000000"/>
                <w:sz w:val="20"/>
                <w:szCs w:val="20"/>
                <w:lang w:val="it-IT"/>
              </w:rPr>
              <w:t>SEOO</w:t>
            </w:r>
          </w:p>
        </w:tc>
        <w:tc>
          <w:tcPr>
            <w:tcW w:w="1733" w:type="dxa"/>
            <w:tcBorders>
              <w:top w:val="nil"/>
              <w:left w:val="nil"/>
              <w:bottom w:val="nil"/>
              <w:right w:val="nil"/>
            </w:tcBorders>
            <w:shd w:val="clear" w:color="auto" w:fill="auto"/>
            <w:noWrap/>
            <w:vAlign w:val="center"/>
            <w:hideMark/>
          </w:tcPr>
          <w:p w14:paraId="70B1A336" w14:textId="77777777" w:rsidR="00DC2DB2" w:rsidRPr="00B95999" w:rsidRDefault="00DC2DB2" w:rsidP="00EB4A43">
            <w:pPr>
              <w:jc w:val="center"/>
              <w:rPr>
                <w:color w:val="000000"/>
                <w:sz w:val="20"/>
                <w:szCs w:val="20"/>
                <w:lang w:val="it-IT"/>
              </w:rPr>
            </w:pPr>
            <w:r w:rsidRPr="00B95999">
              <w:rPr>
                <w:color w:val="000000"/>
                <w:sz w:val="20"/>
                <w:szCs w:val="20"/>
                <w:lang w:val="it-IT"/>
              </w:rPr>
              <w:t>UK</w:t>
            </w:r>
          </w:p>
        </w:tc>
      </w:tr>
      <w:tr w:rsidR="00DC2DB2" w:rsidRPr="00B95999" w14:paraId="4976E211" w14:textId="77777777" w:rsidTr="00EB4A43">
        <w:trPr>
          <w:trHeight w:val="315"/>
          <w:jc w:val="center"/>
        </w:trPr>
        <w:tc>
          <w:tcPr>
            <w:tcW w:w="3005" w:type="dxa"/>
            <w:tcBorders>
              <w:top w:val="nil"/>
              <w:left w:val="nil"/>
              <w:bottom w:val="nil"/>
              <w:right w:val="nil"/>
            </w:tcBorders>
            <w:shd w:val="clear" w:color="auto" w:fill="auto"/>
            <w:noWrap/>
            <w:vAlign w:val="center"/>
            <w:hideMark/>
          </w:tcPr>
          <w:p w14:paraId="4CF0AF6C" w14:textId="77777777" w:rsidR="00DC2DB2" w:rsidRPr="00B95999" w:rsidRDefault="00DC2DB2" w:rsidP="00EB4A43">
            <w:pPr>
              <w:jc w:val="center"/>
              <w:rPr>
                <w:color w:val="000000"/>
                <w:sz w:val="20"/>
                <w:szCs w:val="20"/>
                <w:lang w:val="it-IT"/>
              </w:rPr>
            </w:pPr>
            <w:r w:rsidRPr="00B95999">
              <w:rPr>
                <w:color w:val="000000"/>
                <w:sz w:val="20"/>
                <w:szCs w:val="20"/>
                <w:lang w:val="it-IT"/>
              </w:rPr>
              <w:t>Valli-</w:t>
            </w:r>
            <w:proofErr w:type="spellStart"/>
            <w:r w:rsidRPr="00B95999">
              <w:rPr>
                <w:color w:val="000000"/>
                <w:sz w:val="20"/>
                <w:szCs w:val="20"/>
                <w:lang w:val="it-IT"/>
              </w:rPr>
              <w:t>Jaakola</w:t>
            </w:r>
            <w:proofErr w:type="spellEnd"/>
            <w:r w:rsidRPr="00B95999">
              <w:rPr>
                <w:color w:val="000000"/>
                <w:sz w:val="20"/>
                <w:szCs w:val="20"/>
                <w:lang w:val="it-IT"/>
              </w:rPr>
              <w:t>, et al. 2004</w:t>
            </w:r>
            <w:r>
              <w:rPr>
                <w:color w:val="000000"/>
                <w:sz w:val="20"/>
                <w:szCs w:val="20"/>
                <w:lang w:val="it-IT"/>
              </w:rPr>
              <w:fldChar w:fldCharType="begin" w:fldLock="1"/>
            </w:r>
            <w:r>
              <w:rPr>
                <w:color w:val="000000"/>
                <w:sz w:val="20"/>
                <w:szCs w:val="20"/>
                <w:lang w:val="it-IT"/>
              </w:rPr>
              <w:instrText>ADDIN CSL_CITATION {"citationItems":[{"id":"ITEM-1","itemData":{"DOI":"10.1210/jc.2003-031182","ISSN":"0021-972X (Print)","PMID":"14764818","abstract":"Two Finnish cohorts, comprising 56 children with severe early-onset obesity  (relative weight for height greater than or equal to +70% before age 10) and 252 morbidly obese adults (body mass index, &gt; or = 40 kg/m(2)), were screened for melanocortin-4 receptor (MC4R) mutations. We identified a pathogenic mutation (S127L) in one child, causing severe early-onset obesity. We describe the phenotype of this particular mutation for the first time. We also identified a novel (I226T) polymorphism in the coding and two new variations (-439delGC and 1059C&gt;T) outside the coding region of the MC4R gene. Three previously described polymorphisms (V103I, T112M, and I125L) were identified. In vitro functional studies of variants T112M, S127L, and I226T supported a pathogenic role of the S127L mutation, because signaling properties of the receptor in response to the MC4R agonists alpha-MSH, beta-MSH, and gamma(1)-MSH were impaired. The S127L mutation did not affect receptor inhibition by the antagonist agouti-related protein. Localization of the three variant receptors was similar to that of wild type. In conclusion, a pathogenic MC4R mutation was found among subjects with severe early-onset obesity but not among morbidly obese adults. Impaired function of the S127L receptor was due to reduced activation, not a defect of protein transport to the cell membrane.","author":[{"dropping-particle":"","family":"Valli-Jaakola","given":"Kaisa","non-dropping-particle":"","parse-names":false,"suffix":""},{"dropping-particle":"","family":"Lipsanen-Nyman","given":"Marita","non-dropping-particle":"","parse-names":false,"suffix":""},{"dropping-particle":"","family":"Oksanen","given":"Laura","non-dropping-particle":"","parse-names":false,"suffix":""},{"dropping-particle":"","family":"Hollenberg","given":"Anthony N","non-dropping-particle":"","parse-names":false,"suffix":""},{"dropping-particle":"","family":"Kontula","given":"Kimmo","non-dropping-particle":"","parse-names":false,"suffix":""},{"dropping-particle":"","family":"Bjørbaek","given":"Christian","non-dropping-particle":"","parse-names":false,"suffix":""},{"dropping-particle":"","family":"Schalin-Jäntti","given":"Camilla","non-dropping-particle":"","parse-names":false,"suffix":""}],"container-title":"The Journal of clinical endocrinology and metabolism","id":"ITEM-1","issue":"2","issued":{"date-parts":[["2004","2"]]},"language":"eng","page":"940-945","publisher-place":"United States","title":"Identification and characterization of melanocortin-4 receptor gene mutations in  morbidly obese finnish children and adults.","type":"article-journal","volume":"89"},"uris":["http://www.mendeley.com/documents/?uuid=b9721558-8cc8-4f25-9ead-2b1f8762e7b6"]}],"mendeley":{"formattedCitation":"&lt;sup&gt;17&lt;/sup&gt;","plainTextFormattedCitation":"17","previouslyFormattedCitation":"&lt;sup&gt;17&lt;/sup&gt;"},"properties":{"noteIndex":0},"schema":"https://github.com/citation-style-language/schema/raw/master/csl-citation.json"}</w:instrText>
            </w:r>
            <w:r>
              <w:rPr>
                <w:color w:val="000000"/>
                <w:sz w:val="20"/>
                <w:szCs w:val="20"/>
                <w:lang w:val="it-IT"/>
              </w:rPr>
              <w:fldChar w:fldCharType="separate"/>
            </w:r>
            <w:r w:rsidRPr="00B95999">
              <w:rPr>
                <w:noProof/>
                <w:color w:val="000000"/>
                <w:sz w:val="20"/>
                <w:szCs w:val="20"/>
                <w:vertAlign w:val="superscript"/>
                <w:lang w:val="it-IT"/>
              </w:rPr>
              <w:t>17</w:t>
            </w:r>
            <w:r>
              <w:rPr>
                <w:color w:val="000000"/>
                <w:sz w:val="20"/>
                <w:szCs w:val="20"/>
                <w:lang w:val="it-IT"/>
              </w:rPr>
              <w:fldChar w:fldCharType="end"/>
            </w:r>
          </w:p>
        </w:tc>
        <w:tc>
          <w:tcPr>
            <w:tcW w:w="1134" w:type="dxa"/>
            <w:tcBorders>
              <w:top w:val="nil"/>
              <w:left w:val="nil"/>
              <w:bottom w:val="nil"/>
              <w:right w:val="nil"/>
            </w:tcBorders>
            <w:shd w:val="clear" w:color="auto" w:fill="auto"/>
            <w:noWrap/>
            <w:vAlign w:val="center"/>
            <w:hideMark/>
          </w:tcPr>
          <w:p w14:paraId="4886ABE2" w14:textId="77777777" w:rsidR="00DC2DB2" w:rsidRPr="00B95999" w:rsidRDefault="00DC2DB2" w:rsidP="00EB4A43">
            <w:pPr>
              <w:jc w:val="center"/>
              <w:rPr>
                <w:i/>
                <w:color w:val="000000"/>
                <w:sz w:val="20"/>
                <w:szCs w:val="20"/>
                <w:lang w:val="it-IT"/>
              </w:rPr>
            </w:pPr>
            <w:r w:rsidRPr="00B95999">
              <w:rPr>
                <w:i/>
                <w:color w:val="000000"/>
                <w:sz w:val="20"/>
                <w:szCs w:val="20"/>
                <w:lang w:val="it-IT"/>
              </w:rPr>
              <w:t>MC4R</w:t>
            </w:r>
          </w:p>
        </w:tc>
        <w:tc>
          <w:tcPr>
            <w:tcW w:w="1047" w:type="dxa"/>
            <w:tcBorders>
              <w:top w:val="nil"/>
              <w:left w:val="nil"/>
              <w:bottom w:val="nil"/>
              <w:right w:val="nil"/>
            </w:tcBorders>
            <w:shd w:val="clear" w:color="auto" w:fill="auto"/>
            <w:noWrap/>
            <w:vAlign w:val="center"/>
            <w:hideMark/>
          </w:tcPr>
          <w:p w14:paraId="717CDB49" w14:textId="77777777" w:rsidR="00DC2DB2" w:rsidRPr="00B95999" w:rsidRDefault="00DC2DB2" w:rsidP="00EB4A43">
            <w:pPr>
              <w:jc w:val="center"/>
              <w:rPr>
                <w:color w:val="000000"/>
                <w:sz w:val="20"/>
                <w:szCs w:val="20"/>
                <w:lang w:val="it-IT"/>
              </w:rPr>
            </w:pPr>
            <w:r w:rsidRPr="00B95999">
              <w:rPr>
                <w:sz w:val="20"/>
                <w:szCs w:val="20"/>
                <w:lang w:val="it-IT"/>
              </w:rPr>
              <w:t>3-3-3</w:t>
            </w:r>
          </w:p>
        </w:tc>
        <w:tc>
          <w:tcPr>
            <w:tcW w:w="1807" w:type="dxa"/>
            <w:tcBorders>
              <w:top w:val="nil"/>
              <w:left w:val="nil"/>
              <w:bottom w:val="nil"/>
              <w:right w:val="nil"/>
            </w:tcBorders>
            <w:shd w:val="clear" w:color="auto" w:fill="auto"/>
            <w:noWrap/>
            <w:vAlign w:val="center"/>
            <w:hideMark/>
          </w:tcPr>
          <w:p w14:paraId="5DF565B8" w14:textId="77777777" w:rsidR="00DC2DB2" w:rsidRPr="00B95999" w:rsidRDefault="00DC2DB2" w:rsidP="00EB4A43">
            <w:pPr>
              <w:jc w:val="center"/>
              <w:rPr>
                <w:color w:val="000000"/>
                <w:sz w:val="20"/>
                <w:szCs w:val="20"/>
                <w:lang w:val="it-IT"/>
              </w:rPr>
            </w:pPr>
            <w:r w:rsidRPr="00B95999">
              <w:rPr>
                <w:color w:val="000000"/>
                <w:sz w:val="20"/>
                <w:szCs w:val="20"/>
                <w:lang w:val="it-IT"/>
              </w:rPr>
              <w:t>SEOO, SO</w:t>
            </w:r>
          </w:p>
        </w:tc>
        <w:tc>
          <w:tcPr>
            <w:tcW w:w="1733" w:type="dxa"/>
            <w:tcBorders>
              <w:top w:val="nil"/>
              <w:left w:val="nil"/>
              <w:bottom w:val="nil"/>
              <w:right w:val="nil"/>
            </w:tcBorders>
            <w:shd w:val="clear" w:color="auto" w:fill="auto"/>
            <w:noWrap/>
            <w:vAlign w:val="center"/>
            <w:hideMark/>
          </w:tcPr>
          <w:p w14:paraId="2A4C3AC2" w14:textId="77777777" w:rsidR="00DC2DB2" w:rsidRPr="00B95999" w:rsidRDefault="00DC2DB2" w:rsidP="00EB4A43">
            <w:pPr>
              <w:jc w:val="center"/>
              <w:rPr>
                <w:color w:val="000000"/>
                <w:sz w:val="20"/>
                <w:szCs w:val="20"/>
                <w:lang w:val="it-IT"/>
              </w:rPr>
            </w:pPr>
            <w:proofErr w:type="spellStart"/>
            <w:r w:rsidRPr="00B95999">
              <w:rPr>
                <w:color w:val="000000"/>
                <w:sz w:val="20"/>
                <w:szCs w:val="20"/>
                <w:lang w:val="it-IT"/>
              </w:rPr>
              <w:t>Finland</w:t>
            </w:r>
            <w:proofErr w:type="spellEnd"/>
          </w:p>
        </w:tc>
      </w:tr>
      <w:tr w:rsidR="00DC2DB2" w:rsidRPr="00B95999" w14:paraId="7199B3EC" w14:textId="77777777" w:rsidTr="00EB4A43">
        <w:trPr>
          <w:trHeight w:val="315"/>
          <w:jc w:val="center"/>
        </w:trPr>
        <w:tc>
          <w:tcPr>
            <w:tcW w:w="3005" w:type="dxa"/>
            <w:tcBorders>
              <w:top w:val="nil"/>
              <w:left w:val="nil"/>
              <w:bottom w:val="nil"/>
              <w:right w:val="nil"/>
            </w:tcBorders>
            <w:shd w:val="clear" w:color="auto" w:fill="auto"/>
            <w:noWrap/>
            <w:vAlign w:val="center"/>
            <w:hideMark/>
          </w:tcPr>
          <w:p w14:paraId="70CB8BDA" w14:textId="77777777" w:rsidR="00DC2DB2" w:rsidRPr="00B95999" w:rsidRDefault="00DC2DB2" w:rsidP="00EB4A43">
            <w:pPr>
              <w:jc w:val="center"/>
              <w:rPr>
                <w:color w:val="000000"/>
                <w:sz w:val="20"/>
                <w:szCs w:val="20"/>
                <w:lang w:val="it-IT"/>
              </w:rPr>
            </w:pPr>
            <w:r w:rsidRPr="00B95999">
              <w:rPr>
                <w:color w:val="000000"/>
                <w:sz w:val="20"/>
                <w:szCs w:val="20"/>
                <w:lang w:val="it-IT"/>
              </w:rPr>
              <w:t>Ochoa, et al. 2007</w:t>
            </w:r>
            <w:r>
              <w:rPr>
                <w:color w:val="000000"/>
                <w:sz w:val="20"/>
                <w:szCs w:val="20"/>
                <w:lang w:val="it-IT"/>
              </w:rPr>
              <w:fldChar w:fldCharType="begin" w:fldLock="1"/>
            </w:r>
            <w:r>
              <w:rPr>
                <w:color w:val="000000"/>
                <w:sz w:val="20"/>
                <w:szCs w:val="20"/>
                <w:lang w:val="it-IT"/>
              </w:rPr>
              <w:instrText>ADDIN CSL_CITATION {"citationItems":[{"id":"ITEM-1","itemData":{"DOI":"10.1111/j.1365-2265.2007.02788.x","ISSN":"0300-0664 (Print)","PMID":"17492953","abstract":"OBJECTIVE: The melanocortin 4 receptor gene (MC4R) is involved in body weight  regulation. While many studies associated MC4R mutations with childhood obesity, information on MC4R mutations in Spanish children and adolescents is lacking. Our objective was to screen a population of children and adolescents from the north of Spain (Navarra) for MC4R mutations and to study the phenotypes of carriers and their families. In addition, functional assays were performed for a novel MC4R mutation. METHODS: The study was composed of 451 Spanish children and adolescents (49% boys), aged 5-18 year. According to the International Obesity Task Force (IOTF) criteria, the groups included 160 obese, 132 overweight and 159 normal-weight control subjects. RESULTS: One novel (Thr162Arg) and three known nonsynonymous mutations in the MC4R gene (Ser30Phe, Thr150Ile, Ala244Glu) were detected heterozygously. The MC4R mutations were found in three male (one obese and two overweight) and two female subjects (one obese and one overweight). The novel mutation did not appear to lead to an impaired receptor function. An unequivocal relationship of MC4R mutations with obesity in pedigrees together with an impaired function of the encoded receptor could not be established for any of the mutations. CONCLUSIONS: The presence of heterozygous MC4R mutations in obese and overweight subjects indicates that these mutations may be a susceptibility factor for obesity development, but lifestyle factors, such as exercise or sedentary activities, may modify their effect.","author":[{"dropping-particle":"","family":"Ochoa","given":"M C","non-dropping-particle":"","parse-names":false,"suffix":""},{"dropping-particle":"","family":"Azcona","given":"C","non-dropping-particle":"","parse-names":false,"suffix":""},{"dropping-particle":"","family":"Biebermann","given":"H","non-dropping-particle":"","parse-names":false,"suffix":""},{"dropping-particle":"","family":"Brumm","given":"H","non-dropping-particle":"","parse-names":false,"suffix":""},{"dropping-particle":"","family":"Razquin","given":"C","non-dropping-particle":"","parse-names":false,"suffix":""},{"dropping-particle":"","family":"Wermter","given":"A-K","non-dropping-particle":"","parse-names":false,"suffix":""},{"dropping-particle":"","family":"Martínez","given":"J A","non-dropping-particle":"","parse-names":false,"suffix":""},{"dropping-particle":"","family":"Hebebrand","given":"J","non-dropping-particle":"","parse-names":false,"suffix":""},{"dropping-particle":"","family":"Hinney","given":"A","non-dropping-particle":"","parse-names":false,"suffix":""},{"dropping-particle":"","family":"Moreno-Aliaga","given":"M J","non-dropping-particle":"","parse-names":false,"suffix":""},{"dropping-particle":"","family":"Marti","given":"A","non-dropping-particle":"","parse-names":false,"suffix":""},{"dropping-particle":"","family":"Patiño","given":"A","non-dropping-particle":"","parse-names":false,"suffix":""},{"dropping-particle":"","family":"Chueca","given":"M","non-dropping-particle":"","parse-names":false,"suffix":""},{"dropping-particle":"","family":"Oyarzabal","given":"M","non-dropping-particle":"","parse-names":false,"suffix":""},{"dropping-particle":"","family":"Pelach","given":"R","non-dropping-particle":"","parse-names":false,"suffix":""}],"container-title":"Clinical endocrinology","id":"ITEM-1","issue":"5","issued":{"date-parts":[["2007","5"]]},"language":"eng","page":"652-658","publisher-place":"England","title":"A novel mutation Thr162Arg of the melanocortin 4 receptor gene in a Spanish children  and adolescent population.","type":"article-journal","volume":"66"},"uris":["http://www.mendeley.com/documents/?uuid=09bb8bc5-6bfe-4e1f-b8d8-de949270f1ff"]}],"mendeley":{"formattedCitation":"&lt;sup&gt;18&lt;/sup&gt;","plainTextFormattedCitation":"18","previouslyFormattedCitation":"&lt;sup&gt;18&lt;/sup&gt;"},"properties":{"noteIndex":0},"schema":"https://github.com/citation-style-language/schema/raw/master/csl-citation.json"}</w:instrText>
            </w:r>
            <w:r>
              <w:rPr>
                <w:color w:val="000000"/>
                <w:sz w:val="20"/>
                <w:szCs w:val="20"/>
                <w:lang w:val="it-IT"/>
              </w:rPr>
              <w:fldChar w:fldCharType="separate"/>
            </w:r>
            <w:r w:rsidRPr="00B95999">
              <w:rPr>
                <w:noProof/>
                <w:color w:val="000000"/>
                <w:sz w:val="20"/>
                <w:szCs w:val="20"/>
                <w:vertAlign w:val="superscript"/>
                <w:lang w:val="it-IT"/>
              </w:rPr>
              <w:t>18</w:t>
            </w:r>
            <w:r>
              <w:rPr>
                <w:color w:val="000000"/>
                <w:sz w:val="20"/>
                <w:szCs w:val="20"/>
                <w:lang w:val="it-IT"/>
              </w:rPr>
              <w:fldChar w:fldCharType="end"/>
            </w:r>
          </w:p>
        </w:tc>
        <w:tc>
          <w:tcPr>
            <w:tcW w:w="1134" w:type="dxa"/>
            <w:tcBorders>
              <w:top w:val="nil"/>
              <w:left w:val="nil"/>
              <w:bottom w:val="nil"/>
              <w:right w:val="nil"/>
            </w:tcBorders>
            <w:shd w:val="clear" w:color="auto" w:fill="auto"/>
            <w:noWrap/>
            <w:vAlign w:val="center"/>
            <w:hideMark/>
          </w:tcPr>
          <w:p w14:paraId="4BC116B1" w14:textId="77777777" w:rsidR="00DC2DB2" w:rsidRPr="00B95999" w:rsidRDefault="00DC2DB2" w:rsidP="00EB4A43">
            <w:pPr>
              <w:jc w:val="center"/>
              <w:rPr>
                <w:i/>
                <w:color w:val="000000"/>
                <w:sz w:val="20"/>
                <w:szCs w:val="20"/>
                <w:lang w:val="it-IT"/>
              </w:rPr>
            </w:pPr>
            <w:r w:rsidRPr="00B95999">
              <w:rPr>
                <w:i/>
                <w:color w:val="000000"/>
                <w:sz w:val="20"/>
                <w:szCs w:val="20"/>
                <w:lang w:val="it-IT"/>
              </w:rPr>
              <w:t>MC4R</w:t>
            </w:r>
          </w:p>
        </w:tc>
        <w:tc>
          <w:tcPr>
            <w:tcW w:w="1047" w:type="dxa"/>
            <w:tcBorders>
              <w:top w:val="nil"/>
              <w:left w:val="nil"/>
              <w:bottom w:val="nil"/>
              <w:right w:val="nil"/>
            </w:tcBorders>
            <w:shd w:val="clear" w:color="auto" w:fill="auto"/>
            <w:noWrap/>
            <w:vAlign w:val="center"/>
            <w:hideMark/>
          </w:tcPr>
          <w:p w14:paraId="49905EBD" w14:textId="77777777" w:rsidR="00DC2DB2" w:rsidRPr="00B95999" w:rsidRDefault="00DC2DB2" w:rsidP="00EB4A43">
            <w:pPr>
              <w:jc w:val="center"/>
              <w:rPr>
                <w:color w:val="000000"/>
                <w:sz w:val="20"/>
                <w:szCs w:val="20"/>
                <w:lang w:val="it-IT"/>
              </w:rPr>
            </w:pPr>
            <w:r w:rsidRPr="00B95999">
              <w:rPr>
                <w:sz w:val="20"/>
                <w:szCs w:val="20"/>
                <w:lang w:val="it-IT"/>
              </w:rPr>
              <w:t>4-4-4</w:t>
            </w:r>
          </w:p>
        </w:tc>
        <w:tc>
          <w:tcPr>
            <w:tcW w:w="1807" w:type="dxa"/>
            <w:tcBorders>
              <w:top w:val="nil"/>
              <w:left w:val="nil"/>
              <w:bottom w:val="nil"/>
              <w:right w:val="nil"/>
            </w:tcBorders>
            <w:shd w:val="clear" w:color="auto" w:fill="auto"/>
            <w:noWrap/>
            <w:vAlign w:val="center"/>
            <w:hideMark/>
          </w:tcPr>
          <w:p w14:paraId="428F5BB7" w14:textId="77777777" w:rsidR="00DC2DB2" w:rsidRPr="00B95999" w:rsidRDefault="00DC2DB2" w:rsidP="00EB4A43">
            <w:pPr>
              <w:jc w:val="center"/>
              <w:rPr>
                <w:sz w:val="20"/>
                <w:szCs w:val="20"/>
                <w:lang w:val="it-IT"/>
              </w:rPr>
            </w:pPr>
            <w:r w:rsidRPr="00B95999">
              <w:rPr>
                <w:sz w:val="20"/>
                <w:szCs w:val="20"/>
                <w:lang w:val="it-IT"/>
              </w:rPr>
              <w:t>EOO</w:t>
            </w:r>
          </w:p>
        </w:tc>
        <w:tc>
          <w:tcPr>
            <w:tcW w:w="1733" w:type="dxa"/>
            <w:tcBorders>
              <w:top w:val="nil"/>
              <w:left w:val="nil"/>
              <w:bottom w:val="nil"/>
              <w:right w:val="nil"/>
            </w:tcBorders>
            <w:shd w:val="clear" w:color="auto" w:fill="auto"/>
            <w:noWrap/>
            <w:vAlign w:val="center"/>
            <w:hideMark/>
          </w:tcPr>
          <w:p w14:paraId="10BE5A45" w14:textId="77777777" w:rsidR="00DC2DB2" w:rsidRPr="00B95999" w:rsidRDefault="00DC2DB2" w:rsidP="00EB4A43">
            <w:pPr>
              <w:jc w:val="center"/>
              <w:rPr>
                <w:color w:val="000000"/>
                <w:sz w:val="20"/>
                <w:szCs w:val="20"/>
                <w:lang w:val="it-IT"/>
              </w:rPr>
            </w:pPr>
            <w:proofErr w:type="spellStart"/>
            <w:r w:rsidRPr="00B95999">
              <w:rPr>
                <w:color w:val="000000"/>
                <w:sz w:val="20"/>
                <w:szCs w:val="20"/>
                <w:lang w:val="it-IT"/>
              </w:rPr>
              <w:t>Spain</w:t>
            </w:r>
            <w:proofErr w:type="spellEnd"/>
          </w:p>
        </w:tc>
      </w:tr>
      <w:tr w:rsidR="00DC2DB2" w:rsidRPr="00B95999" w14:paraId="218CE76E" w14:textId="77777777" w:rsidTr="00EB4A43">
        <w:trPr>
          <w:trHeight w:val="315"/>
          <w:jc w:val="center"/>
        </w:trPr>
        <w:tc>
          <w:tcPr>
            <w:tcW w:w="3005" w:type="dxa"/>
            <w:tcBorders>
              <w:top w:val="nil"/>
              <w:left w:val="nil"/>
              <w:bottom w:val="nil"/>
              <w:right w:val="nil"/>
            </w:tcBorders>
            <w:shd w:val="clear" w:color="auto" w:fill="auto"/>
            <w:noWrap/>
            <w:vAlign w:val="center"/>
            <w:hideMark/>
          </w:tcPr>
          <w:p w14:paraId="3098610B" w14:textId="77777777" w:rsidR="00DC2DB2" w:rsidRPr="00B95999" w:rsidRDefault="00DC2DB2" w:rsidP="00EB4A43">
            <w:pPr>
              <w:jc w:val="center"/>
              <w:rPr>
                <w:color w:val="000000"/>
                <w:sz w:val="20"/>
                <w:szCs w:val="20"/>
                <w:lang w:val="it-IT"/>
              </w:rPr>
            </w:pPr>
            <w:proofErr w:type="spellStart"/>
            <w:r w:rsidRPr="00B95999">
              <w:rPr>
                <w:color w:val="000000"/>
                <w:sz w:val="20"/>
                <w:szCs w:val="20"/>
                <w:lang w:val="it-IT"/>
              </w:rPr>
              <w:t>Hainerová</w:t>
            </w:r>
            <w:proofErr w:type="spellEnd"/>
            <w:r w:rsidRPr="00B95999">
              <w:rPr>
                <w:color w:val="000000"/>
                <w:sz w:val="20"/>
                <w:szCs w:val="20"/>
                <w:lang w:val="it-IT"/>
              </w:rPr>
              <w:t>, et al. 2007</w:t>
            </w:r>
            <w:r>
              <w:rPr>
                <w:color w:val="000000"/>
                <w:sz w:val="20"/>
                <w:szCs w:val="20"/>
                <w:lang w:val="it-IT"/>
              </w:rPr>
              <w:fldChar w:fldCharType="begin" w:fldLock="1"/>
            </w:r>
            <w:r>
              <w:rPr>
                <w:color w:val="000000"/>
                <w:sz w:val="20"/>
                <w:szCs w:val="20"/>
                <w:lang w:val="it-IT"/>
              </w:rPr>
              <w:instrText>ADDIN CSL_CITATION {"citationItems":[{"id":"ITEM-1","itemData":{"DOI":"10.1210/jc.2007-0352","ISSN":"0021-972X (Print)","PMID":"17579204","abstract":"BACKGROUND: Mutations in the melanocortin 4 receptor gene (MC4R) represent the most  common known cause of monogenic human obesity. AIMS: The aims of this study were the following: 1) to estimate the prevalence of MC4R mutations in obese Czech children; 2) to evaluate phenotypic features of the mutation carriers; 3) to compare weight, height, and body mass index of MC4R mutation carriers with noncarriers in longitudinal studies; 4) to determine the effect of a weight management program among MC4R mutation carriers; and 5) to perform a functional analysis of a novel variant. SUBJECTS AND METHODS: We analyzed the coding region of MC4R in a cohort of 289 Czech children and adolescents with early-onset obesity by direct sequencing. Information on weight, height, body mass index, baseline biochemical data, and a weight loss follow-up study was obtained. In vitro functional analysis of one novel variant was performed. RESULTS: We identified six different mutations in seven probands: one novel missense mutation Cys84Arg and five previously reported variants, Arg7Cys, Ser19fsdelA, Phe51Leu, Ser127Leu, and Gly181Asp. The Gly181Asp variant was detected in one homozygous carrier from unrelated parents. None of the mutation carriers fulfilled the MC4R syndrome criteria. A comparison of anthropometrics in mutation carriers and noncarriers during 13 yr of follow-up did not reveal any significant differences. MC4R mutation carriers exhibited a similar ability to lose weight as obese noncarriers. The novel variant Cys84Arg showed a significant reduction in cAMP signal properties of the MC4R. CONCLUSIONS: Among obese Czech children, we found a prevalence of 2.4% of MC4R homozygous and heterozygous mutations and showed a similar response to diet management of MC4R mutation carriers and noncarriers.","author":[{"dropping-particle":"","family":"Hainerová","given":"Irena","non-dropping-particle":"","parse-names":false,"suffix":""},{"dropping-particle":"","family":"Larsen","given":"Lesli H","non-dropping-particle":"","parse-names":false,"suffix":""},{"dropping-particle":"","family":"Holst","given":"Birgitte","non-dropping-particle":"","parse-names":false,"suffix":""},{"dropping-particle":"","family":"Finková","given":"Marie","non-dropping-particle":"","parse-names":false,"suffix":""},{"dropping-particle":"","family":"Hainer","given":"Vojtech","non-dropping-particle":"","parse-names":false,"suffix":""},{"dropping-particle":"","family":"Lebl","given":"Jan","non-dropping-particle":"","parse-names":false,"suffix":""},{"dropping-particle":"","family":"Hansen","given":"Torben","non-dropping-particle":"","parse-names":false,"suffix":""},{"dropping-particle":"","family":"Pedersen","given":"Oluf","non-dropping-particle":"","parse-names":false,"suffix":""}],"container-title":"The Journal of clinical endocrinology and metabolism","id":"ITEM-1","issue":"9","issued":{"date-parts":[["2007","9"]]},"language":"eng","page":"3689-3696","publisher-place":"United States","title":"Melanocortin 4 receptor mutations in obese Czech children: studies of prevalence,  phenotype development, weight reduction response, and functional analysis.","type":"article-journal","volume":"92"},"uris":["http://www.mendeley.com/documents/?uuid=3ff8636b-d3f4-4bbf-97bc-9513a5a2e370"]}],"mendeley":{"formattedCitation":"&lt;sup&gt;19&lt;/sup&gt;","plainTextFormattedCitation":"19","previouslyFormattedCitation":"&lt;sup&gt;19&lt;/sup&gt;"},"properties":{"noteIndex":0},"schema":"https://github.com/citation-style-language/schema/raw/master/csl-citation.json"}</w:instrText>
            </w:r>
            <w:r>
              <w:rPr>
                <w:color w:val="000000"/>
                <w:sz w:val="20"/>
                <w:szCs w:val="20"/>
                <w:lang w:val="it-IT"/>
              </w:rPr>
              <w:fldChar w:fldCharType="separate"/>
            </w:r>
            <w:r w:rsidRPr="00B95999">
              <w:rPr>
                <w:noProof/>
                <w:color w:val="000000"/>
                <w:sz w:val="20"/>
                <w:szCs w:val="20"/>
                <w:vertAlign w:val="superscript"/>
                <w:lang w:val="it-IT"/>
              </w:rPr>
              <w:t>19</w:t>
            </w:r>
            <w:r>
              <w:rPr>
                <w:color w:val="000000"/>
                <w:sz w:val="20"/>
                <w:szCs w:val="20"/>
                <w:lang w:val="it-IT"/>
              </w:rPr>
              <w:fldChar w:fldCharType="end"/>
            </w:r>
          </w:p>
        </w:tc>
        <w:tc>
          <w:tcPr>
            <w:tcW w:w="1134" w:type="dxa"/>
            <w:tcBorders>
              <w:top w:val="nil"/>
              <w:left w:val="nil"/>
              <w:bottom w:val="nil"/>
              <w:right w:val="nil"/>
            </w:tcBorders>
            <w:shd w:val="clear" w:color="auto" w:fill="auto"/>
            <w:noWrap/>
            <w:vAlign w:val="center"/>
            <w:hideMark/>
          </w:tcPr>
          <w:p w14:paraId="60CFA3A8" w14:textId="77777777" w:rsidR="00DC2DB2" w:rsidRPr="00B95999" w:rsidRDefault="00DC2DB2" w:rsidP="00EB4A43">
            <w:pPr>
              <w:jc w:val="center"/>
              <w:rPr>
                <w:i/>
                <w:color w:val="000000"/>
                <w:sz w:val="20"/>
                <w:szCs w:val="20"/>
                <w:lang w:val="it-IT"/>
              </w:rPr>
            </w:pPr>
            <w:r w:rsidRPr="00B95999">
              <w:rPr>
                <w:i/>
                <w:color w:val="000000"/>
                <w:sz w:val="20"/>
                <w:szCs w:val="20"/>
                <w:lang w:val="it-IT"/>
              </w:rPr>
              <w:t>MC4R</w:t>
            </w:r>
          </w:p>
        </w:tc>
        <w:tc>
          <w:tcPr>
            <w:tcW w:w="1047" w:type="dxa"/>
            <w:tcBorders>
              <w:top w:val="nil"/>
              <w:left w:val="nil"/>
              <w:bottom w:val="nil"/>
              <w:right w:val="nil"/>
            </w:tcBorders>
            <w:shd w:val="clear" w:color="auto" w:fill="auto"/>
            <w:noWrap/>
            <w:vAlign w:val="center"/>
            <w:hideMark/>
          </w:tcPr>
          <w:p w14:paraId="18C65ADF" w14:textId="77777777" w:rsidR="00DC2DB2" w:rsidRPr="00B95999" w:rsidRDefault="00DC2DB2" w:rsidP="00EB4A43">
            <w:pPr>
              <w:jc w:val="center"/>
              <w:rPr>
                <w:color w:val="000000"/>
                <w:sz w:val="20"/>
                <w:szCs w:val="20"/>
                <w:lang w:val="it-IT"/>
              </w:rPr>
            </w:pPr>
            <w:r w:rsidRPr="00B95999">
              <w:rPr>
                <w:sz w:val="20"/>
                <w:szCs w:val="20"/>
                <w:lang w:val="it-IT"/>
              </w:rPr>
              <w:t>8-4-3</w:t>
            </w:r>
          </w:p>
        </w:tc>
        <w:tc>
          <w:tcPr>
            <w:tcW w:w="1807" w:type="dxa"/>
            <w:tcBorders>
              <w:top w:val="nil"/>
              <w:left w:val="nil"/>
              <w:bottom w:val="nil"/>
              <w:right w:val="nil"/>
            </w:tcBorders>
            <w:shd w:val="clear" w:color="auto" w:fill="auto"/>
            <w:noWrap/>
            <w:vAlign w:val="center"/>
            <w:hideMark/>
          </w:tcPr>
          <w:p w14:paraId="0C98D3A3" w14:textId="77777777" w:rsidR="00DC2DB2" w:rsidRPr="00B95999" w:rsidRDefault="00DC2DB2" w:rsidP="00EB4A43">
            <w:pPr>
              <w:jc w:val="center"/>
              <w:rPr>
                <w:color w:val="000000"/>
                <w:sz w:val="20"/>
                <w:szCs w:val="20"/>
                <w:lang w:val="it-IT"/>
              </w:rPr>
            </w:pPr>
            <w:r w:rsidRPr="00B95999">
              <w:rPr>
                <w:color w:val="000000"/>
                <w:sz w:val="20"/>
                <w:szCs w:val="20"/>
                <w:lang w:val="it-IT"/>
              </w:rPr>
              <w:t>SEOO</w:t>
            </w:r>
          </w:p>
        </w:tc>
        <w:tc>
          <w:tcPr>
            <w:tcW w:w="1733" w:type="dxa"/>
            <w:tcBorders>
              <w:top w:val="nil"/>
              <w:left w:val="nil"/>
              <w:bottom w:val="nil"/>
              <w:right w:val="nil"/>
            </w:tcBorders>
            <w:shd w:val="clear" w:color="auto" w:fill="auto"/>
            <w:noWrap/>
            <w:vAlign w:val="center"/>
            <w:hideMark/>
          </w:tcPr>
          <w:p w14:paraId="5DFBD7A6" w14:textId="77777777" w:rsidR="00DC2DB2" w:rsidRPr="00B95999" w:rsidRDefault="00DC2DB2" w:rsidP="00EB4A43">
            <w:pPr>
              <w:jc w:val="center"/>
              <w:rPr>
                <w:color w:val="000000"/>
                <w:sz w:val="20"/>
                <w:szCs w:val="20"/>
                <w:lang w:val="it-IT"/>
              </w:rPr>
            </w:pPr>
            <w:proofErr w:type="spellStart"/>
            <w:r w:rsidRPr="00B95999">
              <w:rPr>
                <w:color w:val="000000"/>
                <w:sz w:val="20"/>
                <w:szCs w:val="20"/>
                <w:lang w:val="it-IT"/>
              </w:rPr>
              <w:t>Czechia</w:t>
            </w:r>
            <w:proofErr w:type="spellEnd"/>
          </w:p>
        </w:tc>
      </w:tr>
      <w:tr w:rsidR="00DC2DB2" w:rsidRPr="00B95999" w14:paraId="697B4AB1" w14:textId="77777777" w:rsidTr="00EB4A43">
        <w:trPr>
          <w:trHeight w:val="315"/>
          <w:jc w:val="center"/>
        </w:trPr>
        <w:tc>
          <w:tcPr>
            <w:tcW w:w="3005" w:type="dxa"/>
            <w:tcBorders>
              <w:top w:val="nil"/>
              <w:left w:val="nil"/>
              <w:bottom w:val="nil"/>
              <w:right w:val="nil"/>
            </w:tcBorders>
            <w:shd w:val="clear" w:color="auto" w:fill="auto"/>
            <w:noWrap/>
            <w:vAlign w:val="center"/>
            <w:hideMark/>
          </w:tcPr>
          <w:p w14:paraId="35971E8F" w14:textId="77777777" w:rsidR="00DC2DB2" w:rsidRPr="00B95999" w:rsidRDefault="00DC2DB2" w:rsidP="00EB4A43">
            <w:pPr>
              <w:jc w:val="center"/>
              <w:rPr>
                <w:color w:val="000000"/>
                <w:sz w:val="20"/>
                <w:szCs w:val="20"/>
                <w:lang w:val="it-IT"/>
              </w:rPr>
            </w:pPr>
            <w:proofErr w:type="spellStart"/>
            <w:r w:rsidRPr="00B95999">
              <w:rPr>
                <w:color w:val="000000"/>
                <w:sz w:val="20"/>
                <w:szCs w:val="20"/>
                <w:lang w:val="it-IT"/>
              </w:rPr>
              <w:t>Stutzmann</w:t>
            </w:r>
            <w:proofErr w:type="spellEnd"/>
            <w:r w:rsidRPr="00B95999">
              <w:rPr>
                <w:color w:val="000000"/>
                <w:sz w:val="20"/>
                <w:szCs w:val="20"/>
                <w:lang w:val="it-IT"/>
              </w:rPr>
              <w:t>, et al. 2008</w:t>
            </w:r>
            <w:r>
              <w:rPr>
                <w:color w:val="000000"/>
                <w:sz w:val="20"/>
                <w:szCs w:val="20"/>
                <w:lang w:val="it-IT"/>
              </w:rPr>
              <w:fldChar w:fldCharType="begin" w:fldLock="1"/>
            </w:r>
            <w:r>
              <w:rPr>
                <w:color w:val="000000"/>
                <w:sz w:val="20"/>
                <w:szCs w:val="20"/>
                <w:lang w:val="it-IT"/>
              </w:rPr>
              <w:instrText>ADDIN CSL_CITATION {"citationItems":[{"id":"ITEM-1","itemData":{"DOI":"10.2337/db08-0153","ISSN":"1939-327X (Electronic)","PMID":"18559663","abstract":"OBJECTIVE: Melanocortin-4 receptor (MC4R) deficiency is the most frequent genetic  cause of obesity. However, there is uncertainty regarding the degree of penetrance of this condition, and the putative impact of the environment on the development of obesity in MC4R mutation carriers is unknown. RESEARCH DESIGN AND METHODS: We determined the MC4R sequence in 2,257 obese individuals and 2,677 nonobese control subjects of European origin and established the likely functional impact of all variants detected. We then included relatives of probands carriers and studied 25 pedigrees, including 97 carriers and 94 noncarriers from three generations. RESULTS: Of the MC4R nonsynonymous mutations found in obese subjects, 68% resulted in a loss of function in vitro. They were found in 1.72% of obese versus 0.15% of nonobesed subjects (P = 6.9 x 10(-10)). Among the families, abnormal eating behavior was more frequent in both MC4R-deficient children and adults than in noncarriers. Although BMI was inversely associated with educational status in noncarrier adults, no such relationship was seen in MC4R mutation carriers. We observed a generational effect, with a penetrance of 40% in MC4R-deficient adults aged &gt;52 years, 60% in 18- to 52-year-old adults, and 79% in children. The longitudinal study of adult carriers showed an increasing age-dependent penetrance (37% at 20 years versus 60% at &gt;40 years). CONCLUSIONS: We have established a robust estimate of age-related penetrance for MC4R deficiency and demonstrated a generational effect on penetrance, which may relate to the development of an \"obesogenic\" environment. It remains to be seen whether appropriate manipulation of environmental factors may contribute to preventing the development of obesity even in those strongly genetically predisposed to it.","author":[{"dropping-particle":"","family":"Stutzmann","given":"Fanny","non-dropping-particle":"","parse-names":false,"suffix":""},{"dropping-particle":"","family":"Tan","given":"Karen","non-dropping-particle":"","parse-names":false,"suffix":""},{"dropping-particle":"","family":"Vatin","given":"Vincent","non-dropping-particle":"","parse-names":false,"suffix":""},{"dropping-particle":"","family":"Dina","given":"Christian","non-dropping-particle":"","parse-names":false,"suffix":""},{"dropping-particle":"","family":"Jouret","given":"Béatrice","non-dropping-particle":"","parse-names":false,"suffix":""},{"dropping-particle":"","family":"Tichet","given":"Jean","non-dropping-particle":"","parse-names":false,"suffix":""},{"dropping-particle":"","family":"Balkau","given":"Beverley","non-dropping-particle":"","parse-names":false,"suffix":""},{"dropping-particle":"","family":"Potoczna","given":"Natascha","non-dropping-particle":"","parse-names":false,"suffix":""},{"dropping-particle":"","family":"Horber","given":"Fritz","non-dropping-particle":"","parse-names":false,"suffix":""},{"dropping-particle":"","family":"O'Rahilly","given":"Stephen","non-dropping-particle":"","parse-names":false,"suffix":""},{"dropping-particle":"","family":"Farooqi","given":"I Sadaf","non-dropping-particle":"","parse-names":false,"suffix":""},{"dropping-particle":"","family":"Froguel","given":"Philippe","non-dropping-particle":"","parse-names":false,"suffix":""},{"dropping-particle":"","family":"Meyre","given":"David","non-dropping-particle":"","parse-names":false,"suffix":""}],"container-title":"Diabetes","id":"ITEM-1","issue":"9","issued":{"date-parts":[["2008","9"]]},"language":"eng","page":"2511-2518","title":"Prevalence of melanocortin-4 receptor deficiency in Europeans and their  age-dependent penetrance in multigenerational pedigrees.","type":"article-journal","volume":"57"},"uris":["http://www.mendeley.com/documents/?uuid=dabecd10-e90a-4253-acab-489160fcb567"]}],"mendeley":{"formattedCitation":"&lt;sup&gt;20&lt;/sup&gt;","plainTextFormattedCitation":"20","previouslyFormattedCitation":"&lt;sup&gt;20&lt;/sup&gt;"},"properties":{"noteIndex":0},"schema":"https://github.com/citation-style-language/schema/raw/master/csl-citation.json"}</w:instrText>
            </w:r>
            <w:r>
              <w:rPr>
                <w:color w:val="000000"/>
                <w:sz w:val="20"/>
                <w:szCs w:val="20"/>
                <w:lang w:val="it-IT"/>
              </w:rPr>
              <w:fldChar w:fldCharType="separate"/>
            </w:r>
            <w:r w:rsidRPr="00B95999">
              <w:rPr>
                <w:noProof/>
                <w:color w:val="000000"/>
                <w:sz w:val="20"/>
                <w:szCs w:val="20"/>
                <w:vertAlign w:val="superscript"/>
                <w:lang w:val="it-IT"/>
              </w:rPr>
              <w:t>20</w:t>
            </w:r>
            <w:r>
              <w:rPr>
                <w:color w:val="000000"/>
                <w:sz w:val="20"/>
                <w:szCs w:val="20"/>
                <w:lang w:val="it-IT"/>
              </w:rPr>
              <w:fldChar w:fldCharType="end"/>
            </w:r>
          </w:p>
        </w:tc>
        <w:tc>
          <w:tcPr>
            <w:tcW w:w="1134" w:type="dxa"/>
            <w:tcBorders>
              <w:top w:val="nil"/>
              <w:left w:val="nil"/>
              <w:bottom w:val="nil"/>
              <w:right w:val="nil"/>
            </w:tcBorders>
            <w:shd w:val="clear" w:color="auto" w:fill="auto"/>
            <w:noWrap/>
            <w:vAlign w:val="center"/>
            <w:hideMark/>
          </w:tcPr>
          <w:p w14:paraId="017C2540" w14:textId="77777777" w:rsidR="00DC2DB2" w:rsidRPr="00B95999" w:rsidRDefault="00DC2DB2" w:rsidP="00EB4A43">
            <w:pPr>
              <w:jc w:val="center"/>
              <w:rPr>
                <w:i/>
                <w:color w:val="000000"/>
                <w:sz w:val="20"/>
                <w:szCs w:val="20"/>
                <w:lang w:val="it-IT"/>
              </w:rPr>
            </w:pPr>
            <w:r w:rsidRPr="00B95999">
              <w:rPr>
                <w:i/>
                <w:color w:val="000000"/>
                <w:sz w:val="20"/>
                <w:szCs w:val="20"/>
                <w:lang w:val="it-IT"/>
              </w:rPr>
              <w:t>MC4R</w:t>
            </w:r>
          </w:p>
        </w:tc>
        <w:tc>
          <w:tcPr>
            <w:tcW w:w="1047" w:type="dxa"/>
            <w:tcBorders>
              <w:top w:val="nil"/>
              <w:left w:val="nil"/>
              <w:bottom w:val="nil"/>
              <w:right w:val="nil"/>
            </w:tcBorders>
            <w:shd w:val="clear" w:color="auto" w:fill="auto"/>
            <w:noWrap/>
            <w:vAlign w:val="center"/>
            <w:hideMark/>
          </w:tcPr>
          <w:p w14:paraId="12ADBECD" w14:textId="77777777" w:rsidR="00DC2DB2" w:rsidRPr="00B95999" w:rsidRDefault="00DC2DB2" w:rsidP="00EB4A43">
            <w:pPr>
              <w:jc w:val="center"/>
              <w:rPr>
                <w:color w:val="000000"/>
                <w:sz w:val="20"/>
                <w:szCs w:val="20"/>
                <w:lang w:val="it-IT"/>
              </w:rPr>
            </w:pPr>
            <w:r w:rsidRPr="00B95999">
              <w:rPr>
                <w:sz w:val="20"/>
                <w:szCs w:val="20"/>
                <w:lang w:val="it-IT"/>
              </w:rPr>
              <w:t>27-19-12</w:t>
            </w:r>
          </w:p>
        </w:tc>
        <w:tc>
          <w:tcPr>
            <w:tcW w:w="1807" w:type="dxa"/>
            <w:tcBorders>
              <w:top w:val="nil"/>
              <w:left w:val="nil"/>
              <w:bottom w:val="nil"/>
              <w:right w:val="nil"/>
            </w:tcBorders>
            <w:shd w:val="clear" w:color="auto" w:fill="auto"/>
            <w:noWrap/>
            <w:vAlign w:val="center"/>
            <w:hideMark/>
          </w:tcPr>
          <w:p w14:paraId="2E7D7AF1" w14:textId="77777777" w:rsidR="00DC2DB2" w:rsidRPr="00B95999" w:rsidRDefault="00DC2DB2" w:rsidP="00EB4A43">
            <w:pPr>
              <w:jc w:val="center"/>
              <w:rPr>
                <w:color w:val="000000"/>
                <w:sz w:val="20"/>
                <w:szCs w:val="20"/>
                <w:lang w:val="it-IT"/>
              </w:rPr>
            </w:pPr>
            <w:r w:rsidRPr="00B95999">
              <w:rPr>
                <w:color w:val="000000"/>
                <w:sz w:val="20"/>
                <w:szCs w:val="20"/>
                <w:lang w:val="it-IT"/>
              </w:rPr>
              <w:t>EOO, SO</w:t>
            </w:r>
          </w:p>
        </w:tc>
        <w:tc>
          <w:tcPr>
            <w:tcW w:w="1733" w:type="dxa"/>
            <w:tcBorders>
              <w:top w:val="nil"/>
              <w:left w:val="nil"/>
              <w:bottom w:val="nil"/>
              <w:right w:val="nil"/>
            </w:tcBorders>
            <w:shd w:val="clear" w:color="auto" w:fill="auto"/>
            <w:noWrap/>
            <w:vAlign w:val="center"/>
            <w:hideMark/>
          </w:tcPr>
          <w:p w14:paraId="1EE244EF" w14:textId="77777777" w:rsidR="00DC2DB2" w:rsidRPr="00B95999" w:rsidRDefault="00DC2DB2" w:rsidP="00EB4A43">
            <w:pPr>
              <w:jc w:val="center"/>
              <w:rPr>
                <w:color w:val="000000"/>
                <w:sz w:val="20"/>
                <w:szCs w:val="20"/>
                <w:lang w:val="it-IT"/>
              </w:rPr>
            </w:pPr>
            <w:r w:rsidRPr="00B95999">
              <w:rPr>
                <w:color w:val="000000"/>
                <w:sz w:val="20"/>
                <w:szCs w:val="20"/>
                <w:lang w:val="it-IT"/>
              </w:rPr>
              <w:t>France</w:t>
            </w:r>
          </w:p>
        </w:tc>
      </w:tr>
      <w:tr w:rsidR="00DC2DB2" w:rsidRPr="00B95999" w14:paraId="37B0F200" w14:textId="77777777" w:rsidTr="00EB4A43">
        <w:trPr>
          <w:trHeight w:val="315"/>
          <w:jc w:val="center"/>
        </w:trPr>
        <w:tc>
          <w:tcPr>
            <w:tcW w:w="3005" w:type="dxa"/>
            <w:tcBorders>
              <w:top w:val="nil"/>
              <w:left w:val="nil"/>
              <w:bottom w:val="nil"/>
              <w:right w:val="nil"/>
            </w:tcBorders>
            <w:shd w:val="clear" w:color="auto" w:fill="auto"/>
            <w:noWrap/>
            <w:vAlign w:val="center"/>
            <w:hideMark/>
          </w:tcPr>
          <w:p w14:paraId="39ED63E5" w14:textId="77777777" w:rsidR="00DC2DB2" w:rsidRPr="00B95999" w:rsidRDefault="00DC2DB2" w:rsidP="00EB4A43">
            <w:pPr>
              <w:jc w:val="center"/>
              <w:rPr>
                <w:color w:val="000000"/>
                <w:sz w:val="20"/>
                <w:szCs w:val="20"/>
                <w:lang w:val="it-IT"/>
              </w:rPr>
            </w:pPr>
            <w:r w:rsidRPr="00B95999">
              <w:rPr>
                <w:color w:val="000000"/>
                <w:sz w:val="20"/>
                <w:szCs w:val="20"/>
                <w:lang w:val="it-IT"/>
              </w:rPr>
              <w:t>Santoro, et al. 2009</w:t>
            </w:r>
            <w:r>
              <w:rPr>
                <w:color w:val="000000"/>
                <w:sz w:val="20"/>
                <w:szCs w:val="20"/>
                <w:lang w:val="it-IT"/>
              </w:rPr>
              <w:fldChar w:fldCharType="begin" w:fldLock="1"/>
            </w:r>
            <w:r>
              <w:rPr>
                <w:color w:val="000000"/>
                <w:sz w:val="20"/>
                <w:szCs w:val="20"/>
                <w:lang w:val="it-IT"/>
              </w:rPr>
              <w:instrText>ADDIN CSL_CITATION {"citationItems":[{"id":"ITEM-1","itemData":{"DOI":"10.1186/1471-2350-10-25","ISSN":"1471-2350 (Electronic)","PMID":"19284607","abstract":"BACKGROUND: Melanocortin-4-receptor (MC4R) mutations represent the most frequent  genetic cause of non-syndromic early onset obesity. Children carrying MC4R mutations seem to show a particular phenotype characterized by early onset, severe obesity and high stature. To verify whether MC4R mutations are associated with this particular phenotype in the Italian pediatric population, we decided to screen the MC4R gene in a group of obese children selected on the basis of their phenotype. METHODS: To perform this study, a multicentric approach was designed. Particularly, to be enrolled in the study subjects needed to meet the following criteria: Body mass index &gt; or = 3 deviation scores according to age and sex, familiar history of obesity (at least one parent obese), obesity onset before the 10 years old, height &gt; or = 2 deviation scores. The coding region of MC4R gene was screened in 240 obese children (mean age 8.3 +/- 3.1, mean BMI 30.8 +/- 5.4) and in 200 controls (mean age 8.1 +/- 2.8; mean BMI 14.2 +/- 2.5). RESULTS: Three mutations have been found in five obese children. The S127L (C380T), found in three unrelated children, had been described and functionally characterized previously. The Q307X (C919T) and the Y332H (T994C) mutations were found in two patients. Functional studies showed that only Q307X impaired protein function. CONCLUSION: The low prevalence of MC4R mutations (1.6%) in this group of obese children selected according to the obesity degree, the tall stature and the family history of obesity was similar to the prevalence observed in previous screenings performed in obese adults and in not phenotypically selected obese children.","author":[{"dropping-particle":"","family":"Santoro","given":"Nicola","non-dropping-particle":"","parse-names":false,"suffix":""},{"dropping-particle":"","family":"Cirillo","given":"Grazia","non-dropping-particle":"","parse-names":false,"suffix":""},{"dropping-particle":"","family":"Xiang","given":"Zhimin","non-dropping-particle":"","parse-names":false,"suffix":""},{"dropping-particle":"","family":"Tanas","given":"Rita","non-dropping-particle":"","parse-names":false,"suffix":""},{"dropping-particle":"","family":"Greggio","given":"Nella","non-dropping-particle":"","parse-names":false,"suffix":""},{"dropping-particle":"","family":"Morino","given":"Giuseppe","non-dropping-particle":"","parse-names":false,"suffix":""},{"dropping-particle":"","family":"Iughetti","given":"Lorenzo","non-dropping-particle":"","parse-names":false,"suffix":""},{"dropping-particle":"","family":"Vottero","given":"Alessandra","non-dropping-particle":"","parse-names":false,"suffix":""},{"dropping-particle":"","family":"Salvatoni","given":"Alessandro","non-dropping-particle":"","parse-names":false,"suffix":""},{"dropping-particle":"","family":"Pietro","given":"Mario","non-dropping-particle":"Di","parse-names":false,"suffix":""},{"dropping-particle":"","family":"Balsamo","given":"Antonio","non-dropping-particle":"","parse-names":false,"suffix":""},{"dropping-particle":"","family":"Crinò","given":"Antonino","non-dropping-particle":"","parse-names":false,"suffix":""},{"dropping-particle":"","family":"Grandone","given":"Anna","non-dropping-particle":"","parse-names":false,"suffix":""},{"dropping-particle":"","family":"Haskell-Luevano","given":"Carrie","non-dropping-particle":"","parse-names":false,"suffix":""},{"dropping-particle":"","family":"Perrone","given":"Laura","non-dropping-particle":"","parse-names":false,"suffix":""},{"dropping-particle":"","family":"Giudice","given":"Emanuele Miraglia","non-dropping-particle":"del","parse-names":false,"suffix":""}],"container-title":"BMC medical genetics","id":"ITEM-1","issued":{"date-parts":[["2009","3"]]},"language":"eng","page":"25","title":"Prevalence of pathogenetic MC4R mutations in Italian children with early onset  obesity, tall stature and familial history of obesity.","type":"article-journal","volume":"10"},"uris":["http://www.mendeley.com/documents/?uuid=ab0170af-69b1-41d4-8a95-1b3f136818ab"]}],"mendeley":{"formattedCitation":"&lt;sup&gt;21&lt;/sup&gt;","plainTextFormattedCitation":"21","previouslyFormattedCitation":"&lt;sup&gt;21&lt;/sup&gt;"},"properties":{"noteIndex":0},"schema":"https://github.com/citation-style-language/schema/raw/master/csl-citation.json"}</w:instrText>
            </w:r>
            <w:r>
              <w:rPr>
                <w:color w:val="000000"/>
                <w:sz w:val="20"/>
                <w:szCs w:val="20"/>
                <w:lang w:val="it-IT"/>
              </w:rPr>
              <w:fldChar w:fldCharType="separate"/>
            </w:r>
            <w:r w:rsidRPr="00B95999">
              <w:rPr>
                <w:noProof/>
                <w:color w:val="000000"/>
                <w:sz w:val="20"/>
                <w:szCs w:val="20"/>
                <w:vertAlign w:val="superscript"/>
                <w:lang w:val="it-IT"/>
              </w:rPr>
              <w:t>21</w:t>
            </w:r>
            <w:r>
              <w:rPr>
                <w:color w:val="000000"/>
                <w:sz w:val="20"/>
                <w:szCs w:val="20"/>
                <w:lang w:val="it-IT"/>
              </w:rPr>
              <w:fldChar w:fldCharType="end"/>
            </w:r>
          </w:p>
        </w:tc>
        <w:tc>
          <w:tcPr>
            <w:tcW w:w="1134" w:type="dxa"/>
            <w:tcBorders>
              <w:top w:val="nil"/>
              <w:left w:val="nil"/>
              <w:bottom w:val="nil"/>
              <w:right w:val="nil"/>
            </w:tcBorders>
            <w:shd w:val="clear" w:color="auto" w:fill="auto"/>
            <w:noWrap/>
            <w:vAlign w:val="center"/>
            <w:hideMark/>
          </w:tcPr>
          <w:p w14:paraId="631E2673" w14:textId="77777777" w:rsidR="00DC2DB2" w:rsidRPr="00B95999" w:rsidRDefault="00DC2DB2" w:rsidP="00EB4A43">
            <w:pPr>
              <w:jc w:val="center"/>
              <w:rPr>
                <w:i/>
                <w:color w:val="000000"/>
                <w:sz w:val="20"/>
                <w:szCs w:val="20"/>
                <w:lang w:val="it-IT"/>
              </w:rPr>
            </w:pPr>
            <w:r w:rsidRPr="00B95999">
              <w:rPr>
                <w:i/>
                <w:color w:val="000000"/>
                <w:sz w:val="20"/>
                <w:szCs w:val="20"/>
                <w:lang w:val="it-IT"/>
              </w:rPr>
              <w:t>MC4R</w:t>
            </w:r>
          </w:p>
        </w:tc>
        <w:tc>
          <w:tcPr>
            <w:tcW w:w="1047" w:type="dxa"/>
            <w:tcBorders>
              <w:top w:val="nil"/>
              <w:left w:val="nil"/>
              <w:bottom w:val="nil"/>
              <w:right w:val="nil"/>
            </w:tcBorders>
            <w:shd w:val="clear" w:color="auto" w:fill="auto"/>
            <w:noWrap/>
            <w:vAlign w:val="center"/>
            <w:hideMark/>
          </w:tcPr>
          <w:p w14:paraId="16B5F6F3" w14:textId="77777777" w:rsidR="00DC2DB2" w:rsidRPr="00B95999" w:rsidRDefault="00DC2DB2" w:rsidP="00EB4A43">
            <w:pPr>
              <w:jc w:val="center"/>
              <w:rPr>
                <w:color w:val="000000"/>
                <w:sz w:val="20"/>
                <w:szCs w:val="20"/>
                <w:lang w:val="it-IT"/>
              </w:rPr>
            </w:pPr>
            <w:r w:rsidRPr="00B95999">
              <w:rPr>
                <w:sz w:val="20"/>
                <w:szCs w:val="20"/>
                <w:lang w:val="it-IT"/>
              </w:rPr>
              <w:t>5-4-2</w:t>
            </w:r>
          </w:p>
        </w:tc>
        <w:tc>
          <w:tcPr>
            <w:tcW w:w="1807" w:type="dxa"/>
            <w:tcBorders>
              <w:top w:val="nil"/>
              <w:left w:val="nil"/>
              <w:bottom w:val="nil"/>
              <w:right w:val="nil"/>
            </w:tcBorders>
            <w:shd w:val="clear" w:color="auto" w:fill="auto"/>
            <w:noWrap/>
            <w:vAlign w:val="center"/>
            <w:hideMark/>
          </w:tcPr>
          <w:p w14:paraId="5DCF94B4" w14:textId="77777777" w:rsidR="00DC2DB2" w:rsidRPr="00B95999" w:rsidRDefault="00DC2DB2" w:rsidP="00EB4A43">
            <w:pPr>
              <w:jc w:val="center"/>
              <w:rPr>
                <w:color w:val="000000"/>
                <w:sz w:val="20"/>
                <w:szCs w:val="20"/>
                <w:lang w:val="it-IT"/>
              </w:rPr>
            </w:pPr>
            <w:r w:rsidRPr="00B95999">
              <w:rPr>
                <w:color w:val="000000"/>
                <w:sz w:val="20"/>
                <w:szCs w:val="20"/>
                <w:lang w:val="it-IT"/>
              </w:rPr>
              <w:t>SEOO</w:t>
            </w:r>
          </w:p>
        </w:tc>
        <w:tc>
          <w:tcPr>
            <w:tcW w:w="1733" w:type="dxa"/>
            <w:tcBorders>
              <w:top w:val="nil"/>
              <w:left w:val="nil"/>
              <w:bottom w:val="nil"/>
              <w:right w:val="nil"/>
            </w:tcBorders>
            <w:shd w:val="clear" w:color="auto" w:fill="auto"/>
            <w:noWrap/>
            <w:vAlign w:val="center"/>
            <w:hideMark/>
          </w:tcPr>
          <w:p w14:paraId="7F88A1B7" w14:textId="77777777" w:rsidR="00DC2DB2" w:rsidRPr="00B95999" w:rsidRDefault="00DC2DB2" w:rsidP="00EB4A43">
            <w:pPr>
              <w:jc w:val="center"/>
              <w:rPr>
                <w:color w:val="000000"/>
                <w:sz w:val="20"/>
                <w:szCs w:val="20"/>
                <w:lang w:val="it-IT"/>
              </w:rPr>
            </w:pPr>
            <w:proofErr w:type="spellStart"/>
            <w:r w:rsidRPr="00B95999">
              <w:rPr>
                <w:color w:val="000000"/>
                <w:sz w:val="20"/>
                <w:szCs w:val="20"/>
                <w:lang w:val="it-IT"/>
              </w:rPr>
              <w:t>Italy</w:t>
            </w:r>
            <w:proofErr w:type="spellEnd"/>
          </w:p>
        </w:tc>
      </w:tr>
      <w:tr w:rsidR="00DC2DB2" w:rsidRPr="00B95999" w14:paraId="24AEE14C" w14:textId="77777777" w:rsidTr="00EB4A43">
        <w:trPr>
          <w:trHeight w:val="315"/>
          <w:jc w:val="center"/>
        </w:trPr>
        <w:tc>
          <w:tcPr>
            <w:tcW w:w="3005" w:type="dxa"/>
            <w:tcBorders>
              <w:top w:val="nil"/>
              <w:left w:val="nil"/>
              <w:bottom w:val="nil"/>
              <w:right w:val="nil"/>
            </w:tcBorders>
            <w:shd w:val="clear" w:color="auto" w:fill="auto"/>
            <w:noWrap/>
            <w:vAlign w:val="center"/>
            <w:hideMark/>
          </w:tcPr>
          <w:p w14:paraId="1A40C20B" w14:textId="77777777" w:rsidR="00DC2DB2" w:rsidRPr="00B95999" w:rsidRDefault="00DC2DB2" w:rsidP="00EB4A43">
            <w:pPr>
              <w:jc w:val="center"/>
              <w:rPr>
                <w:color w:val="000000"/>
                <w:sz w:val="20"/>
                <w:szCs w:val="20"/>
                <w:lang w:val="it-IT"/>
              </w:rPr>
            </w:pPr>
            <w:r w:rsidRPr="00B95999">
              <w:rPr>
                <w:color w:val="000000"/>
                <w:sz w:val="20"/>
                <w:szCs w:val="20"/>
                <w:lang w:val="it-IT"/>
              </w:rPr>
              <w:t>Albuquerque, et al. 2014</w:t>
            </w:r>
            <w:r>
              <w:rPr>
                <w:color w:val="000000"/>
                <w:sz w:val="20"/>
                <w:szCs w:val="20"/>
                <w:lang w:val="it-IT"/>
              </w:rPr>
              <w:fldChar w:fldCharType="begin" w:fldLock="1"/>
            </w:r>
            <w:r>
              <w:rPr>
                <w:color w:val="000000"/>
                <w:sz w:val="20"/>
                <w:szCs w:val="20"/>
                <w:lang w:val="it-IT"/>
              </w:rPr>
              <w:instrText>ADDIN CSL_CITATION {"citationItems":[{"id":"ITEM-1","itemData":{"DOI":"10.1111/ahg.12058","ISSN":"1469-1809 (Electronic)","PMID":"24611737","abstract":"We screened for mutations in the MC4R and LEPR genes and investigated the  genotype-phenotype correlation in obese individuals belonging to families with evident hereditary patterns of severe and early-onset obesity among the Iberian population. A total of 202 unrelated and severely obese patients since childhood, were enrolled in the study. Bidirectional sequencing of the MC4R gene was carried out in all patients; the LEPR gene was sequenced in 15 individuals based on additional clinical signals. Segregation analysis and/or genotype-phenotype description was performed for subjects with the new mutations and with presumably functional variants. Ten MC4R gene mutations were identified in the heterozygous state in 10 patients. Mutations p.R147G and p.G323E are new and mutations p.R7H, p.G32E, p.H76R, p.V103I, p.S127L, p.T150I, p.I251L and p.G252S were previously described. A new dinucleotide insertion -77_-76insTA in the promoter region of the LEPR gene was found in the heterozygous state in one patient. The new p.R147G and the previously published p.R7H, p.S127L, p.T150I and p.G252S MC4R mutations, cosegregate with obesity in our patients and were predicted to be deleterious. For the novel MC4R p.G323E and LEPR -77_-76insTA gene mutations, the genotype-phenotype correlation and bioinformatic analysis did not clarify whether these mutations are indeed implicated in obesity.","author":[{"dropping-particle":"","family":"Albuquerque","given":"David","non-dropping-particle":"","parse-names":false,"suffix":""},{"dropping-particle":"","family":"Estévez","given":"Manuela Núñez","non-dropping-particle":"","parse-names":false,"suffix":""},{"dropping-particle":"","family":"Víbora","given":"Pilar Beato","non-dropping-particle":"","parse-names":false,"suffix":""},{"dropping-particle":"","family":"Giralt","given":"Plácida Sánchez","non-dropping-particle":"","parse-names":false,"suffix":""},{"dropping-particle":"","family":"Balsera","given":"Aránzazu Margallo","non-dropping-particle":"","parse-names":false,"suffix":""},{"dropping-particle":"","family":"Cortés","given":"Pedro Gil","non-dropping-particle":"","parse-names":false,"suffix":""},{"dropping-particle":"","family":"López","given":"Mercedes Jiménez","non-dropping-particle":"","parse-names":false,"suffix":""},{"dropping-particle":"","family":"Luego","given":"Luis Miguel","non-dropping-particle":"","parse-names":false,"suffix":""},{"dropping-particle":"","family":"Gervasini","given":"Guillermo","non-dropping-particle":"","parse-names":false,"suffix":""},{"dropping-particle":"","family":"Hernández","given":"Sergio Barroso","non-dropping-particle":"","parse-names":false,"suffix":""},{"dropping-particle":"","family":"Arroyo-Díez","given":"Javier","non-dropping-particle":"","parse-names":false,"suffix":""},{"dropping-particle":"","family":"Vacas","given":"Manuel Arrobas","non-dropping-particle":"","parse-names":false,"suffix":""},{"dropping-particle":"","family":"Nóbrega","given":"Clévio","non-dropping-particle":"","parse-names":false,"suffix":""},{"dropping-particle":"","family":"Manco","given":"Licínio","non-dropping-particle":"","parse-names":false,"suffix":""},{"dropping-particle":"","family":"Rodríguez-López","given":"Raquel","non-dropping-particle":"","parse-names":false,"suffix":""}],"container-title":"Annals of human genetics","id":"ITEM-1","issue":"3","issued":{"date-parts":[["2014","5"]]},"language":"eng","page":"195-207","publisher-place":"England","title":"Novel variants in the MC4R and LEPR genes among severely obese children from the  Iberian population.","type":"article-journal","volume":"78"},"uris":["http://www.mendeley.com/documents/?uuid=9f5831d7-6173-4292-95cd-a3b01600d90b"]}],"mendeley":{"formattedCitation":"&lt;sup&gt;22&lt;/sup&gt;","plainTextFormattedCitation":"22","previouslyFormattedCitation":"&lt;sup&gt;22&lt;/sup&gt;"},"properties":{"noteIndex":0},"schema":"https://github.com/citation-style-language/schema/raw/master/csl-citation.json"}</w:instrText>
            </w:r>
            <w:r>
              <w:rPr>
                <w:color w:val="000000"/>
                <w:sz w:val="20"/>
                <w:szCs w:val="20"/>
                <w:lang w:val="it-IT"/>
              </w:rPr>
              <w:fldChar w:fldCharType="separate"/>
            </w:r>
            <w:r w:rsidRPr="00B95999">
              <w:rPr>
                <w:noProof/>
                <w:color w:val="000000"/>
                <w:sz w:val="20"/>
                <w:szCs w:val="20"/>
                <w:vertAlign w:val="superscript"/>
                <w:lang w:val="it-IT"/>
              </w:rPr>
              <w:t>22</w:t>
            </w:r>
            <w:r>
              <w:rPr>
                <w:color w:val="000000"/>
                <w:sz w:val="20"/>
                <w:szCs w:val="20"/>
                <w:lang w:val="it-IT"/>
              </w:rPr>
              <w:fldChar w:fldCharType="end"/>
            </w:r>
          </w:p>
        </w:tc>
        <w:tc>
          <w:tcPr>
            <w:tcW w:w="1134" w:type="dxa"/>
            <w:tcBorders>
              <w:top w:val="nil"/>
              <w:left w:val="nil"/>
              <w:bottom w:val="nil"/>
              <w:right w:val="nil"/>
            </w:tcBorders>
            <w:shd w:val="clear" w:color="auto" w:fill="auto"/>
            <w:noWrap/>
            <w:vAlign w:val="center"/>
            <w:hideMark/>
          </w:tcPr>
          <w:p w14:paraId="4160E3E2" w14:textId="77777777" w:rsidR="00DC2DB2" w:rsidRPr="00B95999" w:rsidRDefault="00DC2DB2" w:rsidP="00EB4A43">
            <w:pPr>
              <w:jc w:val="center"/>
              <w:rPr>
                <w:i/>
                <w:color w:val="000000"/>
                <w:sz w:val="20"/>
                <w:szCs w:val="20"/>
                <w:lang w:val="it-IT"/>
              </w:rPr>
            </w:pPr>
            <w:r w:rsidRPr="00B95999">
              <w:rPr>
                <w:i/>
                <w:color w:val="000000"/>
                <w:sz w:val="20"/>
                <w:szCs w:val="20"/>
                <w:lang w:val="it-IT"/>
              </w:rPr>
              <w:t>MC4R</w:t>
            </w:r>
          </w:p>
        </w:tc>
        <w:tc>
          <w:tcPr>
            <w:tcW w:w="1047" w:type="dxa"/>
            <w:tcBorders>
              <w:top w:val="nil"/>
              <w:left w:val="nil"/>
              <w:bottom w:val="nil"/>
              <w:right w:val="nil"/>
            </w:tcBorders>
            <w:shd w:val="clear" w:color="auto" w:fill="auto"/>
            <w:noWrap/>
            <w:vAlign w:val="center"/>
            <w:hideMark/>
          </w:tcPr>
          <w:p w14:paraId="3D131E4F" w14:textId="77777777" w:rsidR="00DC2DB2" w:rsidRPr="00B95999" w:rsidRDefault="00DC2DB2" w:rsidP="00EB4A43">
            <w:pPr>
              <w:jc w:val="center"/>
              <w:rPr>
                <w:color w:val="000000"/>
                <w:sz w:val="20"/>
                <w:szCs w:val="20"/>
                <w:lang w:val="it-IT"/>
              </w:rPr>
            </w:pPr>
            <w:r w:rsidRPr="00B95999">
              <w:rPr>
                <w:sz w:val="20"/>
                <w:szCs w:val="20"/>
                <w:lang w:val="it-IT"/>
              </w:rPr>
              <w:t>6-6-6</w:t>
            </w:r>
          </w:p>
        </w:tc>
        <w:tc>
          <w:tcPr>
            <w:tcW w:w="1807" w:type="dxa"/>
            <w:tcBorders>
              <w:top w:val="nil"/>
              <w:left w:val="nil"/>
              <w:bottom w:val="nil"/>
              <w:right w:val="nil"/>
            </w:tcBorders>
            <w:shd w:val="clear" w:color="auto" w:fill="auto"/>
            <w:noWrap/>
            <w:vAlign w:val="center"/>
            <w:hideMark/>
          </w:tcPr>
          <w:p w14:paraId="217E81EF" w14:textId="77777777" w:rsidR="00DC2DB2" w:rsidRPr="00B95999" w:rsidRDefault="00DC2DB2" w:rsidP="00EB4A43">
            <w:pPr>
              <w:jc w:val="center"/>
              <w:rPr>
                <w:color w:val="000000"/>
                <w:sz w:val="20"/>
                <w:szCs w:val="20"/>
                <w:lang w:val="it-IT"/>
              </w:rPr>
            </w:pPr>
            <w:r w:rsidRPr="00B95999">
              <w:rPr>
                <w:color w:val="000000"/>
                <w:sz w:val="20"/>
                <w:szCs w:val="20"/>
                <w:lang w:val="it-IT"/>
              </w:rPr>
              <w:t>SEOO</w:t>
            </w:r>
          </w:p>
        </w:tc>
        <w:tc>
          <w:tcPr>
            <w:tcW w:w="1733" w:type="dxa"/>
            <w:tcBorders>
              <w:top w:val="nil"/>
              <w:left w:val="nil"/>
              <w:bottom w:val="nil"/>
              <w:right w:val="nil"/>
            </w:tcBorders>
            <w:shd w:val="clear" w:color="auto" w:fill="auto"/>
            <w:noWrap/>
            <w:vAlign w:val="center"/>
            <w:hideMark/>
          </w:tcPr>
          <w:p w14:paraId="0D4B815F" w14:textId="77777777" w:rsidR="00DC2DB2" w:rsidRPr="00B95999" w:rsidRDefault="00DC2DB2" w:rsidP="00EB4A43">
            <w:pPr>
              <w:jc w:val="center"/>
              <w:rPr>
                <w:color w:val="000000"/>
                <w:sz w:val="20"/>
                <w:szCs w:val="20"/>
                <w:lang w:val="it-IT"/>
              </w:rPr>
            </w:pPr>
            <w:proofErr w:type="spellStart"/>
            <w:r w:rsidRPr="00B95999">
              <w:rPr>
                <w:color w:val="000000"/>
                <w:sz w:val="20"/>
                <w:szCs w:val="20"/>
                <w:lang w:val="it-IT"/>
              </w:rPr>
              <w:t>Spain</w:t>
            </w:r>
            <w:proofErr w:type="spellEnd"/>
            <w:r w:rsidRPr="00B95999">
              <w:rPr>
                <w:color w:val="000000"/>
                <w:sz w:val="20"/>
                <w:szCs w:val="20"/>
                <w:lang w:val="it-IT"/>
              </w:rPr>
              <w:t>, Portugal</w:t>
            </w:r>
          </w:p>
        </w:tc>
      </w:tr>
      <w:tr w:rsidR="00DC2DB2" w:rsidRPr="00B95999" w14:paraId="2DE0C68E" w14:textId="77777777" w:rsidTr="00EB4A43">
        <w:trPr>
          <w:trHeight w:val="315"/>
          <w:jc w:val="center"/>
        </w:trPr>
        <w:tc>
          <w:tcPr>
            <w:tcW w:w="3005" w:type="dxa"/>
            <w:tcBorders>
              <w:top w:val="nil"/>
              <w:left w:val="nil"/>
              <w:bottom w:val="nil"/>
              <w:right w:val="nil"/>
            </w:tcBorders>
            <w:shd w:val="clear" w:color="auto" w:fill="auto"/>
            <w:noWrap/>
            <w:vAlign w:val="center"/>
            <w:hideMark/>
          </w:tcPr>
          <w:p w14:paraId="6405D488" w14:textId="77777777" w:rsidR="00DC2DB2" w:rsidRPr="00B95999" w:rsidRDefault="00DC2DB2" w:rsidP="00EB4A43">
            <w:pPr>
              <w:jc w:val="center"/>
              <w:rPr>
                <w:color w:val="000000"/>
                <w:sz w:val="20"/>
                <w:szCs w:val="20"/>
                <w:lang w:val="it-IT"/>
              </w:rPr>
            </w:pPr>
            <w:proofErr w:type="spellStart"/>
            <w:r w:rsidRPr="00B95999">
              <w:rPr>
                <w:color w:val="000000"/>
                <w:sz w:val="20"/>
                <w:szCs w:val="20"/>
                <w:lang w:val="it-IT"/>
              </w:rPr>
              <w:t>Stanikova</w:t>
            </w:r>
            <w:proofErr w:type="spellEnd"/>
            <w:r w:rsidRPr="00B95999">
              <w:rPr>
                <w:color w:val="000000"/>
                <w:sz w:val="20"/>
                <w:szCs w:val="20"/>
                <w:lang w:val="it-IT"/>
              </w:rPr>
              <w:t>, et al. 2015</w:t>
            </w:r>
            <w:r>
              <w:rPr>
                <w:color w:val="000000"/>
                <w:sz w:val="20"/>
                <w:szCs w:val="20"/>
                <w:lang w:val="it-IT"/>
              </w:rPr>
              <w:fldChar w:fldCharType="begin" w:fldLock="1"/>
            </w:r>
            <w:r>
              <w:rPr>
                <w:color w:val="000000"/>
                <w:sz w:val="20"/>
                <w:szCs w:val="20"/>
                <w:lang w:val="it-IT"/>
              </w:rPr>
              <w:instrText>ADDIN CSL_CITATION {"citationItems":[{"id":"ITEM-1","itemData":{"DOI":"10.33549/physiolres.932968","ISSN":"1802-9973 (Electronic)","PMID":"26047380","abstract":"The most common etiology of non-syndromic monogenic obesity are mutations in gene  for the Melanocortin-4 receptor (MC485) with variable prevalence in different countries (1.2-6.3 % of obese children). The aim of our study was 1) to search for MC4R mutations in obese children in Slovakia and compare their prevalence with other European countries, and 2) to describe the phenotype of the mutation carriers. DNA analysis by direct Sanger sequencing of the coding exons and intron/exon boundaries of the MC4R gene was performed in 268 unrelated Slovak children and adolescents with body mass index above the 97(th) percentile for age and sex and obesity onset up to 11 years (mean 4.3+/-2.8 years). Two different previously described heterozygous loss of function MC4R variants (i.e. p.Ser19Alafs*34, p.Ser127Leu) were identified in two obese probands, and one obese (p.Ser19Alafs*34), and one lean (p.Ser127Leu) adult family relatives. No loss of function variants were found in lean controls. The prevalence of loss-of-function MC4R variants in obese Slovak children was 0.7 %, what is one of the lowest frequencies in Europe.","author":[{"dropping-particle":"","family":"Stanikova","given":"D","non-dropping-particle":"","parse-names":false,"suffix":""},{"dropping-particle":"","family":"Surova","given":"M","non-dropping-particle":"","parse-names":false,"suffix":""},{"dropping-particle":"","family":"Ticha","given":"L","non-dropping-particle":"","parse-names":false,"suffix":""},{"dropping-particle":"","family":"Petrasova","given":"M","non-dropping-particle":"","parse-names":false,"suffix":""},{"dropping-particle":"","family":"Virgova","given":"D","non-dropping-particle":"","parse-names":false,"suffix":""},{"dropping-particle":"","family":"Huckova","given":"M","non-dropping-particle":"","parse-names":false,"suffix":""},{"dropping-particle":"","family":"Skopkova","given":"M","non-dropping-particle":"","parse-names":false,"suffix":""},{"dropping-particle":"","family":"Lobotkova","given":"D","non-dropping-particle":"","parse-names":false,"suffix":""},{"dropping-particle":"","family":"Valentinova","given":"L","non-dropping-particle":"","parse-names":false,"suffix":""},{"dropping-particle":"","family":"Mokan","given":"M","non-dropping-particle":"","parse-names":false,"suffix":""},{"dropping-particle":"","family":"Stanik","given":"J","non-dropping-particle":"","parse-names":false,"suffix":""},{"dropping-particle":"","family":"Klimes","given":"I","non-dropping-particle":"","parse-names":false,"suffix":""},{"dropping-particle":"","family":"Gasperikova","given":"D","non-dropping-particle":"","parse-names":false,"suffix":""}],"container-title":"Physiological research","id":"ITEM-1","issue":"6","issued":{"date-parts":[["2015"]]},"language":"eng","page":"883-890","publisher-place":"Czech Republic","title":"Melanocortin-4 receptor gene mutations in obese Slovak children.","type":"article-journal","volume":"64"},"uris":["http://www.mendeley.com/documents/?uuid=95fe31da-0350-41e9-a690-e5ce2fff4322"]}],"mendeley":{"formattedCitation":"&lt;sup&gt;23&lt;/sup&gt;","plainTextFormattedCitation":"23","previouslyFormattedCitation":"&lt;sup&gt;23&lt;/sup&gt;"},"properties":{"noteIndex":0},"schema":"https://github.com/citation-style-language/schema/raw/master/csl-citation.json"}</w:instrText>
            </w:r>
            <w:r>
              <w:rPr>
                <w:color w:val="000000"/>
                <w:sz w:val="20"/>
                <w:szCs w:val="20"/>
                <w:lang w:val="it-IT"/>
              </w:rPr>
              <w:fldChar w:fldCharType="separate"/>
            </w:r>
            <w:r w:rsidRPr="00B95999">
              <w:rPr>
                <w:noProof/>
                <w:color w:val="000000"/>
                <w:sz w:val="20"/>
                <w:szCs w:val="20"/>
                <w:vertAlign w:val="superscript"/>
                <w:lang w:val="it-IT"/>
              </w:rPr>
              <w:t>23</w:t>
            </w:r>
            <w:r>
              <w:rPr>
                <w:color w:val="000000"/>
                <w:sz w:val="20"/>
                <w:szCs w:val="20"/>
                <w:lang w:val="it-IT"/>
              </w:rPr>
              <w:fldChar w:fldCharType="end"/>
            </w:r>
          </w:p>
        </w:tc>
        <w:tc>
          <w:tcPr>
            <w:tcW w:w="1134" w:type="dxa"/>
            <w:tcBorders>
              <w:top w:val="nil"/>
              <w:left w:val="nil"/>
              <w:bottom w:val="nil"/>
              <w:right w:val="nil"/>
            </w:tcBorders>
            <w:shd w:val="clear" w:color="auto" w:fill="auto"/>
            <w:noWrap/>
            <w:vAlign w:val="center"/>
            <w:hideMark/>
          </w:tcPr>
          <w:p w14:paraId="4EB760E3" w14:textId="77777777" w:rsidR="00DC2DB2" w:rsidRPr="00B95999" w:rsidRDefault="00DC2DB2" w:rsidP="00EB4A43">
            <w:pPr>
              <w:jc w:val="center"/>
              <w:rPr>
                <w:i/>
                <w:color w:val="000000"/>
                <w:sz w:val="20"/>
                <w:szCs w:val="20"/>
                <w:lang w:val="it-IT"/>
              </w:rPr>
            </w:pPr>
            <w:r w:rsidRPr="00B95999">
              <w:rPr>
                <w:i/>
                <w:color w:val="000000"/>
                <w:sz w:val="20"/>
                <w:szCs w:val="20"/>
                <w:lang w:val="it-IT"/>
              </w:rPr>
              <w:t>MC4R</w:t>
            </w:r>
          </w:p>
        </w:tc>
        <w:tc>
          <w:tcPr>
            <w:tcW w:w="1047" w:type="dxa"/>
            <w:tcBorders>
              <w:top w:val="nil"/>
              <w:left w:val="nil"/>
              <w:bottom w:val="nil"/>
              <w:right w:val="nil"/>
            </w:tcBorders>
            <w:shd w:val="clear" w:color="auto" w:fill="auto"/>
            <w:noWrap/>
            <w:vAlign w:val="center"/>
            <w:hideMark/>
          </w:tcPr>
          <w:p w14:paraId="6C0CCB7D" w14:textId="77777777" w:rsidR="00DC2DB2" w:rsidRPr="00B95999" w:rsidRDefault="00DC2DB2" w:rsidP="00EB4A43">
            <w:pPr>
              <w:jc w:val="center"/>
              <w:rPr>
                <w:color w:val="000000"/>
                <w:sz w:val="20"/>
                <w:szCs w:val="20"/>
                <w:lang w:val="it-IT"/>
              </w:rPr>
            </w:pPr>
            <w:r w:rsidRPr="00B95999">
              <w:rPr>
                <w:sz w:val="20"/>
                <w:szCs w:val="20"/>
                <w:lang w:val="it-IT"/>
              </w:rPr>
              <w:t>2-2-2</w:t>
            </w:r>
          </w:p>
        </w:tc>
        <w:tc>
          <w:tcPr>
            <w:tcW w:w="1807" w:type="dxa"/>
            <w:tcBorders>
              <w:top w:val="nil"/>
              <w:left w:val="nil"/>
              <w:bottom w:val="nil"/>
              <w:right w:val="nil"/>
            </w:tcBorders>
            <w:shd w:val="clear" w:color="auto" w:fill="auto"/>
            <w:noWrap/>
            <w:vAlign w:val="center"/>
            <w:hideMark/>
          </w:tcPr>
          <w:p w14:paraId="41E7713F" w14:textId="77777777" w:rsidR="00DC2DB2" w:rsidRPr="00B95999" w:rsidRDefault="00DC2DB2" w:rsidP="00EB4A43">
            <w:pPr>
              <w:jc w:val="center"/>
              <w:rPr>
                <w:color w:val="000000"/>
                <w:sz w:val="20"/>
                <w:szCs w:val="20"/>
                <w:lang w:val="it-IT"/>
              </w:rPr>
            </w:pPr>
            <w:r w:rsidRPr="00B95999">
              <w:rPr>
                <w:color w:val="000000"/>
                <w:sz w:val="20"/>
                <w:szCs w:val="20"/>
                <w:lang w:val="it-IT"/>
              </w:rPr>
              <w:t>SEOO</w:t>
            </w:r>
          </w:p>
        </w:tc>
        <w:tc>
          <w:tcPr>
            <w:tcW w:w="1733" w:type="dxa"/>
            <w:tcBorders>
              <w:top w:val="nil"/>
              <w:left w:val="nil"/>
              <w:bottom w:val="nil"/>
              <w:right w:val="nil"/>
            </w:tcBorders>
            <w:shd w:val="clear" w:color="auto" w:fill="auto"/>
            <w:noWrap/>
            <w:vAlign w:val="center"/>
            <w:hideMark/>
          </w:tcPr>
          <w:p w14:paraId="66F05B05" w14:textId="77777777" w:rsidR="00DC2DB2" w:rsidRPr="00B95999" w:rsidRDefault="00DC2DB2" w:rsidP="00EB4A43">
            <w:pPr>
              <w:jc w:val="center"/>
              <w:rPr>
                <w:color w:val="000000"/>
                <w:sz w:val="20"/>
                <w:szCs w:val="20"/>
                <w:lang w:val="it-IT"/>
              </w:rPr>
            </w:pPr>
            <w:proofErr w:type="spellStart"/>
            <w:r w:rsidRPr="00B95999">
              <w:rPr>
                <w:color w:val="000000"/>
                <w:sz w:val="20"/>
                <w:szCs w:val="20"/>
                <w:lang w:val="it-IT"/>
              </w:rPr>
              <w:t>Slovakia</w:t>
            </w:r>
            <w:proofErr w:type="spellEnd"/>
          </w:p>
        </w:tc>
      </w:tr>
      <w:tr w:rsidR="00DC2DB2" w:rsidRPr="00B95999" w14:paraId="046B7E5C" w14:textId="77777777" w:rsidTr="00EB4A43">
        <w:trPr>
          <w:trHeight w:val="315"/>
          <w:jc w:val="center"/>
        </w:trPr>
        <w:tc>
          <w:tcPr>
            <w:tcW w:w="3005" w:type="dxa"/>
            <w:tcBorders>
              <w:top w:val="nil"/>
              <w:left w:val="nil"/>
              <w:bottom w:val="nil"/>
              <w:right w:val="nil"/>
            </w:tcBorders>
            <w:shd w:val="clear" w:color="auto" w:fill="auto"/>
            <w:noWrap/>
            <w:vAlign w:val="center"/>
          </w:tcPr>
          <w:p w14:paraId="232DF31B" w14:textId="77777777" w:rsidR="00DC2DB2" w:rsidRPr="00B95999" w:rsidRDefault="00DC2DB2" w:rsidP="00EB4A43">
            <w:pPr>
              <w:jc w:val="center"/>
              <w:rPr>
                <w:color w:val="000000"/>
                <w:sz w:val="20"/>
                <w:szCs w:val="20"/>
                <w:lang w:val="it-IT"/>
              </w:rPr>
            </w:pPr>
            <w:proofErr w:type="spellStart"/>
            <w:r w:rsidRPr="00B95999">
              <w:rPr>
                <w:color w:val="000000"/>
                <w:sz w:val="20"/>
                <w:szCs w:val="20"/>
                <w:lang w:val="it-IT"/>
              </w:rPr>
              <w:t>Granell</w:t>
            </w:r>
            <w:proofErr w:type="spellEnd"/>
            <w:r w:rsidRPr="00B95999">
              <w:rPr>
                <w:color w:val="000000"/>
                <w:sz w:val="20"/>
                <w:szCs w:val="20"/>
                <w:lang w:val="it-IT"/>
              </w:rPr>
              <w:t>, et al. 2015</w:t>
            </w:r>
            <w:r>
              <w:rPr>
                <w:color w:val="000000"/>
                <w:sz w:val="20"/>
                <w:szCs w:val="20"/>
                <w:lang w:val="it-IT"/>
              </w:rPr>
              <w:fldChar w:fldCharType="begin" w:fldLock="1"/>
            </w:r>
            <w:r>
              <w:rPr>
                <w:color w:val="000000"/>
                <w:sz w:val="20"/>
                <w:szCs w:val="20"/>
                <w:lang w:val="it-IT"/>
              </w:rPr>
              <w:instrText>ADDIN CSL_CITATION {"citationItems":[{"id":"ITEM-1","itemData":{"DOI":"10.1371/journal.pone.0050894","ISSN":"1932-6203 (Electronic)","PMID":"23251400","abstract":"Heterozygous mutations in the melanocortin-4 receptor (MC4R) gene represent the most  frequent cause of monogenic obesity in humans. MC4R mutation analysis in a cohort of 77 children with morbid obesity identified previously unreported heterozygous mutations (P272L, N74I) in two patients inherited from their obese mothers. A rare polymorphism (I251L, allelic frequency: 1/100) reported to protect against obesity was found in another obese patient. When expressed in neuronal cells, the cell surface abundance of wild-type MC4R and of the N74I and I251L variants and the cAMP generated by these receptors in response to exposure to the agonist, α-MSH, were not different. Conversely, MC4R P272L was retained in the endoplasmic reticulum and had reduced cell surface expression and signaling (by ≈ 3-fold). The chemical chaperone PBA, which promotes protein folding of wild-type MC4R, had minimal effects on the distribution and signaling of the P272L variant. In contrast, incubation with UBE-41, a specific inhibitor of ubiquitin activating enzyme E1, inhibited ubiquitination of MC4R P272L and increased its cell surface expression and signaling to similar levels as wild-type MC4R. UBE41 had much less profound effects on MC4R I316S, another obesity-linked MC4R variant trapped in the ER. These data suggest that P272L is retained in the ER by a propensity to be ubiquitinated in the face of correct folding, which is only minimally shared by MC4R I316S. Thus, studies that combine clinical screening of obese patients and investigation of the functional defects of the obesity-linked MC4R variants can identify specific ways to correct these defects and are the first steps towards personalized medicine.","author":[{"dropping-particle":"","family":"Granell","given":"Susana","non-dropping-particle":"","parse-names":false,"suffix":""},{"dropping-particle":"","family":"Serra-Juhé","given":"Clara","non-dropping-particle":"","parse-names":false,"suffix":""},{"dropping-particle":"","family":"Martos-Moreno","given":"Gabriel Á","non-dropping-particle":"","parse-names":false,"suffix":""},{"dropping-particle":"","family":"Díaz","given":"Francisca","non-dropping-particle":"","parse-names":false,"suffix":""},{"dropping-particle":"","family":"Pérez-Jurado","given":"Luis A","non-dropping-particle":"","parse-names":false,"suffix":""},{"dropping-particle":"","family":"Baldini","given":"Giulia","non-dropping-particle":"","parse-names":false,"suffix":""},{"dropping-particle":"","family":"Argente","given":"Jesús","non-dropping-particle":"","parse-names":false,"suffix":""}],"container-title":"PloS one","id":"ITEM-1","issue":"12","issued":{"date-parts":[["2012"]]},"language":"eng","page":"e50894","title":"A novel melanocortin-4 receptor mutation MC4R-P272L associated with severe obesity  has increased propensity to be ubiquitinated in the ER in the face of correct folding.","type":"article-journal","volume":"7"},"uris":["http://www.mendeley.com/documents/?uuid=aef90201-a886-49c9-b943-7ea1ddfa45da"]}],"mendeley":{"formattedCitation":"&lt;sup&gt;24&lt;/sup&gt;","plainTextFormattedCitation":"24","previouslyFormattedCitation":"&lt;sup&gt;24&lt;/sup&gt;"},"properties":{"noteIndex":0},"schema":"https://github.com/citation-style-language/schema/raw/master/csl-citation.json"}</w:instrText>
            </w:r>
            <w:r>
              <w:rPr>
                <w:color w:val="000000"/>
                <w:sz w:val="20"/>
                <w:szCs w:val="20"/>
                <w:lang w:val="it-IT"/>
              </w:rPr>
              <w:fldChar w:fldCharType="separate"/>
            </w:r>
            <w:r w:rsidRPr="00B95999">
              <w:rPr>
                <w:noProof/>
                <w:color w:val="000000"/>
                <w:sz w:val="20"/>
                <w:szCs w:val="20"/>
                <w:vertAlign w:val="superscript"/>
                <w:lang w:val="it-IT"/>
              </w:rPr>
              <w:t>24</w:t>
            </w:r>
            <w:r>
              <w:rPr>
                <w:color w:val="000000"/>
                <w:sz w:val="20"/>
                <w:szCs w:val="20"/>
                <w:lang w:val="it-IT"/>
              </w:rPr>
              <w:fldChar w:fldCharType="end"/>
            </w:r>
          </w:p>
        </w:tc>
        <w:tc>
          <w:tcPr>
            <w:tcW w:w="1134" w:type="dxa"/>
            <w:tcBorders>
              <w:top w:val="nil"/>
              <w:left w:val="nil"/>
              <w:bottom w:val="nil"/>
              <w:right w:val="nil"/>
            </w:tcBorders>
            <w:shd w:val="clear" w:color="auto" w:fill="auto"/>
            <w:noWrap/>
            <w:vAlign w:val="center"/>
          </w:tcPr>
          <w:p w14:paraId="34D40B28" w14:textId="77777777" w:rsidR="00DC2DB2" w:rsidRPr="00B95999" w:rsidRDefault="00DC2DB2" w:rsidP="00EB4A43">
            <w:pPr>
              <w:jc w:val="center"/>
              <w:rPr>
                <w:i/>
                <w:color w:val="000000"/>
                <w:sz w:val="20"/>
                <w:szCs w:val="20"/>
                <w:lang w:val="it-IT"/>
              </w:rPr>
            </w:pPr>
            <w:r w:rsidRPr="00B95999">
              <w:rPr>
                <w:i/>
                <w:color w:val="000000"/>
                <w:sz w:val="20"/>
                <w:szCs w:val="20"/>
                <w:lang w:val="it-IT"/>
              </w:rPr>
              <w:t>MC4R</w:t>
            </w:r>
          </w:p>
        </w:tc>
        <w:tc>
          <w:tcPr>
            <w:tcW w:w="1047" w:type="dxa"/>
            <w:tcBorders>
              <w:top w:val="nil"/>
              <w:left w:val="nil"/>
              <w:bottom w:val="nil"/>
              <w:right w:val="nil"/>
            </w:tcBorders>
            <w:shd w:val="clear" w:color="auto" w:fill="auto"/>
            <w:noWrap/>
            <w:vAlign w:val="center"/>
          </w:tcPr>
          <w:p w14:paraId="45BCC7C9" w14:textId="77777777" w:rsidR="00DC2DB2" w:rsidRPr="00B95999" w:rsidRDefault="00DC2DB2" w:rsidP="00EB4A43">
            <w:pPr>
              <w:jc w:val="center"/>
              <w:rPr>
                <w:sz w:val="20"/>
                <w:szCs w:val="20"/>
                <w:lang w:val="it-IT"/>
              </w:rPr>
            </w:pPr>
            <w:r w:rsidRPr="00B95999">
              <w:rPr>
                <w:sz w:val="20"/>
                <w:szCs w:val="20"/>
                <w:lang w:val="it-IT"/>
              </w:rPr>
              <w:t>1-1-1</w:t>
            </w:r>
          </w:p>
        </w:tc>
        <w:tc>
          <w:tcPr>
            <w:tcW w:w="1807" w:type="dxa"/>
            <w:tcBorders>
              <w:top w:val="nil"/>
              <w:left w:val="nil"/>
              <w:bottom w:val="nil"/>
              <w:right w:val="nil"/>
            </w:tcBorders>
            <w:shd w:val="clear" w:color="auto" w:fill="auto"/>
            <w:noWrap/>
            <w:vAlign w:val="center"/>
          </w:tcPr>
          <w:p w14:paraId="76494415" w14:textId="77777777" w:rsidR="00DC2DB2" w:rsidRPr="00B95999" w:rsidRDefault="00DC2DB2" w:rsidP="00EB4A43">
            <w:pPr>
              <w:jc w:val="center"/>
              <w:rPr>
                <w:color w:val="000000"/>
                <w:sz w:val="20"/>
                <w:szCs w:val="20"/>
                <w:lang w:val="it-IT"/>
              </w:rPr>
            </w:pPr>
            <w:r w:rsidRPr="00B95999">
              <w:rPr>
                <w:color w:val="000000"/>
                <w:sz w:val="20"/>
                <w:szCs w:val="20"/>
                <w:lang w:val="it-IT"/>
              </w:rPr>
              <w:t>SEOO</w:t>
            </w:r>
          </w:p>
        </w:tc>
        <w:tc>
          <w:tcPr>
            <w:tcW w:w="1733" w:type="dxa"/>
            <w:tcBorders>
              <w:top w:val="nil"/>
              <w:left w:val="nil"/>
              <w:bottom w:val="nil"/>
              <w:right w:val="nil"/>
            </w:tcBorders>
            <w:shd w:val="clear" w:color="auto" w:fill="auto"/>
            <w:noWrap/>
            <w:vAlign w:val="center"/>
          </w:tcPr>
          <w:p w14:paraId="73C5C034" w14:textId="77777777" w:rsidR="00DC2DB2" w:rsidRPr="00B95999" w:rsidRDefault="00DC2DB2" w:rsidP="00EB4A43">
            <w:pPr>
              <w:jc w:val="center"/>
              <w:rPr>
                <w:color w:val="000000"/>
                <w:sz w:val="20"/>
                <w:szCs w:val="20"/>
                <w:lang w:val="it-IT"/>
              </w:rPr>
            </w:pPr>
            <w:proofErr w:type="spellStart"/>
            <w:r w:rsidRPr="00B95999">
              <w:rPr>
                <w:color w:val="000000"/>
                <w:sz w:val="20"/>
                <w:szCs w:val="20"/>
                <w:lang w:val="it-IT"/>
              </w:rPr>
              <w:t>Spain</w:t>
            </w:r>
            <w:proofErr w:type="spellEnd"/>
          </w:p>
        </w:tc>
      </w:tr>
      <w:tr w:rsidR="00DC2DB2" w:rsidRPr="00B95999" w14:paraId="6B7385FA" w14:textId="77777777" w:rsidTr="00EB4A43">
        <w:trPr>
          <w:trHeight w:val="315"/>
          <w:jc w:val="center"/>
        </w:trPr>
        <w:tc>
          <w:tcPr>
            <w:tcW w:w="3005" w:type="dxa"/>
            <w:tcBorders>
              <w:top w:val="nil"/>
              <w:left w:val="nil"/>
              <w:right w:val="nil"/>
            </w:tcBorders>
            <w:shd w:val="clear" w:color="auto" w:fill="auto"/>
            <w:noWrap/>
            <w:vAlign w:val="center"/>
            <w:hideMark/>
          </w:tcPr>
          <w:p w14:paraId="2ADB3F74" w14:textId="77777777" w:rsidR="00DC2DB2" w:rsidRPr="00B95999" w:rsidRDefault="00DC2DB2" w:rsidP="00EB4A43">
            <w:pPr>
              <w:jc w:val="center"/>
              <w:rPr>
                <w:color w:val="000000"/>
                <w:sz w:val="20"/>
                <w:szCs w:val="20"/>
                <w:lang w:val="it-IT"/>
              </w:rPr>
            </w:pPr>
            <w:proofErr w:type="spellStart"/>
            <w:r w:rsidRPr="00B95999">
              <w:rPr>
                <w:color w:val="000000"/>
                <w:sz w:val="20"/>
                <w:szCs w:val="20"/>
                <w:lang w:val="it-IT"/>
              </w:rPr>
              <w:t>Vollbach</w:t>
            </w:r>
            <w:proofErr w:type="spellEnd"/>
            <w:r w:rsidRPr="00B95999">
              <w:rPr>
                <w:color w:val="000000"/>
                <w:sz w:val="20"/>
                <w:szCs w:val="20"/>
                <w:lang w:val="it-IT"/>
              </w:rPr>
              <w:t>, et al. 2016</w:t>
            </w:r>
            <w:r>
              <w:rPr>
                <w:color w:val="000000"/>
                <w:sz w:val="20"/>
                <w:szCs w:val="20"/>
                <w:lang w:val="it-IT"/>
              </w:rPr>
              <w:fldChar w:fldCharType="begin" w:fldLock="1"/>
            </w:r>
            <w:r>
              <w:rPr>
                <w:color w:val="000000"/>
                <w:sz w:val="20"/>
                <w:szCs w:val="20"/>
                <w:lang w:val="it-IT"/>
              </w:rPr>
              <w:instrText>ADDIN CSL_CITATION {"citationItems":[{"id":"ITEM-1","itemData":{"DOI":"10.1038/ijo.2016.161","ISSN":"1476-5497 (Electronic)","PMID":"27654141","abstract":"OBJECTIVE: We aimed to determine the prevalence of melanocortin-4 receptor (MC4R)  variants in a large German cohort of children with obesity in a pediatric outpatient clinic and to ascertain whether there is a specific phenotype associated with loss-of-function variants as previously reported. STUDY DESIGN: Eight hundred and ninety-nine patients from our pediatric obesity clinic were screened for MC4R variants by DNA sequencing after PCR amplification. Retrospective statistical analysis of anthropometric and metabolic characteristics was performed, comparing patients with and without MC4R variants across the entire cohort (n=586) as well as in case-control analysis using patients with common sequence MC4R individually matched for age, sex and body mass index standard deviation score (SDS) (n=11 case-control pairs). RESULTS: We identified heterozygous variants within the coding region of the MC4R gene in n=22 (2.45%) patients. Fourteen (1.56%) had a variant that impaired receptor function. One new frameshift (p.F152Sfs), an yet unpublished nonsense mutation (p.Q156X) and one nonsynonymous variation (p.V65E) described in the Mouse Genome Database were detected. Across the whole cohort, at all ages, mean height SDS in subjects with impaired receptor function was higher than in patients with common sequence MC4R. In matched individuals, this trend persisted (8 of the 11 pairs) within the case-control setting. No differences were found regarding metabolic characteristics. CONCLUSIONS: The observed prevalence of mutations causing impaired receptor function in this large cohort is comparable to other pediatric cohorts. MC4R deficiency tends to lead to a taller stature, confirming previous clinical reports. The association of MC4R mutations with a distinct phenotype concerning metabolic characteristics remains questionable.","author":[{"dropping-particle":"","family":"Vollbach","given":"H","non-dropping-particle":"","parse-names":false,"suffix":""},{"dropping-particle":"","family":"Brandt","given":"S","non-dropping-particle":"","parse-names":false,"suffix":""},{"dropping-particle":"","family":"Lahr","given":"G","non-dropping-particle":"","parse-names":false,"suffix":""},{"dropping-particle":"","family":"Denzer","given":"C","non-dropping-particle":"","parse-names":false,"suffix":""},{"dropping-particle":"","family":"Schnurbein","given":"J","non-dropping-particle":"von","parse-names":false,"suffix":""},{"dropping-particle":"","family":"Debatin","given":"K-M","non-dropping-particle":"","parse-names":false,"suffix":""},{"dropping-particle":"","family":"Wabitsch","given":"M","non-dropping-particle":"","parse-names":false,"suffix":""}],"container-title":"International journal of obesity (2005)","id":"ITEM-1","issue":"1","issued":{"date-parts":[["2017","1"]]},"language":"eng","page":"13-22","publisher-place":"England","title":"Prevalence and phenotypic characterization of MC4R variants in a large pediatric  cohort.","type":"article-journal","volume":"41"},"uris":["http://www.mendeley.com/documents/?uuid=141aebdc-a118-40d6-9ad2-0ba60704a1f8"]}],"mendeley":{"formattedCitation":"&lt;sup&gt;25&lt;/sup&gt;","plainTextFormattedCitation":"25","previouslyFormattedCitation":"&lt;sup&gt;25&lt;/sup&gt;"},"properties":{"noteIndex":0},"schema":"https://github.com/citation-style-language/schema/raw/master/csl-citation.json"}</w:instrText>
            </w:r>
            <w:r>
              <w:rPr>
                <w:color w:val="000000"/>
                <w:sz w:val="20"/>
                <w:szCs w:val="20"/>
                <w:lang w:val="it-IT"/>
              </w:rPr>
              <w:fldChar w:fldCharType="separate"/>
            </w:r>
            <w:r w:rsidRPr="00B95999">
              <w:rPr>
                <w:noProof/>
                <w:color w:val="000000"/>
                <w:sz w:val="20"/>
                <w:szCs w:val="20"/>
                <w:vertAlign w:val="superscript"/>
                <w:lang w:val="it-IT"/>
              </w:rPr>
              <w:t>25</w:t>
            </w:r>
            <w:r>
              <w:rPr>
                <w:color w:val="000000"/>
                <w:sz w:val="20"/>
                <w:szCs w:val="20"/>
                <w:lang w:val="it-IT"/>
              </w:rPr>
              <w:fldChar w:fldCharType="end"/>
            </w:r>
          </w:p>
        </w:tc>
        <w:tc>
          <w:tcPr>
            <w:tcW w:w="1134" w:type="dxa"/>
            <w:tcBorders>
              <w:top w:val="nil"/>
              <w:left w:val="nil"/>
              <w:right w:val="nil"/>
            </w:tcBorders>
            <w:shd w:val="clear" w:color="auto" w:fill="auto"/>
            <w:noWrap/>
            <w:vAlign w:val="center"/>
            <w:hideMark/>
          </w:tcPr>
          <w:p w14:paraId="381E092D" w14:textId="77777777" w:rsidR="00DC2DB2" w:rsidRPr="00B95999" w:rsidRDefault="00DC2DB2" w:rsidP="00EB4A43">
            <w:pPr>
              <w:jc w:val="center"/>
              <w:rPr>
                <w:i/>
                <w:color w:val="000000"/>
                <w:sz w:val="20"/>
                <w:szCs w:val="20"/>
                <w:lang w:val="it-IT"/>
              </w:rPr>
            </w:pPr>
            <w:r w:rsidRPr="00B95999">
              <w:rPr>
                <w:i/>
                <w:color w:val="000000"/>
                <w:sz w:val="20"/>
                <w:szCs w:val="20"/>
                <w:lang w:val="it-IT"/>
              </w:rPr>
              <w:t>MC4R</w:t>
            </w:r>
          </w:p>
        </w:tc>
        <w:tc>
          <w:tcPr>
            <w:tcW w:w="1047" w:type="dxa"/>
            <w:tcBorders>
              <w:top w:val="nil"/>
              <w:left w:val="nil"/>
              <w:right w:val="nil"/>
            </w:tcBorders>
            <w:shd w:val="clear" w:color="auto" w:fill="auto"/>
            <w:noWrap/>
            <w:vAlign w:val="center"/>
            <w:hideMark/>
          </w:tcPr>
          <w:p w14:paraId="7352DA7D" w14:textId="77777777" w:rsidR="00DC2DB2" w:rsidRPr="00B95999" w:rsidRDefault="00DC2DB2" w:rsidP="00EB4A43">
            <w:pPr>
              <w:jc w:val="center"/>
              <w:rPr>
                <w:color w:val="000000"/>
                <w:sz w:val="20"/>
                <w:szCs w:val="20"/>
                <w:lang w:val="it-IT"/>
              </w:rPr>
            </w:pPr>
            <w:r w:rsidRPr="00B95999">
              <w:rPr>
                <w:sz w:val="20"/>
                <w:szCs w:val="20"/>
                <w:lang w:val="it-IT"/>
              </w:rPr>
              <w:t>1-1-1</w:t>
            </w:r>
          </w:p>
        </w:tc>
        <w:tc>
          <w:tcPr>
            <w:tcW w:w="1807" w:type="dxa"/>
            <w:tcBorders>
              <w:top w:val="nil"/>
              <w:left w:val="nil"/>
              <w:right w:val="nil"/>
            </w:tcBorders>
            <w:shd w:val="clear" w:color="auto" w:fill="auto"/>
            <w:noWrap/>
            <w:vAlign w:val="center"/>
            <w:hideMark/>
          </w:tcPr>
          <w:p w14:paraId="4C94D0C4" w14:textId="77777777" w:rsidR="00DC2DB2" w:rsidRPr="00B95999" w:rsidRDefault="00DC2DB2" w:rsidP="00EB4A43">
            <w:pPr>
              <w:jc w:val="center"/>
              <w:rPr>
                <w:color w:val="000000"/>
                <w:sz w:val="20"/>
                <w:szCs w:val="20"/>
                <w:lang w:val="it-IT"/>
              </w:rPr>
            </w:pPr>
            <w:r w:rsidRPr="00B95999">
              <w:rPr>
                <w:color w:val="000000"/>
                <w:sz w:val="20"/>
                <w:szCs w:val="20"/>
                <w:lang w:val="it-IT"/>
              </w:rPr>
              <w:t>O</w:t>
            </w:r>
          </w:p>
        </w:tc>
        <w:tc>
          <w:tcPr>
            <w:tcW w:w="1733" w:type="dxa"/>
            <w:tcBorders>
              <w:top w:val="nil"/>
              <w:left w:val="nil"/>
              <w:right w:val="nil"/>
            </w:tcBorders>
            <w:shd w:val="clear" w:color="auto" w:fill="auto"/>
            <w:noWrap/>
            <w:vAlign w:val="center"/>
            <w:hideMark/>
          </w:tcPr>
          <w:p w14:paraId="0419C3A7" w14:textId="77777777" w:rsidR="00DC2DB2" w:rsidRPr="00B95999" w:rsidRDefault="00DC2DB2" w:rsidP="00EB4A43">
            <w:pPr>
              <w:jc w:val="center"/>
              <w:rPr>
                <w:color w:val="000000"/>
                <w:sz w:val="20"/>
                <w:szCs w:val="20"/>
                <w:lang w:val="it-IT"/>
              </w:rPr>
            </w:pPr>
            <w:r w:rsidRPr="00B95999">
              <w:rPr>
                <w:color w:val="000000"/>
                <w:sz w:val="20"/>
                <w:szCs w:val="20"/>
                <w:lang w:val="it-IT"/>
              </w:rPr>
              <w:t>Germany</w:t>
            </w:r>
          </w:p>
        </w:tc>
      </w:tr>
      <w:tr w:rsidR="00DC2DB2" w:rsidRPr="00B95999" w14:paraId="57D04536" w14:textId="77777777" w:rsidTr="00EB4A43">
        <w:trPr>
          <w:trHeight w:val="315"/>
          <w:jc w:val="center"/>
        </w:trPr>
        <w:tc>
          <w:tcPr>
            <w:tcW w:w="3005" w:type="dxa"/>
            <w:tcBorders>
              <w:top w:val="nil"/>
              <w:left w:val="nil"/>
              <w:bottom w:val="single" w:sz="4" w:space="0" w:color="auto"/>
              <w:right w:val="nil"/>
            </w:tcBorders>
            <w:shd w:val="clear" w:color="auto" w:fill="auto"/>
            <w:noWrap/>
            <w:vAlign w:val="center"/>
            <w:hideMark/>
          </w:tcPr>
          <w:p w14:paraId="49E7BD62" w14:textId="77777777" w:rsidR="00DC2DB2" w:rsidRPr="00B95999" w:rsidRDefault="00DC2DB2" w:rsidP="00EB4A43">
            <w:pPr>
              <w:jc w:val="center"/>
              <w:rPr>
                <w:color w:val="000000"/>
                <w:sz w:val="20"/>
                <w:szCs w:val="20"/>
                <w:lang w:val="it-IT"/>
              </w:rPr>
            </w:pPr>
            <w:r w:rsidRPr="00B95999">
              <w:rPr>
                <w:color w:val="000000"/>
                <w:sz w:val="20"/>
                <w:szCs w:val="20"/>
                <w:lang w:val="it-IT"/>
              </w:rPr>
              <w:t>Gimeno-Ferrer, et al. 2019</w:t>
            </w:r>
            <w:r>
              <w:rPr>
                <w:color w:val="000000"/>
                <w:sz w:val="20"/>
                <w:szCs w:val="20"/>
                <w:lang w:val="it-IT"/>
              </w:rPr>
              <w:fldChar w:fldCharType="begin" w:fldLock="1"/>
            </w:r>
            <w:r>
              <w:rPr>
                <w:color w:val="000000"/>
                <w:sz w:val="20"/>
                <w:szCs w:val="20"/>
                <w:lang w:val="it-IT"/>
              </w:rPr>
              <w:instrText>ADDIN CSL_CITATION {"citationItems":[{"id":"ITEM-1","itemData":{"DOI":"10.1016/j.gene.2019.04.018","ISSN":"1879-0038 (Electronic)","PMID":"30981838","abstract":"MC4R gene is a hypothalamic satiety control mediator in which mutations cause a  monogenic form of obesity. The aim of this study was to perform a genetic screening to identify variations in the entire region of MC4R gene. A total of 236 unrelated and severely obese patients (BMI ≥ 40 kg/m(2)) with Spanish ancestry and severe overweight familiar history have been enrolled into the study. Seven MC4R gene variants were identified in the heterozygous state in 21 patients. Coding variants p.Thr101Ile and p.Ala259Asp are new and variants p.Ser30Phe, p.Val103Ile and p.Ile251Leu were previously described. Two variants have been also observed in the promoter region of the MC4R gene; the c.-24G&gt;A mutation, described for the first time, and the known c.-178A&gt;C variant. Both in silico and family segregation analysis confirm the correlation between novel identified mutations in MC4R gene and obesity development. The correlation between the four variants (c.-24G&gt;A, p.Thr101Ile, p.Ala259Asp and p.Ser30Phe) and the obesity phenotype, therefore, allows the conclusion that all of the four mutations cause a monogenic form of obesity.","author":[{"dropping-particle":"","family":"Gimeno-Ferrer","given":"Fátima","non-dropping-particle":"","parse-names":false,"suffix":""},{"dropping-particle":"","family":"Albuquerque","given":"David","non-dropping-particle":"","parse-names":false,"suffix":""},{"dropping-particle":"","family":"García Banacloy","given":"Amor","non-dropping-particle":"","parse-names":false,"suffix":""},{"dropping-particle":"","family":"Guzmán Luján","given":"Carola","non-dropping-particle":"","parse-names":false,"suffix":""},{"dropping-particle":"","family":"Vidal Garcia","given":"Clara","non-dropping-particle":"","parse-names":false,"suffix":""},{"dropping-particle":"","family":"Marcaida Benito","given":"Goitzane","non-dropping-particle":"","parse-names":false,"suffix":""},{"dropping-particle":"","family":"Sánchez Juan","given":"Carlos","non-dropping-particle":"","parse-names":false,"suffix":""},{"dropping-particle":"","family":"Bruna Esteban","given":"Marcos","non-dropping-particle":"","parse-names":false,"suffix":""},{"dropping-particle":"","family":"Rodríguez-López","given":"Raquel","non-dropping-particle":"","parse-names":false,"suffix":""}],"container-title":"Gene","id":"ITEM-1","issued":{"date-parts":[["2019","7"]]},"language":"eng","page":"74-79","publisher-place":"Netherlands","title":"Genetic screening for MC4R gene identifies three novel mutations associated with  severe familiar obesity in a cohort of Spanish individuals.","type":"article-journal","volume":"704"},"uris":["http://www.mendeley.com/documents/?uuid=7ed72fff-38b6-4ef3-94f6-0367ca9180d4"]}],"mendeley":{"formattedCitation":"&lt;sup&gt;26&lt;/sup&gt;","plainTextFormattedCitation":"26","previouslyFormattedCitation":"&lt;sup&gt;26&lt;/sup&gt;"},"properties":{"noteIndex":0},"schema":"https://github.com/citation-style-language/schema/raw/master/csl-citation.json"}</w:instrText>
            </w:r>
            <w:r>
              <w:rPr>
                <w:color w:val="000000"/>
                <w:sz w:val="20"/>
                <w:szCs w:val="20"/>
                <w:lang w:val="it-IT"/>
              </w:rPr>
              <w:fldChar w:fldCharType="separate"/>
            </w:r>
            <w:r w:rsidRPr="00B95999">
              <w:rPr>
                <w:noProof/>
                <w:color w:val="000000"/>
                <w:sz w:val="20"/>
                <w:szCs w:val="20"/>
                <w:vertAlign w:val="superscript"/>
                <w:lang w:val="it-IT"/>
              </w:rPr>
              <w:t>26</w:t>
            </w:r>
            <w:r>
              <w:rPr>
                <w:color w:val="000000"/>
                <w:sz w:val="20"/>
                <w:szCs w:val="20"/>
                <w:lang w:val="it-IT"/>
              </w:rPr>
              <w:fldChar w:fldCharType="end"/>
            </w:r>
          </w:p>
        </w:tc>
        <w:tc>
          <w:tcPr>
            <w:tcW w:w="1134" w:type="dxa"/>
            <w:tcBorders>
              <w:top w:val="nil"/>
              <w:left w:val="nil"/>
              <w:bottom w:val="single" w:sz="4" w:space="0" w:color="auto"/>
              <w:right w:val="nil"/>
            </w:tcBorders>
            <w:shd w:val="clear" w:color="auto" w:fill="auto"/>
            <w:noWrap/>
            <w:vAlign w:val="center"/>
            <w:hideMark/>
          </w:tcPr>
          <w:p w14:paraId="5A59324A" w14:textId="77777777" w:rsidR="00DC2DB2" w:rsidRPr="00B95999" w:rsidRDefault="00DC2DB2" w:rsidP="00EB4A43">
            <w:pPr>
              <w:jc w:val="center"/>
              <w:rPr>
                <w:i/>
                <w:color w:val="000000"/>
                <w:sz w:val="20"/>
                <w:szCs w:val="20"/>
                <w:lang w:val="it-IT"/>
              </w:rPr>
            </w:pPr>
            <w:r w:rsidRPr="00B95999">
              <w:rPr>
                <w:i/>
                <w:color w:val="000000"/>
                <w:sz w:val="20"/>
                <w:szCs w:val="20"/>
                <w:lang w:val="it-IT"/>
              </w:rPr>
              <w:t>MC4R</w:t>
            </w:r>
          </w:p>
        </w:tc>
        <w:tc>
          <w:tcPr>
            <w:tcW w:w="1047" w:type="dxa"/>
            <w:tcBorders>
              <w:top w:val="nil"/>
              <w:left w:val="nil"/>
              <w:bottom w:val="single" w:sz="4" w:space="0" w:color="auto"/>
              <w:right w:val="nil"/>
            </w:tcBorders>
            <w:shd w:val="clear" w:color="auto" w:fill="auto"/>
            <w:noWrap/>
            <w:vAlign w:val="center"/>
            <w:hideMark/>
          </w:tcPr>
          <w:p w14:paraId="2AEB2AFC" w14:textId="77777777" w:rsidR="00DC2DB2" w:rsidRPr="00B95999" w:rsidRDefault="00DC2DB2" w:rsidP="00EB4A43">
            <w:pPr>
              <w:jc w:val="center"/>
              <w:rPr>
                <w:color w:val="000000"/>
                <w:sz w:val="20"/>
                <w:szCs w:val="20"/>
                <w:lang w:val="it-IT"/>
              </w:rPr>
            </w:pPr>
            <w:r w:rsidRPr="00B95999">
              <w:rPr>
                <w:sz w:val="20"/>
                <w:szCs w:val="20"/>
                <w:lang w:val="it-IT"/>
              </w:rPr>
              <w:t>6-4-4</w:t>
            </w:r>
          </w:p>
        </w:tc>
        <w:tc>
          <w:tcPr>
            <w:tcW w:w="1807" w:type="dxa"/>
            <w:tcBorders>
              <w:top w:val="nil"/>
              <w:left w:val="nil"/>
              <w:bottom w:val="single" w:sz="4" w:space="0" w:color="auto"/>
              <w:right w:val="nil"/>
            </w:tcBorders>
            <w:shd w:val="clear" w:color="auto" w:fill="auto"/>
            <w:noWrap/>
            <w:vAlign w:val="center"/>
            <w:hideMark/>
          </w:tcPr>
          <w:p w14:paraId="1ADCC0D1" w14:textId="77777777" w:rsidR="00DC2DB2" w:rsidRPr="00B95999" w:rsidRDefault="00DC2DB2" w:rsidP="00EB4A43">
            <w:pPr>
              <w:jc w:val="center"/>
              <w:rPr>
                <w:color w:val="000000"/>
                <w:sz w:val="20"/>
                <w:szCs w:val="20"/>
                <w:lang w:val="it-IT"/>
              </w:rPr>
            </w:pPr>
            <w:r w:rsidRPr="00B95999">
              <w:rPr>
                <w:color w:val="000000"/>
                <w:sz w:val="20"/>
                <w:szCs w:val="20"/>
                <w:lang w:val="it-IT"/>
              </w:rPr>
              <w:t>SO</w:t>
            </w:r>
          </w:p>
        </w:tc>
        <w:tc>
          <w:tcPr>
            <w:tcW w:w="1733" w:type="dxa"/>
            <w:tcBorders>
              <w:top w:val="nil"/>
              <w:left w:val="nil"/>
              <w:bottom w:val="single" w:sz="4" w:space="0" w:color="auto"/>
              <w:right w:val="nil"/>
            </w:tcBorders>
            <w:shd w:val="clear" w:color="auto" w:fill="auto"/>
            <w:noWrap/>
            <w:vAlign w:val="center"/>
            <w:hideMark/>
          </w:tcPr>
          <w:p w14:paraId="21DDDF67" w14:textId="77777777" w:rsidR="00DC2DB2" w:rsidRPr="00B95999" w:rsidRDefault="00DC2DB2" w:rsidP="00EB4A43">
            <w:pPr>
              <w:jc w:val="center"/>
              <w:rPr>
                <w:color w:val="000000"/>
                <w:sz w:val="20"/>
                <w:szCs w:val="20"/>
                <w:lang w:val="it-IT"/>
              </w:rPr>
            </w:pPr>
            <w:proofErr w:type="spellStart"/>
            <w:r w:rsidRPr="00B95999">
              <w:rPr>
                <w:color w:val="000000"/>
                <w:sz w:val="20"/>
                <w:szCs w:val="20"/>
                <w:lang w:val="it-IT"/>
              </w:rPr>
              <w:t>Spain</w:t>
            </w:r>
            <w:proofErr w:type="spellEnd"/>
          </w:p>
        </w:tc>
      </w:tr>
      <w:tr w:rsidR="00DC2DB2" w:rsidRPr="00B95999" w14:paraId="0517DC61" w14:textId="77777777" w:rsidTr="00EB4A43">
        <w:trPr>
          <w:trHeight w:val="315"/>
          <w:jc w:val="center"/>
        </w:trPr>
        <w:tc>
          <w:tcPr>
            <w:tcW w:w="3005" w:type="dxa"/>
            <w:tcBorders>
              <w:top w:val="single" w:sz="4" w:space="0" w:color="auto"/>
              <w:left w:val="nil"/>
              <w:bottom w:val="nil"/>
              <w:right w:val="nil"/>
            </w:tcBorders>
            <w:shd w:val="clear" w:color="auto" w:fill="auto"/>
            <w:noWrap/>
            <w:vAlign w:val="center"/>
            <w:hideMark/>
          </w:tcPr>
          <w:p w14:paraId="6BFC1DCD" w14:textId="77777777" w:rsidR="00DC2DB2" w:rsidRPr="00B95999" w:rsidRDefault="00DC2DB2" w:rsidP="00EB4A43">
            <w:pPr>
              <w:jc w:val="center"/>
              <w:rPr>
                <w:color w:val="000000"/>
                <w:sz w:val="20"/>
                <w:szCs w:val="20"/>
                <w:lang w:val="it-IT"/>
              </w:rPr>
            </w:pPr>
            <w:proofErr w:type="spellStart"/>
            <w:r w:rsidRPr="00B95999">
              <w:rPr>
                <w:color w:val="000000"/>
                <w:sz w:val="20"/>
                <w:szCs w:val="20"/>
                <w:lang w:val="it-IT"/>
              </w:rPr>
              <w:t>Doche</w:t>
            </w:r>
            <w:proofErr w:type="spellEnd"/>
            <w:r w:rsidRPr="00B95999">
              <w:rPr>
                <w:color w:val="000000"/>
                <w:sz w:val="20"/>
                <w:szCs w:val="20"/>
                <w:lang w:val="it-IT"/>
              </w:rPr>
              <w:t>, et al. 2012</w:t>
            </w:r>
            <w:r>
              <w:rPr>
                <w:color w:val="000000"/>
                <w:sz w:val="20"/>
                <w:szCs w:val="20"/>
                <w:lang w:val="it-IT"/>
              </w:rPr>
              <w:fldChar w:fldCharType="begin" w:fldLock="1"/>
            </w:r>
            <w:r>
              <w:rPr>
                <w:color w:val="000000"/>
                <w:sz w:val="20"/>
                <w:szCs w:val="20"/>
                <w:lang w:val="it-IT"/>
              </w:rPr>
              <w:instrText>ADDIN CSL_CITATION {"citationItems":[{"id":"ITEM-1","itemData":{"DOI":"10.1172/JCI62696.4732","author":[{"dropping-particle":"","family":"Doche","given":"Michael E","non-dropping-particle":"","parse-names":false,"suffix":""},{"dropping-particle":"","family":"Carter-su","given":"Christin","non-dropping-particle":"","parse-names":false,"suffix":""},{"dropping-particle":"","family":"Farooqi","given":"I Sadaf","non-dropping-particle":"","parse-names":false,"suffix":""},{"dropping-particle":"","family":"Doche","given":"Michael E","non-dropping-particle":"","parse-names":false,"suffix":""},{"dropping-particle":"","family":"Bochukova","given":"Elena G","non-dropping-particle":"","parse-names":false,"suffix":""},{"dropping-particle":"","family":"Su","given":"Hsiao-wen","non-dropping-particle":"","parse-names":false,"suffix":""},{"dropping-particle":"","family":"Pearce","given":"Laura R","non-dropping-particle":"","parse-names":false,"suffix":""},{"dropping-particle":"","family":"Keogh","given":"Julia M","non-dropping-particle":"","parse-names":false,"suffix":""},{"dropping-particle":"","family":"Henning","given":"Elana","non-dropping-particle":"","parse-names":false,"suffix":""},{"dropping-particle":"","family":"Cline","given":"Joel M","non-dropping-particle":"","parse-names":false,"suffix":""},{"dropping-particle":"","family":"Dale","given":"Anne","non-dropping-particle":"","parse-names":false,"suffix":""},{"dropping-particle":"","family":"Cheetham","given":"Tim","non-dropping-particle":"","parse-names":false,"suffix":""},{"dropping-particle":"","family":"Barroso","given":"Inês","non-dropping-particle":"","parse-names":false,"suffix":""},{"dropping-particle":"","family":"Argetsinger","given":"Lawrence S","non-dropping-particle":"","parse-names":false,"suffix":""},{"dropping-particle":"","family":"Rahilly","given":"Stephen O","non-dropping-particle":"","parse-names":false,"suffix":""},{"dropping-particle":"","family":"Rui","given":"Liangyou","non-dropping-particle":"","parse-names":false,"suffix":""},{"dropping-particle":"","family":"Carter-su","given":"Christin","non-dropping-particle":"","parse-names":false,"suffix":""},{"dropping-particle":"","family":"Farooqi","given":"I Sadaf","non-dropping-particle":"","parse-names":false,"suffix":""}],"container-title":"The Journal of Clinical Investigation","id":"ITEM-1","issue":"12","issued":{"date-parts":[["2012"]]},"page":"4732-4736","title":"Human SH2B1 mutations are associated with maladaptive behaviors and obesity","type":"article-journal","volume":"122"},"uris":["http://www.mendeley.com/documents/?uuid=9dd31c07-7716-4fbc-aa18-1f2146849b8f"]}],"mendeley":{"formattedCitation":"&lt;sup&gt;27&lt;/sup&gt;","plainTextFormattedCitation":"27","previouslyFormattedCitation":"&lt;sup&gt;27&lt;/sup&gt;"},"properties":{"noteIndex":0},"schema":"https://github.com/citation-style-language/schema/raw/master/csl-citation.json"}</w:instrText>
            </w:r>
            <w:r>
              <w:rPr>
                <w:color w:val="000000"/>
                <w:sz w:val="20"/>
                <w:szCs w:val="20"/>
                <w:lang w:val="it-IT"/>
              </w:rPr>
              <w:fldChar w:fldCharType="separate"/>
            </w:r>
            <w:r w:rsidRPr="00B95999">
              <w:rPr>
                <w:noProof/>
                <w:color w:val="000000"/>
                <w:sz w:val="20"/>
                <w:szCs w:val="20"/>
                <w:vertAlign w:val="superscript"/>
                <w:lang w:val="it-IT"/>
              </w:rPr>
              <w:t>27</w:t>
            </w:r>
            <w:r>
              <w:rPr>
                <w:color w:val="000000"/>
                <w:sz w:val="20"/>
                <w:szCs w:val="20"/>
                <w:lang w:val="it-IT"/>
              </w:rPr>
              <w:fldChar w:fldCharType="end"/>
            </w:r>
          </w:p>
        </w:tc>
        <w:tc>
          <w:tcPr>
            <w:tcW w:w="1134" w:type="dxa"/>
            <w:tcBorders>
              <w:top w:val="single" w:sz="4" w:space="0" w:color="auto"/>
              <w:left w:val="nil"/>
              <w:bottom w:val="nil"/>
              <w:right w:val="nil"/>
            </w:tcBorders>
            <w:shd w:val="clear" w:color="auto" w:fill="auto"/>
            <w:noWrap/>
            <w:vAlign w:val="center"/>
            <w:hideMark/>
          </w:tcPr>
          <w:p w14:paraId="421044F9" w14:textId="77777777" w:rsidR="00DC2DB2" w:rsidRPr="00B95999" w:rsidRDefault="00DC2DB2" w:rsidP="00EB4A43">
            <w:pPr>
              <w:jc w:val="center"/>
              <w:rPr>
                <w:i/>
                <w:color w:val="000000"/>
                <w:sz w:val="20"/>
                <w:szCs w:val="20"/>
                <w:lang w:val="it-IT"/>
              </w:rPr>
            </w:pPr>
            <w:r w:rsidRPr="00B95999">
              <w:rPr>
                <w:i/>
                <w:color w:val="000000"/>
                <w:sz w:val="20"/>
                <w:szCs w:val="20"/>
                <w:lang w:val="it-IT"/>
              </w:rPr>
              <w:t>SH2B</w:t>
            </w:r>
          </w:p>
        </w:tc>
        <w:tc>
          <w:tcPr>
            <w:tcW w:w="1047" w:type="dxa"/>
            <w:tcBorders>
              <w:top w:val="single" w:sz="4" w:space="0" w:color="auto"/>
              <w:left w:val="nil"/>
              <w:bottom w:val="nil"/>
              <w:right w:val="nil"/>
            </w:tcBorders>
            <w:shd w:val="clear" w:color="auto" w:fill="auto"/>
            <w:noWrap/>
            <w:vAlign w:val="center"/>
            <w:hideMark/>
          </w:tcPr>
          <w:p w14:paraId="0532D5E8" w14:textId="77777777" w:rsidR="00DC2DB2" w:rsidRPr="00B95999" w:rsidRDefault="00DC2DB2" w:rsidP="00EB4A43">
            <w:pPr>
              <w:jc w:val="center"/>
              <w:rPr>
                <w:color w:val="000000"/>
                <w:sz w:val="20"/>
                <w:szCs w:val="20"/>
                <w:lang w:val="it-IT"/>
              </w:rPr>
            </w:pPr>
            <w:r w:rsidRPr="00B95999">
              <w:rPr>
                <w:sz w:val="20"/>
                <w:szCs w:val="20"/>
                <w:lang w:val="it-IT"/>
              </w:rPr>
              <w:t>3-3-3</w:t>
            </w:r>
          </w:p>
        </w:tc>
        <w:tc>
          <w:tcPr>
            <w:tcW w:w="1807" w:type="dxa"/>
            <w:tcBorders>
              <w:top w:val="single" w:sz="4" w:space="0" w:color="auto"/>
              <w:left w:val="nil"/>
              <w:bottom w:val="nil"/>
              <w:right w:val="nil"/>
            </w:tcBorders>
            <w:shd w:val="clear" w:color="auto" w:fill="auto"/>
            <w:noWrap/>
            <w:vAlign w:val="center"/>
            <w:hideMark/>
          </w:tcPr>
          <w:p w14:paraId="0A44E9C5" w14:textId="77777777" w:rsidR="00DC2DB2" w:rsidRPr="00B95999" w:rsidRDefault="00DC2DB2" w:rsidP="00EB4A43">
            <w:pPr>
              <w:jc w:val="center"/>
              <w:rPr>
                <w:color w:val="000000"/>
                <w:sz w:val="20"/>
                <w:szCs w:val="20"/>
                <w:lang w:val="it-IT"/>
              </w:rPr>
            </w:pPr>
            <w:r w:rsidRPr="00B95999">
              <w:rPr>
                <w:color w:val="000000"/>
                <w:sz w:val="20"/>
                <w:szCs w:val="20"/>
                <w:lang w:val="it-IT"/>
              </w:rPr>
              <w:t>SEOO</w:t>
            </w:r>
          </w:p>
        </w:tc>
        <w:tc>
          <w:tcPr>
            <w:tcW w:w="1733" w:type="dxa"/>
            <w:tcBorders>
              <w:top w:val="single" w:sz="4" w:space="0" w:color="auto"/>
              <w:left w:val="nil"/>
              <w:bottom w:val="nil"/>
              <w:right w:val="nil"/>
            </w:tcBorders>
            <w:shd w:val="clear" w:color="auto" w:fill="auto"/>
            <w:noWrap/>
            <w:vAlign w:val="center"/>
            <w:hideMark/>
          </w:tcPr>
          <w:p w14:paraId="10C8DECB" w14:textId="77777777" w:rsidR="00DC2DB2" w:rsidRPr="00B95999" w:rsidRDefault="00DC2DB2" w:rsidP="00EB4A43">
            <w:pPr>
              <w:jc w:val="center"/>
              <w:rPr>
                <w:color w:val="000000"/>
                <w:sz w:val="20"/>
                <w:szCs w:val="20"/>
                <w:lang w:val="it-IT"/>
              </w:rPr>
            </w:pPr>
            <w:r w:rsidRPr="00B95999">
              <w:rPr>
                <w:color w:val="000000"/>
                <w:sz w:val="20"/>
                <w:szCs w:val="20"/>
                <w:lang w:val="it-IT"/>
              </w:rPr>
              <w:t>UK</w:t>
            </w:r>
          </w:p>
        </w:tc>
      </w:tr>
      <w:tr w:rsidR="00DC2DB2" w:rsidRPr="00B95999" w14:paraId="74A52B04" w14:textId="77777777" w:rsidTr="00EB4A43">
        <w:trPr>
          <w:trHeight w:val="315"/>
          <w:jc w:val="center"/>
        </w:trPr>
        <w:tc>
          <w:tcPr>
            <w:tcW w:w="3005" w:type="dxa"/>
            <w:tcBorders>
              <w:top w:val="nil"/>
              <w:left w:val="nil"/>
              <w:bottom w:val="nil"/>
              <w:right w:val="nil"/>
            </w:tcBorders>
            <w:shd w:val="clear" w:color="auto" w:fill="auto"/>
            <w:noWrap/>
            <w:vAlign w:val="center"/>
            <w:hideMark/>
          </w:tcPr>
          <w:p w14:paraId="7F6E256A" w14:textId="77777777" w:rsidR="00DC2DB2" w:rsidRPr="00B95999" w:rsidRDefault="00DC2DB2" w:rsidP="00EB4A43">
            <w:pPr>
              <w:jc w:val="center"/>
              <w:rPr>
                <w:color w:val="000000"/>
                <w:sz w:val="20"/>
                <w:szCs w:val="20"/>
                <w:lang w:val="en-US"/>
              </w:rPr>
            </w:pPr>
            <w:r w:rsidRPr="00B95999">
              <w:rPr>
                <w:color w:val="000000"/>
                <w:sz w:val="20"/>
                <w:szCs w:val="20"/>
                <w:lang w:val="it-IT"/>
              </w:rPr>
              <w:t>Miraglia Del Giudice, et al. 2001</w:t>
            </w:r>
            <w:r>
              <w:rPr>
                <w:color w:val="000000"/>
                <w:sz w:val="20"/>
                <w:szCs w:val="20"/>
                <w:lang w:val="it-IT"/>
              </w:rPr>
              <w:fldChar w:fldCharType="begin" w:fldLock="1"/>
            </w:r>
            <w:r>
              <w:rPr>
                <w:color w:val="000000"/>
                <w:sz w:val="20"/>
                <w:szCs w:val="20"/>
                <w:lang w:val="it-IT"/>
              </w:rPr>
              <w:instrText>ADDIN CSL_CITATION {"citationItems":[{"id":"ITEM-1","itemData":{"DOI":"10.1038/sj.ijo.0801485","PMID":"11244459","abstract":"BACKGROUND: Although linkage studies strongly suggest that proopiomelanocortin  (POMC) alterations could play a role in the genetic predisposition to obesity, systematic POMC mutational analysis did not completely confirm this hypothesis. OBJECTIVES: To verify the presence of mutations of the POMC coding region in Italian children with very early onset obesity. SUBJECTS AND METHODS: Eighty seven unrelated Italian obese children and adolescents were studied. Mean age at obesity onset was 4.7+/-2.5 y. The POMC gene coding region was screened using single-strand conformation polymorphism (SSCP) analysis. Bi-directional automatic sequencing of PCR products was performed for all individuals who showed an aberrant SSCP pattern. RESULTS: Three new mutations have been identified in the heterozygous state in three patients: (a) G3834C, resulting in the substitution of Ser with Thr at codon 7 within the POMC signal peptide; (b) C3840T, resulting in the substitution of Ser with Leu at codon 9 of the pre-proopiomelanocortin signal peptide; and (c) C7406G, producing the substitution of Arg with Gly at codon 236 within the beta-endorphin peptide. A polymorphism consisting of a 9 bp insertion, AGC AGC CGC, between position 6997 and 6998 has been found at the heterozygous state in nine patients. They showed leptin levels adjusted for BMI, gender and pubertal stage significantly higher than obese subjects homozyous for the POMC wild-type allele. CONCLUSIONS: Mutations in codons 7 and 9 of the signal peptide may alter the translocation of the pre-proopiomelanocortin into the endoplasmic reticulum and, therefore, can be implicated in obesity. Although further studies are required, the polymorphism between position 6997 and 6998 may represent one of the genetic variations that explain the linkage between obesity and POMC. International Journal of Obesity (2001) 25, 61-67","author":[{"dropping-particle":"","family":"Miraglia del Giudice","given":"E","non-dropping-particle":"","parse-names":false,"suffix":""},{"dropping-particle":"","family":"Cirillo","given":"G","non-dropping-particle":"","parse-names":false,"suffix":""},{"dropping-particle":"","family":"Santoro","given":"N","non-dropping-particle":"","parse-names":false,"suffix":""},{"dropping-particle":"","family":"D'Urso","given":"L","non-dropping-particle":"","parse-names":false,"suffix":""},{"dropping-particle":"","family":"Carbone","given":"M T","non-dropping-particle":"","parse-names":false,"suffix":""},{"dropping-particle":"","family":"Toro","given":"R","non-dropping-particle":"Di","parse-names":false,"suffix":""},{"dropping-particle":"","family":"Perrone","given":"L","non-dropping-particle":"","parse-names":false,"suffix":""}],"container-title":"International journal of obesity and related metabolic disorders : journal of the  International Association for the Study of Obesity","id":"ITEM-1","issue":"1","issued":{"date-parts":[["2001","1"]]},"language":"eng","page":"61-67","publisher-place":"England","title":"Molecular screening of the proopiomelanocortin (POMC ) gene in Italian obese  children: report of three new mutations.","type":"article-journal","volume":"25"},"uris":["http://www.mendeley.com/documents/?uuid=b186d545-6ea8-486b-b98f-a58a03105d36"]}],"mendeley":{"formattedCitation":"&lt;sup&gt;28&lt;/sup&gt;","plainTextFormattedCitation":"28","previouslyFormattedCitation":"&lt;sup&gt;28&lt;/sup&gt;"},"properties":{"noteIndex":0},"schema":"https://github.com/citation-style-language/schema/raw/master/csl-citation.json"}</w:instrText>
            </w:r>
            <w:r>
              <w:rPr>
                <w:color w:val="000000"/>
                <w:sz w:val="20"/>
                <w:szCs w:val="20"/>
                <w:lang w:val="it-IT"/>
              </w:rPr>
              <w:fldChar w:fldCharType="separate"/>
            </w:r>
            <w:r w:rsidRPr="00B95999">
              <w:rPr>
                <w:noProof/>
                <w:color w:val="000000"/>
                <w:sz w:val="20"/>
                <w:szCs w:val="20"/>
                <w:vertAlign w:val="superscript"/>
                <w:lang w:val="en-US"/>
              </w:rPr>
              <w:t>28</w:t>
            </w:r>
            <w:r>
              <w:rPr>
                <w:color w:val="000000"/>
                <w:sz w:val="20"/>
                <w:szCs w:val="20"/>
                <w:lang w:val="it-IT"/>
              </w:rPr>
              <w:fldChar w:fldCharType="end"/>
            </w:r>
          </w:p>
        </w:tc>
        <w:tc>
          <w:tcPr>
            <w:tcW w:w="1134" w:type="dxa"/>
            <w:tcBorders>
              <w:top w:val="nil"/>
              <w:left w:val="nil"/>
              <w:bottom w:val="nil"/>
              <w:right w:val="nil"/>
            </w:tcBorders>
            <w:shd w:val="clear" w:color="auto" w:fill="auto"/>
            <w:noWrap/>
            <w:vAlign w:val="center"/>
            <w:hideMark/>
          </w:tcPr>
          <w:p w14:paraId="3F9E4BD8" w14:textId="77777777" w:rsidR="00DC2DB2" w:rsidRPr="00B95999" w:rsidRDefault="00DC2DB2" w:rsidP="00EB4A43">
            <w:pPr>
              <w:jc w:val="center"/>
              <w:rPr>
                <w:i/>
                <w:color w:val="000000"/>
                <w:sz w:val="20"/>
                <w:szCs w:val="20"/>
                <w:lang w:val="en-US"/>
              </w:rPr>
            </w:pPr>
            <w:r w:rsidRPr="00B95999">
              <w:rPr>
                <w:i/>
                <w:color w:val="000000"/>
                <w:sz w:val="20"/>
                <w:szCs w:val="20"/>
                <w:lang w:val="en-US"/>
              </w:rPr>
              <w:t>POMC</w:t>
            </w:r>
          </w:p>
        </w:tc>
        <w:tc>
          <w:tcPr>
            <w:tcW w:w="1047" w:type="dxa"/>
            <w:tcBorders>
              <w:top w:val="nil"/>
              <w:left w:val="nil"/>
              <w:bottom w:val="nil"/>
              <w:right w:val="nil"/>
            </w:tcBorders>
            <w:shd w:val="clear" w:color="auto" w:fill="auto"/>
            <w:noWrap/>
            <w:vAlign w:val="center"/>
            <w:hideMark/>
          </w:tcPr>
          <w:p w14:paraId="36D06C85" w14:textId="77777777" w:rsidR="00DC2DB2" w:rsidRPr="00B95999" w:rsidRDefault="00DC2DB2" w:rsidP="00EB4A43">
            <w:pPr>
              <w:jc w:val="center"/>
              <w:rPr>
                <w:color w:val="000000"/>
                <w:sz w:val="20"/>
                <w:szCs w:val="20"/>
                <w:lang w:val="en-US"/>
              </w:rPr>
            </w:pPr>
            <w:r w:rsidRPr="00B95999">
              <w:rPr>
                <w:sz w:val="20"/>
                <w:szCs w:val="20"/>
                <w:lang w:val="en-US"/>
              </w:rPr>
              <w:t>3-3-3</w:t>
            </w:r>
          </w:p>
        </w:tc>
        <w:tc>
          <w:tcPr>
            <w:tcW w:w="1807" w:type="dxa"/>
            <w:tcBorders>
              <w:top w:val="nil"/>
              <w:left w:val="nil"/>
              <w:bottom w:val="nil"/>
              <w:right w:val="nil"/>
            </w:tcBorders>
            <w:shd w:val="clear" w:color="auto" w:fill="auto"/>
            <w:noWrap/>
            <w:vAlign w:val="center"/>
            <w:hideMark/>
          </w:tcPr>
          <w:p w14:paraId="74DFF5FE" w14:textId="77777777" w:rsidR="00DC2DB2" w:rsidRPr="00B95999" w:rsidRDefault="00DC2DB2" w:rsidP="00EB4A43">
            <w:pPr>
              <w:jc w:val="center"/>
              <w:rPr>
                <w:color w:val="000000"/>
                <w:sz w:val="20"/>
                <w:szCs w:val="20"/>
                <w:lang w:val="en-US"/>
              </w:rPr>
            </w:pPr>
            <w:r w:rsidRPr="00B95999">
              <w:rPr>
                <w:color w:val="000000"/>
                <w:sz w:val="20"/>
                <w:szCs w:val="20"/>
                <w:lang w:val="en-US"/>
              </w:rPr>
              <w:t>EOO</w:t>
            </w:r>
          </w:p>
        </w:tc>
        <w:tc>
          <w:tcPr>
            <w:tcW w:w="1733" w:type="dxa"/>
            <w:tcBorders>
              <w:top w:val="nil"/>
              <w:left w:val="nil"/>
              <w:bottom w:val="nil"/>
              <w:right w:val="nil"/>
            </w:tcBorders>
            <w:shd w:val="clear" w:color="auto" w:fill="auto"/>
            <w:noWrap/>
            <w:vAlign w:val="center"/>
            <w:hideMark/>
          </w:tcPr>
          <w:p w14:paraId="4EECFCA5" w14:textId="77777777" w:rsidR="00DC2DB2" w:rsidRPr="00B95999" w:rsidRDefault="00DC2DB2" w:rsidP="00EB4A43">
            <w:pPr>
              <w:jc w:val="center"/>
              <w:rPr>
                <w:color w:val="000000"/>
                <w:sz w:val="20"/>
                <w:szCs w:val="20"/>
                <w:lang w:val="en-US"/>
              </w:rPr>
            </w:pPr>
            <w:r w:rsidRPr="00B95999">
              <w:rPr>
                <w:color w:val="000000"/>
                <w:sz w:val="20"/>
                <w:szCs w:val="20"/>
                <w:lang w:val="en-US"/>
              </w:rPr>
              <w:t>Italy</w:t>
            </w:r>
          </w:p>
        </w:tc>
      </w:tr>
      <w:tr w:rsidR="00DC2DB2" w:rsidRPr="00B95999" w14:paraId="3E228A26" w14:textId="77777777" w:rsidTr="00EB4A43">
        <w:trPr>
          <w:trHeight w:val="315"/>
          <w:jc w:val="center"/>
        </w:trPr>
        <w:tc>
          <w:tcPr>
            <w:tcW w:w="3005" w:type="dxa"/>
            <w:tcBorders>
              <w:top w:val="nil"/>
              <w:left w:val="nil"/>
              <w:bottom w:val="nil"/>
              <w:right w:val="nil"/>
            </w:tcBorders>
            <w:shd w:val="clear" w:color="auto" w:fill="auto"/>
            <w:noWrap/>
            <w:vAlign w:val="center"/>
            <w:hideMark/>
          </w:tcPr>
          <w:p w14:paraId="7F7039ED" w14:textId="77777777" w:rsidR="00DC2DB2" w:rsidRPr="00B95999" w:rsidRDefault="00DC2DB2" w:rsidP="00EB4A43">
            <w:pPr>
              <w:jc w:val="center"/>
              <w:rPr>
                <w:color w:val="000000"/>
                <w:sz w:val="20"/>
                <w:szCs w:val="20"/>
                <w:lang w:val="en-US"/>
              </w:rPr>
            </w:pPr>
            <w:r w:rsidRPr="00B95999">
              <w:rPr>
                <w:color w:val="000000"/>
                <w:sz w:val="20"/>
                <w:szCs w:val="20"/>
                <w:lang w:val="en-US"/>
              </w:rPr>
              <w:t>Challis, et al. 2002</w:t>
            </w:r>
            <w:r>
              <w:rPr>
                <w:color w:val="000000"/>
                <w:sz w:val="20"/>
                <w:szCs w:val="20"/>
                <w:lang w:val="en-US"/>
              </w:rPr>
              <w:fldChar w:fldCharType="begin" w:fldLock="1"/>
            </w:r>
            <w:r>
              <w:rPr>
                <w:color w:val="000000"/>
                <w:sz w:val="20"/>
                <w:szCs w:val="20"/>
                <w:lang w:val="en-US"/>
              </w:rPr>
              <w:instrText>ADDIN CSL_CITATION {"citationItems":[{"id":"ITEM-1","itemData":{"DOI":"10.1093/hmg/11.17.1997","ISSN":"0964-6906 (Print)","PMID":"12165561","abstract":"The functional loss of both alleles of the human pro-opiomelanocortin (POMC) gene  leads to a very rare syndrome of hypoadrenalism, red hair and early-onset obesity. In order to examine whether more subtle genetic variants in POMC might contribute to early-onset obesity, the coding region of the gene was sequenced in 262 Caucasian subjects with a history of severe obesity from childhood. Two children were found to be heterozygous for a missense mutation, R236G, which disrupts the dibasic cleavage site between beta melanocyte-stimulating hormone (beta-MSH) and beta-endorphin. Beta-TC3 cells transfected with the mutant POMC cDNA produced a mutant beta-MSH/beta-endorphin fusion protein. This fusion protein bound to the human melanocortin-4 receptor (hMC4R) with an affinity similar to its natural ligands, but had a markedly reduced ability to activate the receptor. This variant co-segregated with early-onset obesity over three generations in one family and was absent in 412 normal weight UK Caucasian controls. Combining the results in UK Caucasians with a new case-control study in French subjects and three previously published reports, mutations disrupting this processing site were present in 0.88% of subjects with early-onset obesity and 0.22% of normal-weight controls. These results suggest that the R236G mutation may confer an inherited susceptibility to obesity through the production of an aberrant fusion protein that has the capacity to interfere with central melanocortin signalling.","author":[{"dropping-particle":"","family":"Challis","given":"Benjamin G","non-dropping-particle":"","parse-names":false,"suffix":""},{"dropping-particle":"","family":"Pritchard","given":"Lynn E","non-dropping-particle":"","parse-names":false,"suffix":""},{"dropping-particle":"","family":"Creemers","given":"John W M","non-dropping-particle":"","parse-names":false,"suffix":""},{"dropping-particle":"","family":"Delplanque","given":"Jerome","non-dropping-particle":"","parse-names":false,"suffix":""},{"dropping-particle":"","family":"Keogh","given":"Julia M","non-dropping-particle":"","parse-names":false,"suffix":""},{"dropping-particle":"","family":"Luan","given":"Jian'an","non-dropping-particle":"","parse-names":false,"suffix":""},{"dropping-particle":"","family":"Wareham","given":"Nicholas J","non-dropping-particle":"","parse-names":false,"suffix":""},{"dropping-particle":"","family":"Yeo","given":"Giles S H","non-dropping-particle":"","parse-names":false,"suffix":""},{"dropping-particle":"","family":"Bhattacharyya","given":"Sumit","non-dropping-particle":"","parse-names":false,"suffix":""},{"dropping-particle":"","family":"Froguel","given":"Phillipe","non-dropping-particle":"","parse-names":false,"suffix":""},{"dropping-particle":"","family":"White","given":"Anne","non-dropping-particle":"","parse-names":false,"suffix":""},{"dropping-particle":"","family":"Farooqi","given":"I Sadaf","non-dropping-particle":"","parse-names":false,"suffix":""},{"dropping-particle":"","family":"O'Rahilly","given":"Stephen","non-dropping-particle":"","parse-names":false,"suffix":""}],"container-title":"Human molecular genetics","id":"ITEM-1","issue":"17","issued":{"date-parts":[["2002","8"]]},"language":"eng","page":"1997-2004","publisher-place":"England","title":"A missense mutation disrupting a dibasic prohormone processing site in  pro-opiomelanocortin (POMC) increases susceptibility to early-onset obesity through a novel molecular mechanism.","type":"article-journal","volume":"11"},"uris":["http://www.mendeley.com/documents/?uuid=dc19ac70-8570-46a5-9b61-6e8b3b4a4e86"]}],"mendeley":{"formattedCitation":"&lt;sup&gt;29&lt;/sup&gt;","plainTextFormattedCitation":"29","previouslyFormattedCitation":"&lt;sup&gt;29&lt;/sup&gt;"},"properties":{"noteIndex":0},"schema":"https://github.com/citation-style-language/schema/raw/master/csl-citation.json"}</w:instrText>
            </w:r>
            <w:r>
              <w:rPr>
                <w:color w:val="000000"/>
                <w:sz w:val="20"/>
                <w:szCs w:val="20"/>
                <w:lang w:val="en-US"/>
              </w:rPr>
              <w:fldChar w:fldCharType="separate"/>
            </w:r>
            <w:r w:rsidRPr="00B95999">
              <w:rPr>
                <w:noProof/>
                <w:color w:val="000000"/>
                <w:sz w:val="20"/>
                <w:szCs w:val="20"/>
                <w:vertAlign w:val="superscript"/>
                <w:lang w:val="en-US"/>
              </w:rPr>
              <w:t>29</w:t>
            </w:r>
            <w:r>
              <w:rPr>
                <w:color w:val="000000"/>
                <w:sz w:val="20"/>
                <w:szCs w:val="20"/>
                <w:lang w:val="en-US"/>
              </w:rPr>
              <w:fldChar w:fldCharType="end"/>
            </w:r>
          </w:p>
        </w:tc>
        <w:tc>
          <w:tcPr>
            <w:tcW w:w="1134" w:type="dxa"/>
            <w:tcBorders>
              <w:top w:val="nil"/>
              <w:left w:val="nil"/>
              <w:bottom w:val="nil"/>
              <w:right w:val="nil"/>
            </w:tcBorders>
            <w:shd w:val="clear" w:color="auto" w:fill="auto"/>
            <w:noWrap/>
            <w:vAlign w:val="center"/>
            <w:hideMark/>
          </w:tcPr>
          <w:p w14:paraId="0F6B3482" w14:textId="77777777" w:rsidR="00DC2DB2" w:rsidRPr="00B95999" w:rsidRDefault="00DC2DB2" w:rsidP="00EB4A43">
            <w:pPr>
              <w:jc w:val="center"/>
              <w:rPr>
                <w:i/>
                <w:color w:val="000000"/>
                <w:sz w:val="20"/>
                <w:szCs w:val="20"/>
                <w:lang w:val="en-US"/>
              </w:rPr>
            </w:pPr>
            <w:r w:rsidRPr="00B95999">
              <w:rPr>
                <w:i/>
                <w:color w:val="000000"/>
                <w:sz w:val="20"/>
                <w:szCs w:val="20"/>
                <w:lang w:val="en-US"/>
              </w:rPr>
              <w:t>POMC</w:t>
            </w:r>
          </w:p>
        </w:tc>
        <w:tc>
          <w:tcPr>
            <w:tcW w:w="1047" w:type="dxa"/>
            <w:tcBorders>
              <w:top w:val="nil"/>
              <w:left w:val="nil"/>
              <w:bottom w:val="nil"/>
              <w:right w:val="nil"/>
            </w:tcBorders>
            <w:shd w:val="clear" w:color="auto" w:fill="auto"/>
            <w:noWrap/>
            <w:vAlign w:val="center"/>
            <w:hideMark/>
          </w:tcPr>
          <w:p w14:paraId="1ECA1900" w14:textId="77777777" w:rsidR="00DC2DB2" w:rsidRPr="00B95999" w:rsidRDefault="00DC2DB2" w:rsidP="00EB4A43">
            <w:pPr>
              <w:jc w:val="center"/>
              <w:rPr>
                <w:color w:val="000000"/>
                <w:sz w:val="20"/>
                <w:szCs w:val="20"/>
                <w:lang w:val="en-US"/>
              </w:rPr>
            </w:pPr>
            <w:r w:rsidRPr="00B95999">
              <w:rPr>
                <w:sz w:val="20"/>
                <w:szCs w:val="20"/>
                <w:lang w:val="en-US"/>
              </w:rPr>
              <w:t>4-1-1</w:t>
            </w:r>
          </w:p>
        </w:tc>
        <w:tc>
          <w:tcPr>
            <w:tcW w:w="1807" w:type="dxa"/>
            <w:tcBorders>
              <w:top w:val="nil"/>
              <w:left w:val="nil"/>
              <w:bottom w:val="nil"/>
              <w:right w:val="nil"/>
            </w:tcBorders>
            <w:shd w:val="clear" w:color="auto" w:fill="auto"/>
            <w:noWrap/>
            <w:vAlign w:val="center"/>
            <w:hideMark/>
          </w:tcPr>
          <w:p w14:paraId="4A2DCA33" w14:textId="77777777" w:rsidR="00DC2DB2" w:rsidRPr="00B95999" w:rsidRDefault="00DC2DB2" w:rsidP="00EB4A43">
            <w:pPr>
              <w:jc w:val="center"/>
              <w:rPr>
                <w:color w:val="000000"/>
                <w:sz w:val="20"/>
                <w:szCs w:val="20"/>
                <w:lang w:val="en-US"/>
              </w:rPr>
            </w:pPr>
            <w:r w:rsidRPr="00B95999">
              <w:rPr>
                <w:color w:val="000000"/>
                <w:sz w:val="20"/>
                <w:szCs w:val="20"/>
                <w:lang w:val="en-US"/>
              </w:rPr>
              <w:t>SEOO</w:t>
            </w:r>
          </w:p>
        </w:tc>
        <w:tc>
          <w:tcPr>
            <w:tcW w:w="1733" w:type="dxa"/>
            <w:tcBorders>
              <w:top w:val="nil"/>
              <w:left w:val="nil"/>
              <w:bottom w:val="nil"/>
              <w:right w:val="nil"/>
            </w:tcBorders>
            <w:shd w:val="clear" w:color="auto" w:fill="auto"/>
            <w:noWrap/>
            <w:vAlign w:val="center"/>
            <w:hideMark/>
          </w:tcPr>
          <w:p w14:paraId="59B2DF04" w14:textId="77777777" w:rsidR="00DC2DB2" w:rsidRPr="00B95999" w:rsidRDefault="00DC2DB2" w:rsidP="00EB4A43">
            <w:pPr>
              <w:jc w:val="center"/>
              <w:rPr>
                <w:color w:val="000000"/>
                <w:sz w:val="20"/>
                <w:szCs w:val="20"/>
                <w:lang w:val="en-US"/>
              </w:rPr>
            </w:pPr>
            <w:r w:rsidRPr="00B95999">
              <w:rPr>
                <w:color w:val="000000"/>
                <w:sz w:val="20"/>
                <w:szCs w:val="20"/>
                <w:lang w:val="en-US"/>
              </w:rPr>
              <w:t>UK</w:t>
            </w:r>
          </w:p>
        </w:tc>
      </w:tr>
      <w:tr w:rsidR="00DC2DB2" w:rsidRPr="00B95999" w14:paraId="4D05D864" w14:textId="77777777" w:rsidTr="00EB4A43">
        <w:trPr>
          <w:trHeight w:val="315"/>
          <w:jc w:val="center"/>
        </w:trPr>
        <w:tc>
          <w:tcPr>
            <w:tcW w:w="3005" w:type="dxa"/>
            <w:tcBorders>
              <w:top w:val="nil"/>
              <w:left w:val="nil"/>
              <w:bottom w:val="nil"/>
              <w:right w:val="nil"/>
            </w:tcBorders>
            <w:shd w:val="clear" w:color="auto" w:fill="auto"/>
            <w:noWrap/>
            <w:vAlign w:val="center"/>
            <w:hideMark/>
          </w:tcPr>
          <w:p w14:paraId="4E1AAAA5" w14:textId="77777777" w:rsidR="00DC2DB2" w:rsidRPr="00B95999" w:rsidRDefault="00DC2DB2" w:rsidP="00EB4A43">
            <w:pPr>
              <w:jc w:val="center"/>
              <w:rPr>
                <w:color w:val="000000"/>
                <w:sz w:val="20"/>
                <w:szCs w:val="20"/>
                <w:lang w:val="en-US"/>
              </w:rPr>
            </w:pPr>
            <w:r w:rsidRPr="00B95999">
              <w:rPr>
                <w:color w:val="000000"/>
                <w:sz w:val="20"/>
                <w:szCs w:val="20"/>
                <w:lang w:val="en-US"/>
              </w:rPr>
              <w:t>Lee, et al. 2006</w:t>
            </w:r>
            <w:r>
              <w:rPr>
                <w:color w:val="000000"/>
                <w:sz w:val="20"/>
                <w:szCs w:val="20"/>
                <w:lang w:val="en-US"/>
              </w:rPr>
              <w:fldChar w:fldCharType="begin" w:fldLock="1"/>
            </w:r>
            <w:r>
              <w:rPr>
                <w:color w:val="000000"/>
                <w:sz w:val="20"/>
                <w:szCs w:val="20"/>
                <w:lang w:val="en-US"/>
              </w:rPr>
              <w:instrText>ADDIN CSL_CITATION {"citationItems":[{"id":"ITEM-1","itemData":{"DOI":"10.1016/j.cmet.2006.01.006","ISSN":"1550-4131 (Print)","PMID":"16459314","abstract":"The melanocortin-4 receptor (MC4R) plays a critical role in the control of energy  balance. Of its two pro-opiomelanocortin (POMC)-derived ligands, alpha- and beta-MSH, the majority of attention has focused on alpha-MSH, partly reflecting the absence of beta-MSH in rodents. We screened the POMC gene in 538 patients with severe, early-onset obesity and identified five unrelated probands who were heterozygous for a rare missense variant in the region encoding beta-MSH, Tyr221Cys. This frequency was significantly increased (p &lt; 0.001) compared to the general UK Caucasian population and the variant cosegregated with obesity/overweight in affected family members. Compared to wild-type beta-MSH, the variant peptide was impaired in its ability to bind to and activate signaling from the MC4R. Obese children carrying the Tyr221Cys variant were hyperphagic and showed increased linear growth, both of which are features of MC4R deficiency. These studies support a role for beta-MSH in the control of human energy homeostasis.","author":[{"dropping-particle":"","family":"Lee","given":"Yung Seng","non-dropping-particle":"","parse-names":false,"suffix":""},{"dropping-particle":"","family":"Challis","given":"Ben G","non-dropping-particle":"","parse-names":false,"suffix":""},{"dropping-particle":"","family":"Thompson","given":"Darren A","non-dropping-particle":"","parse-names":false,"suffix":""},{"dropping-particle":"","family":"Yeo","given":"Giles S H","non-dropping-particle":"","parse-names":false,"suffix":""},{"dropping-particle":"","family":"Keogh","given":"Julia M","non-dropping-particle":"","parse-names":false,"suffix":""},{"dropping-particle":"","family":"Madonna","given":"Michael E","non-dropping-particle":"","parse-names":false,"suffix":""},{"dropping-particle":"","family":"Wraight","given":"Vicki","non-dropping-particle":"","parse-names":false,"suffix":""},{"dropping-particle":"","family":"Sims","given":"Matthew","non-dropping-particle":"","parse-names":false,"suffix":""},{"dropping-particle":"","family":"Vatin","given":"Vincent","non-dropping-particle":"","parse-names":false,"suffix":""},{"dropping-particle":"","family":"Meyre","given":"David","non-dropping-particle":"","parse-names":false,"suffix":""},{"dropping-particle":"","family":"Shield","given":"Julian","non-dropping-particle":"","parse-names":false,"suffix":""},{"dropping-particle":"","family":"Burren","given":"Christine","non-dropping-particle":"","parse-names":false,"suffix":""},{"dropping-particle":"","family":"Ibrahim","given":"Zala","non-dropping-particle":"","parse-names":false,"suffix":""},{"dropping-particle":"","family":"Cheetham","given":"Tim","non-dropping-particle":"","parse-names":false,"suffix":""},{"dropping-particle":"","family":"Swift","given":"Peter","non-dropping-particle":"","parse-names":false,"suffix":""},{"dropping-particle":"","family":"Blackwood","given":"Anthea","non-dropping-particle":"","parse-names":false,"suffix":""},{"dropping-particle":"","family":"Hung","given":"Chiao-Chien Connie","non-dropping-particle":"","parse-names":false,"suffix":""},{"dropping-particle":"","family":"Wareham","given":"Nicholas J","non-dropping-particle":"","parse-names":false,"suffix":""},{"dropping-particle":"","family":"Froguel","given":"Philippe","non-dropping-particle":"","parse-names":false,"suffix":""},{"dropping-particle":"","family":"Millhauser","given":"Glenn L","non-dropping-particle":"","parse-names":false,"suffix":""},{"dropping-particle":"","family":"O'Rahilly","given":"Stephen","non-dropping-particle":"","parse-names":false,"suffix":""},{"dropping-particle":"","family":"Farooqi","given":"I Sadaf","non-dropping-particle":"","parse-names":false,"suffix":""}],"container-title":"Cell metabolism","id":"ITEM-1","issue":"2","issued":{"date-parts":[["2006","2"]]},"language":"eng","page":"135-140","publisher-place":"United States","title":"A POMC variant implicates beta-melanocyte-stimulating hormone in the control of  human energy balance.","type":"article-journal","volume":"3"},"uris":["http://www.mendeley.com/documents/?uuid=b867c5ba-2eba-458f-aa6e-80336fff0c07"]}],"mendeley":{"formattedCitation":"&lt;sup&gt;30&lt;/sup&gt;","plainTextFormattedCitation":"30","previouslyFormattedCitation":"&lt;sup&gt;30&lt;/sup&gt;"},"properties":{"noteIndex":0},"schema":"https://github.com/citation-style-language/schema/raw/master/csl-citation.json"}</w:instrText>
            </w:r>
            <w:r>
              <w:rPr>
                <w:color w:val="000000"/>
                <w:sz w:val="20"/>
                <w:szCs w:val="20"/>
                <w:lang w:val="en-US"/>
              </w:rPr>
              <w:fldChar w:fldCharType="separate"/>
            </w:r>
            <w:r w:rsidRPr="00B95999">
              <w:rPr>
                <w:noProof/>
                <w:color w:val="000000"/>
                <w:sz w:val="20"/>
                <w:szCs w:val="20"/>
                <w:vertAlign w:val="superscript"/>
                <w:lang w:val="en-US"/>
              </w:rPr>
              <w:t>30</w:t>
            </w:r>
            <w:r>
              <w:rPr>
                <w:color w:val="000000"/>
                <w:sz w:val="20"/>
                <w:szCs w:val="20"/>
                <w:lang w:val="en-US"/>
              </w:rPr>
              <w:fldChar w:fldCharType="end"/>
            </w:r>
          </w:p>
        </w:tc>
        <w:tc>
          <w:tcPr>
            <w:tcW w:w="1134" w:type="dxa"/>
            <w:tcBorders>
              <w:top w:val="nil"/>
              <w:left w:val="nil"/>
              <w:bottom w:val="nil"/>
              <w:right w:val="nil"/>
            </w:tcBorders>
            <w:shd w:val="clear" w:color="auto" w:fill="auto"/>
            <w:noWrap/>
            <w:vAlign w:val="center"/>
            <w:hideMark/>
          </w:tcPr>
          <w:p w14:paraId="701169C9" w14:textId="77777777" w:rsidR="00DC2DB2" w:rsidRPr="00B95999" w:rsidRDefault="00DC2DB2" w:rsidP="00EB4A43">
            <w:pPr>
              <w:jc w:val="center"/>
              <w:rPr>
                <w:i/>
                <w:color w:val="000000"/>
                <w:sz w:val="20"/>
                <w:szCs w:val="20"/>
                <w:lang w:val="en-US"/>
              </w:rPr>
            </w:pPr>
            <w:r w:rsidRPr="00B95999">
              <w:rPr>
                <w:i/>
                <w:color w:val="000000"/>
                <w:sz w:val="20"/>
                <w:szCs w:val="20"/>
                <w:lang w:val="en-US"/>
              </w:rPr>
              <w:t>POMC</w:t>
            </w:r>
          </w:p>
        </w:tc>
        <w:tc>
          <w:tcPr>
            <w:tcW w:w="1047" w:type="dxa"/>
            <w:tcBorders>
              <w:top w:val="nil"/>
              <w:left w:val="nil"/>
              <w:bottom w:val="nil"/>
              <w:right w:val="nil"/>
            </w:tcBorders>
            <w:shd w:val="clear" w:color="auto" w:fill="auto"/>
            <w:noWrap/>
            <w:vAlign w:val="center"/>
            <w:hideMark/>
          </w:tcPr>
          <w:p w14:paraId="671428CC" w14:textId="77777777" w:rsidR="00DC2DB2" w:rsidRPr="00B95999" w:rsidRDefault="00DC2DB2" w:rsidP="00EB4A43">
            <w:pPr>
              <w:jc w:val="center"/>
              <w:rPr>
                <w:color w:val="000000"/>
                <w:sz w:val="20"/>
                <w:szCs w:val="20"/>
                <w:lang w:val="en-US"/>
              </w:rPr>
            </w:pPr>
            <w:r w:rsidRPr="00B95999">
              <w:rPr>
                <w:sz w:val="20"/>
                <w:szCs w:val="20"/>
                <w:lang w:val="en-US"/>
              </w:rPr>
              <w:t>5-5-1</w:t>
            </w:r>
          </w:p>
        </w:tc>
        <w:tc>
          <w:tcPr>
            <w:tcW w:w="1807" w:type="dxa"/>
            <w:tcBorders>
              <w:top w:val="nil"/>
              <w:left w:val="nil"/>
              <w:bottom w:val="nil"/>
              <w:right w:val="nil"/>
            </w:tcBorders>
            <w:shd w:val="clear" w:color="auto" w:fill="auto"/>
            <w:noWrap/>
            <w:vAlign w:val="center"/>
            <w:hideMark/>
          </w:tcPr>
          <w:p w14:paraId="0B6DFFCA" w14:textId="77777777" w:rsidR="00DC2DB2" w:rsidRPr="00B95999" w:rsidRDefault="00DC2DB2" w:rsidP="00EB4A43">
            <w:pPr>
              <w:jc w:val="center"/>
              <w:rPr>
                <w:color w:val="000000"/>
                <w:sz w:val="20"/>
                <w:szCs w:val="20"/>
                <w:lang w:val="en-US"/>
              </w:rPr>
            </w:pPr>
            <w:r w:rsidRPr="00B95999">
              <w:rPr>
                <w:color w:val="000000"/>
                <w:sz w:val="20"/>
                <w:szCs w:val="20"/>
                <w:lang w:val="en-US"/>
              </w:rPr>
              <w:t>SEOO</w:t>
            </w:r>
          </w:p>
        </w:tc>
        <w:tc>
          <w:tcPr>
            <w:tcW w:w="1733" w:type="dxa"/>
            <w:tcBorders>
              <w:top w:val="nil"/>
              <w:left w:val="nil"/>
              <w:bottom w:val="nil"/>
              <w:right w:val="nil"/>
            </w:tcBorders>
            <w:shd w:val="clear" w:color="auto" w:fill="auto"/>
            <w:noWrap/>
            <w:vAlign w:val="center"/>
            <w:hideMark/>
          </w:tcPr>
          <w:p w14:paraId="15FAAE85" w14:textId="77777777" w:rsidR="00DC2DB2" w:rsidRPr="00B95999" w:rsidRDefault="00DC2DB2" w:rsidP="00EB4A43">
            <w:pPr>
              <w:jc w:val="center"/>
              <w:rPr>
                <w:color w:val="000000"/>
                <w:sz w:val="20"/>
                <w:szCs w:val="20"/>
                <w:lang w:val="en-US"/>
              </w:rPr>
            </w:pPr>
            <w:r w:rsidRPr="00B95999">
              <w:rPr>
                <w:color w:val="000000"/>
                <w:sz w:val="20"/>
                <w:szCs w:val="20"/>
                <w:lang w:val="en-US"/>
              </w:rPr>
              <w:t>UK</w:t>
            </w:r>
          </w:p>
        </w:tc>
      </w:tr>
      <w:tr w:rsidR="00DC2DB2" w:rsidRPr="00B95999" w14:paraId="2D235C96" w14:textId="77777777" w:rsidTr="00EB4A43">
        <w:trPr>
          <w:trHeight w:val="315"/>
          <w:jc w:val="center"/>
        </w:trPr>
        <w:tc>
          <w:tcPr>
            <w:tcW w:w="3005" w:type="dxa"/>
            <w:tcBorders>
              <w:top w:val="nil"/>
              <w:left w:val="nil"/>
              <w:bottom w:val="nil"/>
              <w:right w:val="nil"/>
            </w:tcBorders>
            <w:shd w:val="clear" w:color="auto" w:fill="auto"/>
            <w:noWrap/>
            <w:vAlign w:val="center"/>
            <w:hideMark/>
          </w:tcPr>
          <w:p w14:paraId="744B5761" w14:textId="77777777" w:rsidR="00DC2DB2" w:rsidRPr="00B95999" w:rsidRDefault="00DC2DB2" w:rsidP="00EB4A43">
            <w:pPr>
              <w:jc w:val="center"/>
              <w:rPr>
                <w:color w:val="000000"/>
                <w:sz w:val="20"/>
                <w:szCs w:val="20"/>
                <w:lang w:val="en-US"/>
              </w:rPr>
            </w:pPr>
            <w:proofErr w:type="spellStart"/>
            <w:r w:rsidRPr="00B95999">
              <w:rPr>
                <w:color w:val="000000"/>
                <w:sz w:val="20"/>
                <w:szCs w:val="20"/>
                <w:lang w:val="en-US"/>
              </w:rPr>
              <w:t>Biebermann</w:t>
            </w:r>
            <w:proofErr w:type="spellEnd"/>
            <w:r w:rsidRPr="00B95999">
              <w:rPr>
                <w:color w:val="000000"/>
                <w:sz w:val="20"/>
                <w:szCs w:val="20"/>
                <w:lang w:val="en-US"/>
              </w:rPr>
              <w:t>, et al. 2006</w:t>
            </w:r>
            <w:r>
              <w:rPr>
                <w:color w:val="000000"/>
                <w:sz w:val="20"/>
                <w:szCs w:val="20"/>
                <w:lang w:val="en-US"/>
              </w:rPr>
              <w:fldChar w:fldCharType="begin" w:fldLock="1"/>
            </w:r>
            <w:r>
              <w:rPr>
                <w:color w:val="000000"/>
                <w:sz w:val="20"/>
                <w:szCs w:val="20"/>
                <w:lang w:val="en-US"/>
              </w:rPr>
              <w:instrText>ADDIN CSL_CITATION {"citationItems":[{"id":"ITEM-1","itemData":{"DOI":"10.1016/j.cmet.2006.01.007","ISSN":"1550-4131 (Print)","PMID":"16459315","abstract":"Pro-opiomelanocortin (POMC) expressing neurons mediate the regulation of orexigenic  drive by peripheral hormones such as leptin, cholecystokinin, ghrelin, and insulin. Most research effort has focused on alpha-melanocyte-stimulating hormone (alpha-MSH) as the predominant POMC-derived neuropeptide in the central regulation of human energy balance and body weight. Here we report a missense mutation within the coding region of the POMC-derived peptide beta-MSH (Y5C-beta-MSH) and its association with early-onset human obesity. In vitro and in vivo data as well as postmortem human brain studies indicate that the POMC-derived neuropeptide beta-MSH plays a critical role in the hypothalamic control of body weight in humans.","author":[{"dropping-particle":"","family":"Biebermann","given":"Heike","non-dropping-particle":"","parse-names":false,"suffix":""},{"dropping-particle":"","family":"Castañeda","given":"Tamara R","non-dropping-particle":"","parse-names":false,"suffix":""},{"dropping-particle":"","family":"Landeghem","given":"Frank","non-dropping-particle":"van","parse-names":false,"suffix":""},{"dropping-particle":"","family":"Deimling","given":"Andreas","non-dropping-particle":"von","parse-names":false,"suffix":""},{"dropping-particle":"","family":"Escher","given":"Frederike","non-dropping-particle":"","parse-names":false,"suffix":""},{"dropping-particle":"","family":"Brabant","given":"Georg","non-dropping-particle":"","parse-names":false,"suffix":""},{"dropping-particle":"","family":"Hebebrand","given":"Johannes","non-dropping-particle":"","parse-names":false,"suffix":""},{"dropping-particle":"","family":"Hinney","given":"Anke","non-dropping-particle":"","parse-names":false,"suffix":""},{"dropping-particle":"","family":"Tschöp","given":"Matthias H","non-dropping-particle":"","parse-names":false,"suffix":""},{"dropping-particle":"","family":"Grüters","given":"Annette","non-dropping-particle":"","parse-names":false,"suffix":""},{"dropping-particle":"","family":"Krude","given":"Heiko","non-dropping-particle":"","parse-names":false,"suffix":""}],"container-title":"Cell metabolism","id":"ITEM-1","issue":"2","issued":{"date-parts":[["2006","2"]]},"language":"eng","page":"141-146","publisher-place":"United States","title":"A role for beta-melanocyte-stimulating hormone in human body-weight regulation.","type":"article-journal","volume":"3"},"uris":["http://www.mendeley.com/documents/?uuid=8313d717-5cf0-4d4d-9f6e-253abcead4f2"]}],"mendeley":{"formattedCitation":"&lt;sup&gt;31&lt;/sup&gt;","plainTextFormattedCitation":"31","previouslyFormattedCitation":"&lt;sup&gt;31&lt;/sup&gt;"},"properties":{"noteIndex":0},"schema":"https://github.com/citation-style-language/schema/raw/master/csl-citation.json"}</w:instrText>
            </w:r>
            <w:r>
              <w:rPr>
                <w:color w:val="000000"/>
                <w:sz w:val="20"/>
                <w:szCs w:val="20"/>
                <w:lang w:val="en-US"/>
              </w:rPr>
              <w:fldChar w:fldCharType="separate"/>
            </w:r>
            <w:r w:rsidRPr="00B95999">
              <w:rPr>
                <w:noProof/>
                <w:color w:val="000000"/>
                <w:sz w:val="20"/>
                <w:szCs w:val="20"/>
                <w:vertAlign w:val="superscript"/>
                <w:lang w:val="en-US"/>
              </w:rPr>
              <w:t>31</w:t>
            </w:r>
            <w:r>
              <w:rPr>
                <w:color w:val="000000"/>
                <w:sz w:val="20"/>
                <w:szCs w:val="20"/>
                <w:lang w:val="en-US"/>
              </w:rPr>
              <w:fldChar w:fldCharType="end"/>
            </w:r>
          </w:p>
        </w:tc>
        <w:tc>
          <w:tcPr>
            <w:tcW w:w="1134" w:type="dxa"/>
            <w:tcBorders>
              <w:top w:val="nil"/>
              <w:left w:val="nil"/>
              <w:bottom w:val="nil"/>
              <w:right w:val="nil"/>
            </w:tcBorders>
            <w:shd w:val="clear" w:color="auto" w:fill="auto"/>
            <w:noWrap/>
            <w:vAlign w:val="center"/>
            <w:hideMark/>
          </w:tcPr>
          <w:p w14:paraId="09642964" w14:textId="77777777" w:rsidR="00DC2DB2" w:rsidRPr="00B95999" w:rsidRDefault="00DC2DB2" w:rsidP="00EB4A43">
            <w:pPr>
              <w:jc w:val="center"/>
              <w:rPr>
                <w:i/>
                <w:color w:val="000000"/>
                <w:sz w:val="20"/>
                <w:szCs w:val="20"/>
                <w:lang w:val="en-US"/>
              </w:rPr>
            </w:pPr>
            <w:r w:rsidRPr="00B95999">
              <w:rPr>
                <w:i/>
                <w:color w:val="000000"/>
                <w:sz w:val="20"/>
                <w:szCs w:val="20"/>
                <w:lang w:val="en-US"/>
              </w:rPr>
              <w:t>POMC</w:t>
            </w:r>
          </w:p>
        </w:tc>
        <w:tc>
          <w:tcPr>
            <w:tcW w:w="1047" w:type="dxa"/>
            <w:tcBorders>
              <w:top w:val="nil"/>
              <w:left w:val="nil"/>
              <w:bottom w:val="nil"/>
              <w:right w:val="nil"/>
            </w:tcBorders>
            <w:shd w:val="clear" w:color="auto" w:fill="auto"/>
            <w:noWrap/>
            <w:vAlign w:val="center"/>
            <w:hideMark/>
          </w:tcPr>
          <w:p w14:paraId="62948C43" w14:textId="77777777" w:rsidR="00DC2DB2" w:rsidRPr="00B95999" w:rsidRDefault="00DC2DB2" w:rsidP="00EB4A43">
            <w:pPr>
              <w:jc w:val="center"/>
              <w:rPr>
                <w:color w:val="000000"/>
                <w:sz w:val="20"/>
                <w:szCs w:val="20"/>
                <w:lang w:val="en-US"/>
              </w:rPr>
            </w:pPr>
            <w:r w:rsidRPr="00B95999">
              <w:rPr>
                <w:sz w:val="20"/>
                <w:szCs w:val="20"/>
                <w:lang w:val="en-US"/>
              </w:rPr>
              <w:t>3-2-1</w:t>
            </w:r>
          </w:p>
        </w:tc>
        <w:tc>
          <w:tcPr>
            <w:tcW w:w="1807" w:type="dxa"/>
            <w:tcBorders>
              <w:top w:val="nil"/>
              <w:left w:val="nil"/>
              <w:bottom w:val="nil"/>
              <w:right w:val="nil"/>
            </w:tcBorders>
            <w:shd w:val="clear" w:color="auto" w:fill="auto"/>
            <w:noWrap/>
            <w:vAlign w:val="center"/>
            <w:hideMark/>
          </w:tcPr>
          <w:p w14:paraId="77D5C33F" w14:textId="77777777" w:rsidR="00DC2DB2" w:rsidRPr="00B95999" w:rsidRDefault="00DC2DB2" w:rsidP="00EB4A43">
            <w:pPr>
              <w:jc w:val="center"/>
              <w:rPr>
                <w:color w:val="000000"/>
                <w:sz w:val="20"/>
                <w:szCs w:val="20"/>
                <w:lang w:val="en-US"/>
              </w:rPr>
            </w:pPr>
            <w:r w:rsidRPr="00B95999">
              <w:rPr>
                <w:color w:val="000000"/>
                <w:sz w:val="20"/>
                <w:szCs w:val="20"/>
                <w:lang w:val="en-US"/>
              </w:rPr>
              <w:t>EOO</w:t>
            </w:r>
          </w:p>
        </w:tc>
        <w:tc>
          <w:tcPr>
            <w:tcW w:w="1733" w:type="dxa"/>
            <w:tcBorders>
              <w:top w:val="nil"/>
              <w:left w:val="nil"/>
              <w:bottom w:val="nil"/>
              <w:right w:val="nil"/>
            </w:tcBorders>
            <w:shd w:val="clear" w:color="auto" w:fill="auto"/>
            <w:noWrap/>
            <w:vAlign w:val="center"/>
            <w:hideMark/>
          </w:tcPr>
          <w:p w14:paraId="5EB05114" w14:textId="77777777" w:rsidR="00DC2DB2" w:rsidRPr="00B95999" w:rsidRDefault="00DC2DB2" w:rsidP="00EB4A43">
            <w:pPr>
              <w:jc w:val="center"/>
              <w:rPr>
                <w:color w:val="000000"/>
                <w:sz w:val="20"/>
                <w:szCs w:val="20"/>
                <w:lang w:val="en-US"/>
              </w:rPr>
            </w:pPr>
            <w:r w:rsidRPr="00B95999">
              <w:rPr>
                <w:color w:val="000000"/>
                <w:sz w:val="20"/>
                <w:szCs w:val="20"/>
                <w:lang w:val="en-US"/>
              </w:rPr>
              <w:t>Germany</w:t>
            </w:r>
          </w:p>
        </w:tc>
      </w:tr>
      <w:tr w:rsidR="00DC2DB2" w:rsidRPr="00B95999" w14:paraId="6992FF38" w14:textId="77777777" w:rsidTr="00EB4A43">
        <w:trPr>
          <w:trHeight w:val="315"/>
          <w:jc w:val="center"/>
        </w:trPr>
        <w:tc>
          <w:tcPr>
            <w:tcW w:w="3005" w:type="dxa"/>
            <w:tcBorders>
              <w:top w:val="nil"/>
              <w:left w:val="nil"/>
              <w:bottom w:val="nil"/>
              <w:right w:val="nil"/>
            </w:tcBorders>
            <w:shd w:val="clear" w:color="auto" w:fill="auto"/>
            <w:noWrap/>
            <w:vAlign w:val="center"/>
            <w:hideMark/>
          </w:tcPr>
          <w:p w14:paraId="40A3A4AF" w14:textId="77777777" w:rsidR="00DC2DB2" w:rsidRPr="00B95999" w:rsidRDefault="00DC2DB2" w:rsidP="00EB4A43">
            <w:pPr>
              <w:jc w:val="center"/>
              <w:rPr>
                <w:color w:val="000000"/>
                <w:sz w:val="20"/>
                <w:szCs w:val="20"/>
                <w:lang w:val="en-US"/>
              </w:rPr>
            </w:pPr>
            <w:proofErr w:type="spellStart"/>
            <w:r w:rsidRPr="00B95999">
              <w:rPr>
                <w:color w:val="000000"/>
                <w:sz w:val="20"/>
                <w:szCs w:val="20"/>
                <w:lang w:val="en-US"/>
              </w:rPr>
              <w:t>Dubern</w:t>
            </w:r>
            <w:proofErr w:type="spellEnd"/>
            <w:r w:rsidRPr="00B95999">
              <w:rPr>
                <w:color w:val="000000"/>
                <w:sz w:val="20"/>
                <w:szCs w:val="20"/>
                <w:lang w:val="en-US"/>
              </w:rPr>
              <w:t>, et al. 2008</w:t>
            </w:r>
            <w:r>
              <w:rPr>
                <w:color w:val="000000"/>
                <w:sz w:val="20"/>
                <w:szCs w:val="20"/>
                <w:lang w:val="en-US"/>
              </w:rPr>
              <w:fldChar w:fldCharType="begin" w:fldLock="1"/>
            </w:r>
            <w:r>
              <w:rPr>
                <w:color w:val="000000"/>
                <w:sz w:val="20"/>
                <w:szCs w:val="20"/>
                <w:lang w:val="en-US"/>
              </w:rPr>
              <w:instrText>ADDIN CSL_CITATION {"citationItems":[{"id":"ITEM-1","itemData":{"DOI":"10.1203/PDR.0b013e31815ed62b","ISSN":"0031-3998 (Print)","PMID":"18091355","abstract":"The pro-opiomelanocotin (POMC) plays a key role in body weight regulation, where its  derived peptides mediate leptin action via the hypothalamic melanocortin 4 receptor (MC4R). The pathogenic effects of POMC mutations have been challenged in obesity. Our aim was to assess the relevance of POMC mutations in a cohort of French obese and nonobese children. Direct sequencing of the POMC gene was performed in 322 obese and 363 control unrelated children. Functional studies for the novel Phe144Leu mutation included the response to alpha-melanocyte stimulating hormone (alphaMSH) and a competitive binding assay. POMC mutations were identified in 3.72% of obese [95% confidence interval (CI): 1.66-5.80] and 2.20% of control (95% CI: 0.69-3.71) subjects. The novel mutation located in the alphaMSH region of the POMC gene (Phe144Leu) was found in one obese child and was transmitted by the obese father. Functional studies showed that MC4R activation in response to Leu144alphaMSH was almost completely abolished due to a dramatically altered binding of Leu144alphaMSH to MC4R. The frequency of POMC mutations is not significantly different between obese and control children in our cohort. The novel heterozygous mutation Phe144Leu leading to the absence of melanocortin signaling was associated with early-onset obesity suggesting its pathogenic role.","author":[{"dropping-particle":"","family":"Dubern","given":"Beatrice","non-dropping-particle":"","parse-names":false,"suffix":""},{"dropping-particle":"","family":"Lubrano-Berthelier","given":"Cecile","non-dropping-particle":"","parse-names":false,"suffix":""},{"dropping-particle":"","family":"Mencarelli","given":"Monica","non-dropping-particle":"","parse-names":false,"suffix":""},{"dropping-particle":"","family":"Ersoy","given":"Baran","non-dropping-particle":"","parse-names":false,"suffix":""},{"dropping-particle":"","family":"Frelut","given":"Marie-Laure","non-dropping-particle":"","parse-names":false,"suffix":""},{"dropping-particle":"","family":"Bouglé","given":"Dominique","non-dropping-particle":"","parse-names":false,"suffix":""},{"dropping-particle":"","family":"Costes","given":"Bruno","non-dropping-particle":"","parse-names":false,"suffix":""},{"dropping-particle":"","family":"Simon","given":"Chantal","non-dropping-particle":"","parse-names":false,"suffix":""},{"dropping-particle":"","family":"Tounian","given":"Patrick","non-dropping-particle":"","parse-names":false,"suffix":""},{"dropping-particle":"","family":"Vaisse","given":"Christian","non-dropping-particle":"","parse-names":false,"suffix":""},{"dropping-particle":"","family":"Clement","given":"Karine","non-dropping-particle":"","parse-names":false,"suffix":""}],"container-title":"Pediatric research","id":"ITEM-1","issue":"2","issued":{"date-parts":[["2008","2"]]},"language":"eng","page":"211-216","publisher-place":"United States","title":"Mutational analysis of the pro-opiomelanocortin gene in French obese children led to  the identification of a novel deleterious heterozygous mutation located in the alpha-melanocyte stimulating hormone domain.","type":"article-journal","volume":"63"},"uris":["http://www.mendeley.com/documents/?uuid=9011a9fc-7011-497a-88d6-98c3807a5b50"]}],"mendeley":{"formattedCitation":"&lt;sup&gt;32&lt;/sup&gt;","plainTextFormattedCitation":"32","previouslyFormattedCitation":"&lt;sup&gt;32&lt;/sup&gt;"},"properties":{"noteIndex":0},"schema":"https://github.com/citation-style-language/schema/raw/master/csl-citation.json"}</w:instrText>
            </w:r>
            <w:r>
              <w:rPr>
                <w:color w:val="000000"/>
                <w:sz w:val="20"/>
                <w:szCs w:val="20"/>
                <w:lang w:val="en-US"/>
              </w:rPr>
              <w:fldChar w:fldCharType="separate"/>
            </w:r>
            <w:r w:rsidRPr="00B95999">
              <w:rPr>
                <w:noProof/>
                <w:color w:val="000000"/>
                <w:sz w:val="20"/>
                <w:szCs w:val="20"/>
                <w:vertAlign w:val="superscript"/>
                <w:lang w:val="en-US"/>
              </w:rPr>
              <w:t>32</w:t>
            </w:r>
            <w:r>
              <w:rPr>
                <w:color w:val="000000"/>
                <w:sz w:val="20"/>
                <w:szCs w:val="20"/>
                <w:lang w:val="en-US"/>
              </w:rPr>
              <w:fldChar w:fldCharType="end"/>
            </w:r>
          </w:p>
        </w:tc>
        <w:tc>
          <w:tcPr>
            <w:tcW w:w="1134" w:type="dxa"/>
            <w:tcBorders>
              <w:top w:val="nil"/>
              <w:left w:val="nil"/>
              <w:bottom w:val="nil"/>
              <w:right w:val="nil"/>
            </w:tcBorders>
            <w:shd w:val="clear" w:color="auto" w:fill="auto"/>
            <w:noWrap/>
            <w:vAlign w:val="center"/>
            <w:hideMark/>
          </w:tcPr>
          <w:p w14:paraId="60F19E45" w14:textId="77777777" w:rsidR="00DC2DB2" w:rsidRPr="00B95999" w:rsidRDefault="00DC2DB2" w:rsidP="00EB4A43">
            <w:pPr>
              <w:jc w:val="center"/>
              <w:rPr>
                <w:i/>
                <w:color w:val="000000"/>
                <w:sz w:val="20"/>
                <w:szCs w:val="20"/>
                <w:lang w:val="en-US"/>
              </w:rPr>
            </w:pPr>
            <w:r w:rsidRPr="00B95999">
              <w:rPr>
                <w:i/>
                <w:color w:val="000000"/>
                <w:sz w:val="20"/>
                <w:szCs w:val="20"/>
                <w:lang w:val="en-US"/>
              </w:rPr>
              <w:t>POMC</w:t>
            </w:r>
          </w:p>
        </w:tc>
        <w:tc>
          <w:tcPr>
            <w:tcW w:w="1047" w:type="dxa"/>
            <w:tcBorders>
              <w:top w:val="nil"/>
              <w:left w:val="nil"/>
              <w:bottom w:val="nil"/>
              <w:right w:val="nil"/>
            </w:tcBorders>
            <w:shd w:val="clear" w:color="auto" w:fill="auto"/>
            <w:noWrap/>
            <w:vAlign w:val="center"/>
            <w:hideMark/>
          </w:tcPr>
          <w:p w14:paraId="3051AEF5" w14:textId="77777777" w:rsidR="00DC2DB2" w:rsidRPr="00B95999" w:rsidRDefault="00DC2DB2" w:rsidP="00EB4A43">
            <w:pPr>
              <w:jc w:val="center"/>
              <w:rPr>
                <w:color w:val="000000"/>
                <w:sz w:val="20"/>
                <w:szCs w:val="20"/>
                <w:lang w:val="en-US"/>
              </w:rPr>
            </w:pPr>
            <w:r w:rsidRPr="00B95999">
              <w:rPr>
                <w:sz w:val="20"/>
                <w:szCs w:val="20"/>
                <w:lang w:val="en-US"/>
              </w:rPr>
              <w:t>1-1-1</w:t>
            </w:r>
          </w:p>
        </w:tc>
        <w:tc>
          <w:tcPr>
            <w:tcW w:w="1807" w:type="dxa"/>
            <w:tcBorders>
              <w:top w:val="nil"/>
              <w:left w:val="nil"/>
              <w:bottom w:val="nil"/>
              <w:right w:val="nil"/>
            </w:tcBorders>
            <w:shd w:val="clear" w:color="auto" w:fill="auto"/>
            <w:noWrap/>
            <w:vAlign w:val="center"/>
            <w:hideMark/>
          </w:tcPr>
          <w:p w14:paraId="48B1CA70" w14:textId="77777777" w:rsidR="00DC2DB2" w:rsidRPr="00B95999" w:rsidRDefault="00DC2DB2" w:rsidP="00EB4A43">
            <w:pPr>
              <w:jc w:val="center"/>
              <w:rPr>
                <w:color w:val="000000"/>
                <w:sz w:val="20"/>
                <w:szCs w:val="20"/>
                <w:lang w:val="en-US"/>
              </w:rPr>
            </w:pPr>
            <w:r w:rsidRPr="00B95999">
              <w:rPr>
                <w:color w:val="000000"/>
                <w:sz w:val="20"/>
                <w:szCs w:val="20"/>
                <w:lang w:val="en-US"/>
              </w:rPr>
              <w:t>EOO</w:t>
            </w:r>
          </w:p>
        </w:tc>
        <w:tc>
          <w:tcPr>
            <w:tcW w:w="1733" w:type="dxa"/>
            <w:tcBorders>
              <w:top w:val="nil"/>
              <w:left w:val="nil"/>
              <w:bottom w:val="nil"/>
              <w:right w:val="nil"/>
            </w:tcBorders>
            <w:shd w:val="clear" w:color="auto" w:fill="auto"/>
            <w:noWrap/>
            <w:vAlign w:val="center"/>
            <w:hideMark/>
          </w:tcPr>
          <w:p w14:paraId="67B017EE" w14:textId="77777777" w:rsidR="00DC2DB2" w:rsidRPr="00B95999" w:rsidRDefault="00DC2DB2" w:rsidP="00EB4A43">
            <w:pPr>
              <w:jc w:val="center"/>
              <w:rPr>
                <w:color w:val="000000"/>
                <w:sz w:val="20"/>
                <w:szCs w:val="20"/>
                <w:lang w:val="en-US"/>
              </w:rPr>
            </w:pPr>
            <w:r w:rsidRPr="00B95999">
              <w:rPr>
                <w:color w:val="000000"/>
                <w:sz w:val="20"/>
                <w:szCs w:val="20"/>
                <w:lang w:val="en-US"/>
              </w:rPr>
              <w:t>France</w:t>
            </w:r>
          </w:p>
        </w:tc>
      </w:tr>
      <w:tr w:rsidR="00DC2DB2" w:rsidRPr="00B95999" w14:paraId="00222891" w14:textId="77777777" w:rsidTr="00EB4A43">
        <w:trPr>
          <w:trHeight w:val="315"/>
          <w:jc w:val="center"/>
        </w:trPr>
        <w:tc>
          <w:tcPr>
            <w:tcW w:w="3005" w:type="dxa"/>
            <w:tcBorders>
              <w:top w:val="nil"/>
              <w:left w:val="nil"/>
              <w:bottom w:val="nil"/>
              <w:right w:val="nil"/>
            </w:tcBorders>
            <w:shd w:val="clear" w:color="auto" w:fill="auto"/>
            <w:noWrap/>
            <w:vAlign w:val="center"/>
            <w:hideMark/>
          </w:tcPr>
          <w:p w14:paraId="4755E78D" w14:textId="77777777" w:rsidR="00DC2DB2" w:rsidRPr="00B95999" w:rsidRDefault="00DC2DB2" w:rsidP="00EB4A43">
            <w:pPr>
              <w:jc w:val="center"/>
              <w:rPr>
                <w:color w:val="000000"/>
                <w:sz w:val="20"/>
                <w:szCs w:val="20"/>
                <w:lang w:val="en-US"/>
              </w:rPr>
            </w:pPr>
            <w:proofErr w:type="spellStart"/>
            <w:r w:rsidRPr="00B95999">
              <w:rPr>
                <w:color w:val="000000"/>
                <w:sz w:val="20"/>
                <w:szCs w:val="20"/>
                <w:lang w:val="en-US"/>
              </w:rPr>
              <w:t>Creemers</w:t>
            </w:r>
            <w:proofErr w:type="spellEnd"/>
            <w:r w:rsidRPr="00B95999">
              <w:rPr>
                <w:color w:val="000000"/>
                <w:sz w:val="20"/>
                <w:szCs w:val="20"/>
                <w:lang w:val="en-US"/>
              </w:rPr>
              <w:t>, et al. 2008</w:t>
            </w:r>
            <w:r>
              <w:rPr>
                <w:color w:val="000000"/>
                <w:sz w:val="20"/>
                <w:szCs w:val="20"/>
                <w:lang w:val="en-US"/>
              </w:rPr>
              <w:fldChar w:fldCharType="begin" w:fldLock="1"/>
            </w:r>
            <w:r>
              <w:rPr>
                <w:color w:val="000000"/>
                <w:sz w:val="20"/>
                <w:szCs w:val="20"/>
                <w:lang w:val="en-US"/>
              </w:rPr>
              <w:instrText>ADDIN CSL_CITATION {"citationItems":[{"id":"ITEM-1","itemData":{"DOI":"10.1210/jc.2008-0954","ISSN":"0021-972X (Print)","PMID":"18697863","abstract":"CONTEXT: Mutations in the proopiomelanocortin (POMC) gene that impair the synthesis  or structure of POMC-derived peptides predispose to human obesity. OBJECTIVE: Our objective was to identify and characterize novel mutations in the POMC gene found in patients with early-onset obesity. DESIGN AND PATIENTS: The POMC gene was screened in 500 patients with severe early-onset obesity. The biosynthesis, processing, sorting, and secretion of wild-type POMC and two newly identified POMC mutants was studied using metabolic labeling, Western blotting, and immunoassay analysis of lysates and conditioned media of transiently transfected beta-TC3 cells. RESULTS: Two novel heterozygous missense mutations in POMC (C28F and L37F) were identified in unrelated probands with early-onset obesity and their overweight or obese family members. Both mutations lie in a region of the N terminus of POMC that has been suggested to be involved in its sorting to the regulated secretory pathway. Metabolic labeling studies indicate that whereas the mutations do not reduce intracellular levels of POMC, both mutations (C28F&gt;L37F) impair the ability of POMC to be processed to generate bioactive products. Studies of the secretion of POMC products suggest, particularly with C28F, that the impaired propeptide processing of these mutations results, at least in part, from a mistargeting of mutant POMC to the constitutive rather than the regulated secretory pathway. CONCLUSION: These mutations in patients with early-onset obesity represent a novel molecular mechanism of human POMC deficiency whereby naturally occurring mutations in its N-terminal sequence impair the ability of POMC to enter the trafficking pathway in which serial propeptide processing normally occurs.","author":[{"dropping-particle":"","family":"Creemers","given":"John W M","non-dropping-particle":"","parse-names":false,"suffix":""},{"dropping-particle":"","family":"Lee","given":"Yung Seng","non-dropping-particle":"","parse-names":false,"suffix":""},{"dropping-particle":"","family":"Oliver","given":"Robert L","non-dropping-particle":"","parse-names":false,"suffix":""},{"dropping-particle":"","family":"Bahceci","given":"Mithat","non-dropping-particle":"","parse-names":false,"suffix":""},{"dropping-particle":"","family":"Tuzcu","given":"Alpaslan","non-dropping-particle":"","parse-names":false,"suffix":""},{"dropping-particle":"","family":"Gokalp","given":"Deniz","non-dropping-particle":"","parse-names":false,"suffix":""},{"dropping-particle":"","family":"Keogh","given":"Julia","non-dropping-particle":"","parse-names":false,"suffix":""},{"dropping-particle":"","family":"Herber","given":"Stefan","non-dropping-particle":"","parse-names":false,"suffix":""},{"dropping-particle":"","family":"White","given":"Anne","non-dropping-particle":"","parse-names":false,"suffix":""},{"dropping-particle":"","family":"O'Rahilly","given":"Stephen","non-dropping-particle":"","parse-names":false,"suffix":""},{"dropping-particle":"","family":"Farooqi","given":"I Sadaf","non-dropping-particle":"","parse-names":false,"suffix":""}],"container-title":"The Journal of clinical endocrinology and metabolism","id":"ITEM-1","issue":"11","issued":{"date-parts":[["2008","11"]]},"language":"eng","page":"4494-4499","publisher-place":"United States","title":"Mutations in the amino-terminal region of proopiomelanocortin (POMC) in patients  with early-onset obesity impair POMC sorting to the regulated secretory pathway.","type":"article-journal","volume":"93"},"uris":["http://www.mendeley.com/documents/?uuid=9d487e08-227f-45c3-910b-102548a437d6"]}],"mendeley":{"formattedCitation":"&lt;sup&gt;33&lt;/sup&gt;","plainTextFormattedCitation":"33","previouslyFormattedCitation":"&lt;sup&gt;33&lt;/sup&gt;"},"properties":{"noteIndex":0},"schema":"https://github.com/citation-style-language/schema/raw/master/csl-citation.json"}</w:instrText>
            </w:r>
            <w:r>
              <w:rPr>
                <w:color w:val="000000"/>
                <w:sz w:val="20"/>
                <w:szCs w:val="20"/>
                <w:lang w:val="en-US"/>
              </w:rPr>
              <w:fldChar w:fldCharType="separate"/>
            </w:r>
            <w:r w:rsidRPr="00B95999">
              <w:rPr>
                <w:noProof/>
                <w:color w:val="000000"/>
                <w:sz w:val="20"/>
                <w:szCs w:val="20"/>
                <w:vertAlign w:val="superscript"/>
                <w:lang w:val="en-US"/>
              </w:rPr>
              <w:t>33</w:t>
            </w:r>
            <w:r>
              <w:rPr>
                <w:color w:val="000000"/>
                <w:sz w:val="20"/>
                <w:szCs w:val="20"/>
                <w:lang w:val="en-US"/>
              </w:rPr>
              <w:fldChar w:fldCharType="end"/>
            </w:r>
          </w:p>
        </w:tc>
        <w:tc>
          <w:tcPr>
            <w:tcW w:w="1134" w:type="dxa"/>
            <w:tcBorders>
              <w:top w:val="nil"/>
              <w:left w:val="nil"/>
              <w:bottom w:val="nil"/>
              <w:right w:val="nil"/>
            </w:tcBorders>
            <w:shd w:val="clear" w:color="auto" w:fill="auto"/>
            <w:noWrap/>
            <w:vAlign w:val="center"/>
            <w:hideMark/>
          </w:tcPr>
          <w:p w14:paraId="45A0EEC1" w14:textId="77777777" w:rsidR="00DC2DB2" w:rsidRPr="00B95999" w:rsidRDefault="00DC2DB2" w:rsidP="00EB4A43">
            <w:pPr>
              <w:jc w:val="center"/>
              <w:rPr>
                <w:i/>
                <w:color w:val="000000"/>
                <w:sz w:val="20"/>
                <w:szCs w:val="20"/>
                <w:lang w:val="en-US"/>
              </w:rPr>
            </w:pPr>
            <w:r w:rsidRPr="00B95999">
              <w:rPr>
                <w:i/>
                <w:color w:val="000000"/>
                <w:sz w:val="20"/>
                <w:szCs w:val="20"/>
                <w:lang w:val="en-US"/>
              </w:rPr>
              <w:t>POMC</w:t>
            </w:r>
          </w:p>
        </w:tc>
        <w:tc>
          <w:tcPr>
            <w:tcW w:w="1047" w:type="dxa"/>
            <w:tcBorders>
              <w:top w:val="nil"/>
              <w:left w:val="nil"/>
              <w:bottom w:val="nil"/>
              <w:right w:val="nil"/>
            </w:tcBorders>
            <w:shd w:val="clear" w:color="auto" w:fill="auto"/>
            <w:noWrap/>
            <w:vAlign w:val="center"/>
            <w:hideMark/>
          </w:tcPr>
          <w:p w14:paraId="49F4367B" w14:textId="77777777" w:rsidR="00DC2DB2" w:rsidRPr="00B95999" w:rsidRDefault="00DC2DB2" w:rsidP="00EB4A43">
            <w:pPr>
              <w:jc w:val="center"/>
              <w:rPr>
                <w:color w:val="000000"/>
                <w:sz w:val="20"/>
                <w:szCs w:val="20"/>
                <w:lang w:val="en-US"/>
              </w:rPr>
            </w:pPr>
            <w:r w:rsidRPr="00B95999">
              <w:rPr>
                <w:sz w:val="20"/>
                <w:szCs w:val="20"/>
                <w:lang w:val="en-US"/>
              </w:rPr>
              <w:t>2-2-2</w:t>
            </w:r>
          </w:p>
        </w:tc>
        <w:tc>
          <w:tcPr>
            <w:tcW w:w="1807" w:type="dxa"/>
            <w:tcBorders>
              <w:top w:val="nil"/>
              <w:left w:val="nil"/>
              <w:bottom w:val="nil"/>
              <w:right w:val="nil"/>
            </w:tcBorders>
            <w:shd w:val="clear" w:color="auto" w:fill="auto"/>
            <w:noWrap/>
            <w:vAlign w:val="center"/>
            <w:hideMark/>
          </w:tcPr>
          <w:p w14:paraId="38DAFAC1" w14:textId="77777777" w:rsidR="00DC2DB2" w:rsidRPr="00B95999" w:rsidRDefault="00DC2DB2" w:rsidP="00EB4A43">
            <w:pPr>
              <w:jc w:val="center"/>
              <w:rPr>
                <w:color w:val="000000"/>
                <w:sz w:val="20"/>
                <w:szCs w:val="20"/>
                <w:lang w:val="en-US"/>
              </w:rPr>
            </w:pPr>
            <w:r w:rsidRPr="00B95999">
              <w:rPr>
                <w:color w:val="000000"/>
                <w:sz w:val="20"/>
                <w:szCs w:val="20"/>
                <w:lang w:val="en-US"/>
              </w:rPr>
              <w:t>SEOO</w:t>
            </w:r>
          </w:p>
        </w:tc>
        <w:tc>
          <w:tcPr>
            <w:tcW w:w="1733" w:type="dxa"/>
            <w:tcBorders>
              <w:top w:val="nil"/>
              <w:left w:val="nil"/>
              <w:bottom w:val="nil"/>
              <w:right w:val="nil"/>
            </w:tcBorders>
            <w:shd w:val="clear" w:color="auto" w:fill="auto"/>
            <w:noWrap/>
            <w:vAlign w:val="center"/>
            <w:hideMark/>
          </w:tcPr>
          <w:p w14:paraId="43D2916F" w14:textId="77777777" w:rsidR="00DC2DB2" w:rsidRPr="00B95999" w:rsidRDefault="00DC2DB2" w:rsidP="00EB4A43">
            <w:pPr>
              <w:jc w:val="center"/>
              <w:rPr>
                <w:color w:val="000000"/>
                <w:sz w:val="20"/>
                <w:szCs w:val="20"/>
                <w:lang w:val="en-US"/>
              </w:rPr>
            </w:pPr>
            <w:r w:rsidRPr="00B95999">
              <w:rPr>
                <w:color w:val="000000"/>
                <w:sz w:val="20"/>
                <w:szCs w:val="20"/>
                <w:lang w:val="en-US"/>
              </w:rPr>
              <w:t>UK</w:t>
            </w:r>
          </w:p>
        </w:tc>
      </w:tr>
      <w:tr w:rsidR="00DC2DB2" w:rsidRPr="00B95999" w14:paraId="6C035331" w14:textId="77777777" w:rsidTr="00EB4A43">
        <w:trPr>
          <w:trHeight w:val="315"/>
          <w:jc w:val="center"/>
        </w:trPr>
        <w:tc>
          <w:tcPr>
            <w:tcW w:w="3005" w:type="dxa"/>
            <w:tcBorders>
              <w:top w:val="nil"/>
              <w:left w:val="nil"/>
              <w:bottom w:val="nil"/>
              <w:right w:val="nil"/>
            </w:tcBorders>
            <w:shd w:val="clear" w:color="auto" w:fill="auto"/>
            <w:noWrap/>
            <w:vAlign w:val="center"/>
            <w:hideMark/>
          </w:tcPr>
          <w:p w14:paraId="397B02F7" w14:textId="77777777" w:rsidR="00DC2DB2" w:rsidRPr="00B95999" w:rsidRDefault="00DC2DB2" w:rsidP="00EB4A43">
            <w:pPr>
              <w:jc w:val="center"/>
              <w:rPr>
                <w:color w:val="000000"/>
                <w:sz w:val="20"/>
                <w:szCs w:val="20"/>
                <w:lang w:val="en-US"/>
              </w:rPr>
            </w:pPr>
            <w:r w:rsidRPr="00B95999">
              <w:rPr>
                <w:color w:val="000000"/>
                <w:sz w:val="20"/>
                <w:szCs w:val="20"/>
                <w:lang w:val="en-US"/>
              </w:rPr>
              <w:t>Gray, et al. 2007</w:t>
            </w:r>
            <w:r>
              <w:rPr>
                <w:color w:val="000000"/>
                <w:sz w:val="20"/>
                <w:szCs w:val="20"/>
                <w:lang w:val="en-US"/>
              </w:rPr>
              <w:fldChar w:fldCharType="begin" w:fldLock="1"/>
            </w:r>
            <w:r>
              <w:rPr>
                <w:color w:val="000000"/>
                <w:sz w:val="20"/>
                <w:szCs w:val="20"/>
                <w:lang w:val="en-US"/>
              </w:rPr>
              <w:instrText>ADDIN CSL_CITATION {"citationItems":[{"id":"ITEM-1","itemData":{"DOI":"10.1038/sj.ijo.0803390","ISSN":"0307-0565 (Print)","PMID":"16702999","abstract":"OBJECTIVE: The neurotrophin receptor TrkB has been implicated in the regulation of  energy homeostasis in rodents. We have previously identified four rare missense mutations in the gene encoding TrkB, NTRK2, in 198 severely obese children with developmental delay. We have now undertaken a more detailed analysis of the in vitro functional consequences of the mutations identified: I98V, P660L, T821A and Y722C. DESIGN: Wild-type and mutant TrkB receptor constructs were stably transfected into PC12 cells and the signaling responses to the endogenous ligand, brain-derived neurotrophic factor (BDNF), were examined by Western blotting of cell lysates. In the case of Y722C, PC12 cells stably expressing this mutant were studied for their ability to respond to BDNF by promoting neurite outgrowth and cell survival. RESULTS: Further functional characterization of the previously reported Y722C TrkB mutation reveals impaired activation of mitogen-activated protein kinase, phospholipase C-gamma and Akt, as well as reduced BDNF-induced neurite outgrowth and cell survival in stably transfected PC12 cell lines. However, the signaling properties of I98V, P660L and T821A were all indistinguishable from wild type. CONCLUSION: We provide further evidence for the impairment in signaling by Y722C and show that as well as a loss of signaling, this mutation affects the ability of TrkB to promote neurite outgrowth in response to BDNF. Thus, impaired hypothalamic neurogenesis may contribute to the severe hyperphagia and obesity seen in the individual harboring the Y722C variant. The other three rare TrkB variants do not show reduced autophosphorylation or impaired downstream signaling in vitro and, as yet, it is unclear whether these variants contribute to obesity in these patients.","author":[{"dropping-particle":"","family":"Gray","given":"J","non-dropping-particle":"","parse-names":false,"suffix":""},{"dropping-particle":"","family":"Yeo","given":"G","non-dropping-particle":"","parse-names":false,"suffix":""},{"dropping-particle":"","family":"Hung","given":"C","non-dropping-particle":"","parse-names":false,"suffix":""},{"dropping-particle":"","family":"Keogh","given":"J","non-dropping-particle":"","parse-names":false,"suffix":""},{"dropping-particle":"","family":"Clayton","given":"P","non-dropping-particle":"","parse-names":false,"suffix":""},{"dropping-particle":"","family":"Banerjee","given":"K","non-dropping-particle":"","parse-names":false,"suffix":""},{"dropping-particle":"","family":"McAulay","given":"A","non-dropping-particle":"","parse-names":false,"suffix":""},{"dropping-particle":"","family":"O'Rahilly","given":"S","non-dropping-particle":"","parse-names":false,"suffix":""},{"dropping-particle":"","family":"Farooqi","given":"I S","non-dropping-particle":"","parse-names":false,"suffix":""}],"container-title":"International journal of obesity (2005)","id":"ITEM-1","issue":"2","issued":{"date-parts":[["2007","2"]]},"language":"eng","page":"359-364","publisher-place":"England","title":"Functional characterization of human NTRK2 mutations identified in patients with  severe early-onset obesity.","type":"article-journal","volume":"31"},"uris":["http://www.mendeley.com/documents/?uuid=edeac824-bc7c-4c8a-be36-bd1ac1a47773"]}],"mendeley":{"formattedCitation":"&lt;sup&gt;34&lt;/sup&gt;","plainTextFormattedCitation":"34","previouslyFormattedCitation":"&lt;sup&gt;34&lt;/sup&gt;"},"properties":{"noteIndex":0},"schema":"https://github.com/citation-style-language/schema/raw/master/csl-citation.json"}</w:instrText>
            </w:r>
            <w:r>
              <w:rPr>
                <w:color w:val="000000"/>
                <w:sz w:val="20"/>
                <w:szCs w:val="20"/>
                <w:lang w:val="en-US"/>
              </w:rPr>
              <w:fldChar w:fldCharType="separate"/>
            </w:r>
            <w:r w:rsidRPr="00B95999">
              <w:rPr>
                <w:noProof/>
                <w:color w:val="000000"/>
                <w:sz w:val="20"/>
                <w:szCs w:val="20"/>
                <w:vertAlign w:val="superscript"/>
                <w:lang w:val="en-US"/>
              </w:rPr>
              <w:t>34</w:t>
            </w:r>
            <w:r>
              <w:rPr>
                <w:color w:val="000000"/>
                <w:sz w:val="20"/>
                <w:szCs w:val="20"/>
                <w:lang w:val="en-US"/>
              </w:rPr>
              <w:fldChar w:fldCharType="end"/>
            </w:r>
          </w:p>
        </w:tc>
        <w:tc>
          <w:tcPr>
            <w:tcW w:w="1134" w:type="dxa"/>
            <w:tcBorders>
              <w:top w:val="nil"/>
              <w:left w:val="nil"/>
              <w:bottom w:val="nil"/>
              <w:right w:val="nil"/>
            </w:tcBorders>
            <w:shd w:val="clear" w:color="auto" w:fill="auto"/>
            <w:noWrap/>
            <w:vAlign w:val="center"/>
            <w:hideMark/>
          </w:tcPr>
          <w:p w14:paraId="3F2D91BA" w14:textId="77777777" w:rsidR="00DC2DB2" w:rsidRPr="00B95999" w:rsidRDefault="00DC2DB2" w:rsidP="00EB4A43">
            <w:pPr>
              <w:jc w:val="center"/>
              <w:rPr>
                <w:i/>
                <w:color w:val="000000"/>
                <w:sz w:val="20"/>
                <w:szCs w:val="20"/>
                <w:lang w:val="en-US"/>
              </w:rPr>
            </w:pPr>
            <w:r w:rsidRPr="00B95999">
              <w:rPr>
                <w:i/>
                <w:color w:val="000000"/>
                <w:sz w:val="20"/>
                <w:szCs w:val="20"/>
                <w:lang w:val="en-US"/>
              </w:rPr>
              <w:t>NTRK2</w:t>
            </w:r>
          </w:p>
        </w:tc>
        <w:tc>
          <w:tcPr>
            <w:tcW w:w="1047" w:type="dxa"/>
            <w:tcBorders>
              <w:top w:val="nil"/>
              <w:left w:val="nil"/>
              <w:bottom w:val="nil"/>
              <w:right w:val="nil"/>
            </w:tcBorders>
            <w:shd w:val="clear" w:color="auto" w:fill="auto"/>
            <w:noWrap/>
            <w:vAlign w:val="center"/>
            <w:hideMark/>
          </w:tcPr>
          <w:p w14:paraId="523C662F" w14:textId="77777777" w:rsidR="00DC2DB2" w:rsidRPr="00B95999" w:rsidRDefault="00DC2DB2" w:rsidP="00EB4A43">
            <w:pPr>
              <w:jc w:val="center"/>
              <w:rPr>
                <w:color w:val="000000"/>
                <w:sz w:val="20"/>
                <w:szCs w:val="20"/>
                <w:lang w:val="en-US"/>
              </w:rPr>
            </w:pPr>
            <w:r w:rsidRPr="00B95999">
              <w:rPr>
                <w:sz w:val="20"/>
                <w:szCs w:val="20"/>
                <w:lang w:val="en-US"/>
              </w:rPr>
              <w:t>2-2-2</w:t>
            </w:r>
          </w:p>
        </w:tc>
        <w:tc>
          <w:tcPr>
            <w:tcW w:w="1807" w:type="dxa"/>
            <w:tcBorders>
              <w:top w:val="nil"/>
              <w:left w:val="nil"/>
              <w:bottom w:val="nil"/>
              <w:right w:val="nil"/>
            </w:tcBorders>
            <w:shd w:val="clear" w:color="auto" w:fill="auto"/>
            <w:noWrap/>
            <w:vAlign w:val="center"/>
            <w:hideMark/>
          </w:tcPr>
          <w:p w14:paraId="7228FC34" w14:textId="77777777" w:rsidR="00DC2DB2" w:rsidRPr="00B95999" w:rsidRDefault="00DC2DB2" w:rsidP="00EB4A43">
            <w:pPr>
              <w:jc w:val="center"/>
              <w:rPr>
                <w:color w:val="000000"/>
                <w:sz w:val="20"/>
                <w:szCs w:val="20"/>
                <w:lang w:val="en-US"/>
              </w:rPr>
            </w:pPr>
            <w:r w:rsidRPr="00B95999">
              <w:rPr>
                <w:color w:val="000000"/>
                <w:sz w:val="20"/>
                <w:szCs w:val="20"/>
                <w:lang w:val="en-US"/>
              </w:rPr>
              <w:t>SO+D</w:t>
            </w:r>
            <w:r>
              <w:rPr>
                <w:color w:val="000000"/>
                <w:sz w:val="20"/>
                <w:szCs w:val="20"/>
                <w:lang w:val="en-US"/>
              </w:rPr>
              <w:t>D</w:t>
            </w:r>
          </w:p>
        </w:tc>
        <w:tc>
          <w:tcPr>
            <w:tcW w:w="1733" w:type="dxa"/>
            <w:tcBorders>
              <w:top w:val="nil"/>
              <w:left w:val="nil"/>
              <w:bottom w:val="nil"/>
              <w:right w:val="nil"/>
            </w:tcBorders>
            <w:shd w:val="clear" w:color="auto" w:fill="auto"/>
            <w:noWrap/>
            <w:vAlign w:val="center"/>
            <w:hideMark/>
          </w:tcPr>
          <w:p w14:paraId="29603CA5" w14:textId="77777777" w:rsidR="00DC2DB2" w:rsidRPr="00B95999" w:rsidRDefault="00DC2DB2" w:rsidP="00EB4A43">
            <w:pPr>
              <w:jc w:val="center"/>
              <w:rPr>
                <w:color w:val="000000"/>
                <w:sz w:val="20"/>
                <w:szCs w:val="20"/>
                <w:lang w:val="en-US"/>
              </w:rPr>
            </w:pPr>
            <w:r w:rsidRPr="00B95999">
              <w:rPr>
                <w:color w:val="000000"/>
                <w:sz w:val="20"/>
                <w:szCs w:val="20"/>
                <w:lang w:val="en-US"/>
              </w:rPr>
              <w:t>UK</w:t>
            </w:r>
          </w:p>
        </w:tc>
      </w:tr>
      <w:tr w:rsidR="00DC2DB2" w:rsidRPr="00B95999" w14:paraId="60857790" w14:textId="77777777" w:rsidTr="00EB4A43">
        <w:trPr>
          <w:trHeight w:val="315"/>
          <w:jc w:val="center"/>
        </w:trPr>
        <w:tc>
          <w:tcPr>
            <w:tcW w:w="3005" w:type="dxa"/>
            <w:tcBorders>
              <w:top w:val="nil"/>
              <w:left w:val="nil"/>
              <w:bottom w:val="nil"/>
              <w:right w:val="nil"/>
            </w:tcBorders>
            <w:shd w:val="clear" w:color="auto" w:fill="auto"/>
            <w:noWrap/>
            <w:vAlign w:val="center"/>
            <w:hideMark/>
          </w:tcPr>
          <w:p w14:paraId="569B630E" w14:textId="77777777" w:rsidR="00DC2DB2" w:rsidRPr="00B95999" w:rsidRDefault="00DC2DB2" w:rsidP="00EB4A43">
            <w:pPr>
              <w:jc w:val="center"/>
              <w:rPr>
                <w:color w:val="000000"/>
                <w:sz w:val="20"/>
                <w:szCs w:val="20"/>
                <w:lang w:val="en-US"/>
              </w:rPr>
            </w:pPr>
            <w:r w:rsidRPr="00B95999">
              <w:rPr>
                <w:color w:val="000000"/>
                <w:sz w:val="20"/>
                <w:szCs w:val="20"/>
                <w:lang w:val="en-US"/>
              </w:rPr>
              <w:t>Hung, et al. 2007</w:t>
            </w:r>
            <w:r>
              <w:rPr>
                <w:color w:val="000000"/>
                <w:sz w:val="20"/>
                <w:szCs w:val="20"/>
                <w:lang w:val="en-US"/>
              </w:rPr>
              <w:fldChar w:fldCharType="begin" w:fldLock="1"/>
            </w:r>
            <w:r>
              <w:rPr>
                <w:color w:val="000000"/>
                <w:sz w:val="20"/>
                <w:szCs w:val="20"/>
                <w:lang w:val="en-US"/>
              </w:rPr>
              <w:instrText>ADDIN CSL_CITATION {"citationItems":[{"id":"ITEM-1","itemData":{"DOI":"10.1038/sj.ijo.0803443","ISSN":"0307-0565 (Print)","PMID":"16924270","abstract":"OBJECTIVE: The single-minded 1 (SIM1) is a basic helix-loop-helix transcription  factor, which plays a critical role in the development of the paraventricular nucleus (PVN) of the hypothalamus. SIM1-deficient mice have a hypocellular PVN and are severely obese with increased food intake. DESIGN: We examined whether variants in the SIM1 gene might be associated with severe early-onset obesity in humans. Two hundred and seventy-seven subjects with hyperphagia and severe, early-onset obesity were screened. Association studies with common single-nucleotide polymorphisms (SNPs) in the SIM1 gene were performed in two population-based cohorts. RESULTS: One novel missense mutation, I128T, was found in one obese subject and not in 192 controls. However, the variant did not co-segregate with obesity in the family. Four SNPs, IVS4+83GA, P352T, A371V and T653T, were also identified. The two common SNPs, P352T and A371V, which are in complete linkage disequilibrium, were genotyped in 981 subjects from a population-based cohort, the Ely Study. An allele frequency of 0.13 was observed. Male subjects carrying the P352T/A371V haplotype were found to have a slightly higher body mass index (BMI; P=0.038). Female subjects homozygous for the haplotype gained more weight over a period of 4.5 and 10 years (P=0.003 and P=0.02, respectively). The association studies were repeated in another population-based cohort, the European Prospective Investigation into Cancer and Nutrition (EPIC) - Norfolk Study with 4869 subjects successfully genotyped. Male subjects homozygous for the P352T/A371V haplotype had slightly higher BMI (P=0.04). CONCLUSION: Mutations in SIM1 are not commonly found in humans with severe early-onset obesity. The relationship between the common variants in SIM1 with BMI and body weight gain deserves further exploration in other populations.","author":[{"dropping-particle":"","family":"Hung","given":"C-C C","non-dropping-particle":"","parse-names":false,"suffix":""},{"dropping-particle":"","family":"Luan","given":"J","non-dropping-particle":"","parse-names":false,"suffix":""},{"dropping-particle":"","family":"Sims","given":"M","non-dropping-particle":"","parse-names":false,"suffix":""},{"dropping-particle":"","family":"Keogh","given":"J M","non-dropping-particle":"","parse-names":false,"suffix":""},{"dropping-particle":"","family":"Hall","given":"C","non-dropping-particle":"","parse-names":false,"suffix":""},{"dropping-particle":"","family":"Wareham","given":"N J","non-dropping-particle":"","parse-names":false,"suffix":""},{"dropping-particle":"","family":"O'Rahilly","given":"S","non-dropping-particle":"","parse-names":false,"suffix":""},{"dropping-particle":"","family":"Farooqi","given":"I S","non-dropping-particle":"","parse-names":false,"suffix":""}],"container-title":"International journal of obesity (2005)","id":"ITEM-1","issue":"3","issued":{"date-parts":[["2007","3"]]},"language":"eng","page":"429-434","publisher-place":"England","title":"Studies of the SIM1 gene in relation to human obesity and obesity-related traits.","type":"article-journal","volume":"31"},"uris":["http://www.mendeley.com/documents/?uuid=6f704dbc-2b24-4e66-8b0a-c05d5ce006d6"]}],"mendeley":{"formattedCitation":"&lt;sup&gt;35&lt;/sup&gt;","plainTextFormattedCitation":"35","previouslyFormattedCitation":"&lt;sup&gt;35&lt;/sup&gt;"},"properties":{"noteIndex":0},"schema":"https://github.com/citation-style-language/schema/raw/master/csl-citation.json"}</w:instrText>
            </w:r>
            <w:r>
              <w:rPr>
                <w:color w:val="000000"/>
                <w:sz w:val="20"/>
                <w:szCs w:val="20"/>
                <w:lang w:val="en-US"/>
              </w:rPr>
              <w:fldChar w:fldCharType="separate"/>
            </w:r>
            <w:r w:rsidRPr="00B95999">
              <w:rPr>
                <w:noProof/>
                <w:color w:val="000000"/>
                <w:sz w:val="20"/>
                <w:szCs w:val="20"/>
                <w:vertAlign w:val="superscript"/>
                <w:lang w:val="en-US"/>
              </w:rPr>
              <w:t>35</w:t>
            </w:r>
            <w:r>
              <w:rPr>
                <w:color w:val="000000"/>
                <w:sz w:val="20"/>
                <w:szCs w:val="20"/>
                <w:lang w:val="en-US"/>
              </w:rPr>
              <w:fldChar w:fldCharType="end"/>
            </w:r>
          </w:p>
        </w:tc>
        <w:tc>
          <w:tcPr>
            <w:tcW w:w="1134" w:type="dxa"/>
            <w:tcBorders>
              <w:top w:val="nil"/>
              <w:left w:val="nil"/>
              <w:bottom w:val="nil"/>
              <w:right w:val="nil"/>
            </w:tcBorders>
            <w:shd w:val="clear" w:color="auto" w:fill="auto"/>
            <w:noWrap/>
            <w:vAlign w:val="center"/>
            <w:hideMark/>
          </w:tcPr>
          <w:p w14:paraId="2233EB6D" w14:textId="77777777" w:rsidR="00DC2DB2" w:rsidRPr="00B95999" w:rsidRDefault="00DC2DB2" w:rsidP="00EB4A43">
            <w:pPr>
              <w:jc w:val="center"/>
              <w:rPr>
                <w:i/>
                <w:color w:val="000000"/>
                <w:sz w:val="20"/>
                <w:szCs w:val="20"/>
                <w:lang w:val="en-US"/>
              </w:rPr>
            </w:pPr>
            <w:r w:rsidRPr="00B95999">
              <w:rPr>
                <w:i/>
                <w:color w:val="000000"/>
                <w:sz w:val="20"/>
                <w:szCs w:val="20"/>
                <w:lang w:val="en-US"/>
              </w:rPr>
              <w:t>SIM1</w:t>
            </w:r>
          </w:p>
        </w:tc>
        <w:tc>
          <w:tcPr>
            <w:tcW w:w="1047" w:type="dxa"/>
            <w:tcBorders>
              <w:top w:val="nil"/>
              <w:left w:val="nil"/>
              <w:bottom w:val="nil"/>
              <w:right w:val="nil"/>
            </w:tcBorders>
            <w:shd w:val="clear" w:color="auto" w:fill="auto"/>
            <w:noWrap/>
            <w:vAlign w:val="center"/>
            <w:hideMark/>
          </w:tcPr>
          <w:p w14:paraId="3CDB782F" w14:textId="77777777" w:rsidR="00DC2DB2" w:rsidRPr="00B95999" w:rsidRDefault="00DC2DB2" w:rsidP="00EB4A43">
            <w:pPr>
              <w:jc w:val="center"/>
              <w:rPr>
                <w:color w:val="000000"/>
                <w:sz w:val="20"/>
                <w:szCs w:val="20"/>
                <w:lang w:val="en-US"/>
              </w:rPr>
            </w:pPr>
            <w:r w:rsidRPr="00B95999">
              <w:rPr>
                <w:sz w:val="20"/>
                <w:szCs w:val="20"/>
                <w:lang w:val="en-US"/>
              </w:rPr>
              <w:t>1-1-1</w:t>
            </w:r>
          </w:p>
        </w:tc>
        <w:tc>
          <w:tcPr>
            <w:tcW w:w="1807" w:type="dxa"/>
            <w:tcBorders>
              <w:top w:val="nil"/>
              <w:left w:val="nil"/>
              <w:bottom w:val="nil"/>
              <w:right w:val="nil"/>
            </w:tcBorders>
            <w:shd w:val="clear" w:color="auto" w:fill="auto"/>
            <w:noWrap/>
            <w:vAlign w:val="center"/>
            <w:hideMark/>
          </w:tcPr>
          <w:p w14:paraId="4A9E76C5" w14:textId="77777777" w:rsidR="00DC2DB2" w:rsidRPr="00B95999" w:rsidRDefault="00DC2DB2" w:rsidP="00EB4A43">
            <w:pPr>
              <w:jc w:val="center"/>
              <w:rPr>
                <w:color w:val="000000"/>
                <w:sz w:val="20"/>
                <w:szCs w:val="20"/>
                <w:lang w:val="en-US"/>
              </w:rPr>
            </w:pPr>
            <w:r w:rsidRPr="00B95999">
              <w:rPr>
                <w:color w:val="000000"/>
                <w:sz w:val="20"/>
                <w:szCs w:val="20"/>
                <w:lang w:val="en-US"/>
              </w:rPr>
              <w:t>SEOO</w:t>
            </w:r>
          </w:p>
        </w:tc>
        <w:tc>
          <w:tcPr>
            <w:tcW w:w="1733" w:type="dxa"/>
            <w:tcBorders>
              <w:top w:val="nil"/>
              <w:left w:val="nil"/>
              <w:bottom w:val="nil"/>
              <w:right w:val="nil"/>
            </w:tcBorders>
            <w:shd w:val="clear" w:color="auto" w:fill="auto"/>
            <w:noWrap/>
            <w:vAlign w:val="center"/>
            <w:hideMark/>
          </w:tcPr>
          <w:p w14:paraId="3C3F3949" w14:textId="77777777" w:rsidR="00DC2DB2" w:rsidRPr="00B95999" w:rsidRDefault="00DC2DB2" w:rsidP="00EB4A43">
            <w:pPr>
              <w:jc w:val="center"/>
              <w:rPr>
                <w:color w:val="000000"/>
                <w:sz w:val="20"/>
                <w:szCs w:val="20"/>
                <w:lang w:val="en-US"/>
              </w:rPr>
            </w:pPr>
            <w:r w:rsidRPr="00B95999">
              <w:rPr>
                <w:color w:val="000000"/>
                <w:sz w:val="20"/>
                <w:szCs w:val="20"/>
                <w:lang w:val="en-US"/>
              </w:rPr>
              <w:t>UK</w:t>
            </w:r>
          </w:p>
        </w:tc>
      </w:tr>
      <w:tr w:rsidR="00DC2DB2" w:rsidRPr="00B95999" w14:paraId="0E01785F" w14:textId="77777777" w:rsidTr="00EB4A43">
        <w:trPr>
          <w:trHeight w:val="315"/>
          <w:jc w:val="center"/>
        </w:trPr>
        <w:tc>
          <w:tcPr>
            <w:tcW w:w="3005" w:type="dxa"/>
            <w:tcBorders>
              <w:top w:val="nil"/>
              <w:left w:val="nil"/>
              <w:bottom w:val="nil"/>
              <w:right w:val="nil"/>
            </w:tcBorders>
            <w:shd w:val="clear" w:color="auto" w:fill="auto"/>
            <w:noWrap/>
            <w:vAlign w:val="center"/>
            <w:hideMark/>
          </w:tcPr>
          <w:p w14:paraId="7B48CB8A" w14:textId="77777777" w:rsidR="00DC2DB2" w:rsidRPr="00B95999" w:rsidRDefault="00DC2DB2" w:rsidP="00EB4A43">
            <w:pPr>
              <w:jc w:val="center"/>
              <w:rPr>
                <w:color w:val="000000"/>
                <w:sz w:val="20"/>
                <w:szCs w:val="20"/>
                <w:lang w:val="en-US"/>
              </w:rPr>
            </w:pPr>
            <w:proofErr w:type="spellStart"/>
            <w:r w:rsidRPr="00B95999">
              <w:rPr>
                <w:color w:val="000000"/>
                <w:sz w:val="20"/>
                <w:szCs w:val="20"/>
                <w:lang w:val="en-US"/>
              </w:rPr>
              <w:t>Bonnefond</w:t>
            </w:r>
            <w:proofErr w:type="spellEnd"/>
            <w:r w:rsidRPr="00B95999">
              <w:rPr>
                <w:color w:val="000000"/>
                <w:sz w:val="20"/>
                <w:szCs w:val="20"/>
                <w:lang w:val="en-US"/>
              </w:rPr>
              <w:t>, et al. 2013</w:t>
            </w:r>
            <w:r>
              <w:rPr>
                <w:color w:val="000000"/>
                <w:sz w:val="20"/>
                <w:szCs w:val="20"/>
                <w:lang w:val="en-US"/>
              </w:rPr>
              <w:fldChar w:fldCharType="begin" w:fldLock="1"/>
            </w:r>
            <w:r>
              <w:rPr>
                <w:color w:val="000000"/>
                <w:sz w:val="20"/>
                <w:szCs w:val="20"/>
                <w:lang w:val="en-US"/>
              </w:rPr>
              <w:instrText>ADDIN CSL_CITATION {"citationItems":[{"id":"ITEM-1","itemData":{"DOI":"10.1172/JCI68035DS1","ISBN":"1558-8238 (Electronic)\\r0021-9738 (Linking)","ISSN":"1558-8238","PMID":"23778136","author":[{"dropping-particle":"","family":"Bonnefond","given":"Amélie","non-dropping-particle":"","parse-names":false,"suffix":""},{"dropping-particle":"","family":"Raimondo","given":"Anne","non-dropping-particle":"","parse-names":false,"suffix":""},{"dropping-particle":"","family":"Stutzmann","given":"Fanny","non-dropping-particle":"","parse-names":false,"suffix":""},{"dropping-particle":"","family":"Ghoussaini","given":"Maya","non-dropping-particle":"","parse-names":false,"suffix":""},{"dropping-particle":"","family":"Ramachandrappa","given":"Shwetha","non-dropping-particle":"","parse-names":false,"suffix":""},{"dropping-particle":"","family":"Bersten","given":"David C","non-dropping-particle":"","parse-names":false,"suffix":""},{"dropping-particle":"","family":"Durand","given":"Emmanuelle","non-dropping-particle":"","parse-names":false,"suffix":""},{"dropping-particle":"","family":"Vatin","given":"Vincent","non-dropping-particle":"","parse-names":false,"suffix":""},{"dropping-particle":"Van","family":"Gaal","given":"Luc","non-dropping-particle":"","parse-names":false,"suffix":""},{"dropping-particle":"","family":"Peet","given":"Daniel J","non-dropping-particle":"","parse-names":false,"suffix":""},{"dropping-particle":"","family":"Weill","given":"Jacques","non-dropping-particle":"","parse-names":false,"suffix":""},{"dropping-particle":"","family":"Miller","given":"Jennifer L","non-dropping-particle":"","parse-names":false,"suffix":""},{"dropping-particle":"","family":"Horber","given":"Fritz","non-dropping-particle":"","parse-names":false,"suffix":""},{"dropping-particle":"","family":"Goldstone","given":"Anthony P","non-dropping-particle":"","parse-names":false,"suffix":""},{"dropping-particle":"","family":"Driscoll","given":"Daniel J","non-dropping-particle":"","parse-names":false,"suffix":""},{"dropping-particle":"","family":"Bruning","given":"John B","non-dropping-particle":"","parse-names":false,"suffix":""},{"dropping-particle":"","family":"Meyre","given":"David","non-dropping-particle":"","parse-names":false,"suffix":""},{"dropping-particle":"","family":"Whitelaw","given":"Murray L","non-dropping-particle":"","parse-names":false,"suffix":""},{"dropping-particle":"","family":"Froguel","given":"Philippe","non-dropping-particle":"","parse-names":false,"suffix":""}],"container-title":"Journal of clinical investigation","id":"ITEM-1","issue":"7","issued":{"date-parts":[["2013"]]},"page":"3037-3041","title":"Loss-of-function mutations in SIM1 contribute to obesity and Prader-Willi – like features","type":"article-journal","volume":"123"},"uris":["http://www.mendeley.com/documents/?uuid=df8656cb-cba5-406e-8bbd-f630fd5e9aac"]}],"mendeley":{"formattedCitation":"&lt;sup&gt;36&lt;/sup&gt;","plainTextFormattedCitation":"36","previouslyFormattedCitation":"&lt;sup&gt;36&lt;/sup&gt;"},"properties":{"noteIndex":0},"schema":"https://github.com/citation-style-language/schema/raw/master/csl-citation.json"}</w:instrText>
            </w:r>
            <w:r>
              <w:rPr>
                <w:color w:val="000000"/>
                <w:sz w:val="20"/>
                <w:szCs w:val="20"/>
                <w:lang w:val="en-US"/>
              </w:rPr>
              <w:fldChar w:fldCharType="separate"/>
            </w:r>
            <w:r w:rsidRPr="00B95999">
              <w:rPr>
                <w:noProof/>
                <w:color w:val="000000"/>
                <w:sz w:val="20"/>
                <w:szCs w:val="20"/>
                <w:vertAlign w:val="superscript"/>
                <w:lang w:val="en-US"/>
              </w:rPr>
              <w:t>36</w:t>
            </w:r>
            <w:r>
              <w:rPr>
                <w:color w:val="000000"/>
                <w:sz w:val="20"/>
                <w:szCs w:val="20"/>
                <w:lang w:val="en-US"/>
              </w:rPr>
              <w:fldChar w:fldCharType="end"/>
            </w:r>
          </w:p>
        </w:tc>
        <w:tc>
          <w:tcPr>
            <w:tcW w:w="1134" w:type="dxa"/>
            <w:tcBorders>
              <w:top w:val="nil"/>
              <w:left w:val="nil"/>
              <w:bottom w:val="nil"/>
              <w:right w:val="nil"/>
            </w:tcBorders>
            <w:shd w:val="clear" w:color="auto" w:fill="auto"/>
            <w:noWrap/>
            <w:vAlign w:val="center"/>
            <w:hideMark/>
          </w:tcPr>
          <w:p w14:paraId="32B5737B" w14:textId="77777777" w:rsidR="00DC2DB2" w:rsidRPr="00B95999" w:rsidRDefault="00DC2DB2" w:rsidP="00EB4A43">
            <w:pPr>
              <w:jc w:val="center"/>
              <w:rPr>
                <w:i/>
                <w:color w:val="000000"/>
                <w:sz w:val="20"/>
                <w:szCs w:val="20"/>
                <w:lang w:val="en-US"/>
              </w:rPr>
            </w:pPr>
            <w:r w:rsidRPr="00B95999">
              <w:rPr>
                <w:i/>
                <w:color w:val="000000"/>
                <w:sz w:val="20"/>
                <w:szCs w:val="20"/>
                <w:lang w:val="en-US"/>
              </w:rPr>
              <w:t>SIM1</w:t>
            </w:r>
          </w:p>
        </w:tc>
        <w:tc>
          <w:tcPr>
            <w:tcW w:w="1047" w:type="dxa"/>
            <w:tcBorders>
              <w:top w:val="nil"/>
              <w:left w:val="nil"/>
              <w:bottom w:val="nil"/>
              <w:right w:val="nil"/>
            </w:tcBorders>
            <w:shd w:val="clear" w:color="auto" w:fill="auto"/>
            <w:noWrap/>
            <w:vAlign w:val="center"/>
            <w:hideMark/>
          </w:tcPr>
          <w:p w14:paraId="761C0362" w14:textId="77777777" w:rsidR="00DC2DB2" w:rsidRPr="00B95999" w:rsidRDefault="00DC2DB2" w:rsidP="00EB4A43">
            <w:pPr>
              <w:jc w:val="center"/>
              <w:rPr>
                <w:color w:val="000000"/>
                <w:sz w:val="20"/>
                <w:szCs w:val="20"/>
                <w:lang w:val="en-US"/>
              </w:rPr>
            </w:pPr>
            <w:r w:rsidRPr="00B95999">
              <w:rPr>
                <w:sz w:val="20"/>
                <w:szCs w:val="20"/>
                <w:lang w:val="en-US"/>
              </w:rPr>
              <w:t>2-2-1</w:t>
            </w:r>
          </w:p>
        </w:tc>
        <w:tc>
          <w:tcPr>
            <w:tcW w:w="1807" w:type="dxa"/>
            <w:tcBorders>
              <w:top w:val="nil"/>
              <w:left w:val="nil"/>
              <w:bottom w:val="nil"/>
              <w:right w:val="nil"/>
            </w:tcBorders>
            <w:shd w:val="clear" w:color="auto" w:fill="auto"/>
            <w:noWrap/>
            <w:vAlign w:val="center"/>
            <w:hideMark/>
          </w:tcPr>
          <w:p w14:paraId="2BBAAE4E" w14:textId="77777777" w:rsidR="00DC2DB2" w:rsidRPr="00B95999" w:rsidRDefault="00DC2DB2" w:rsidP="00EB4A43">
            <w:pPr>
              <w:jc w:val="center"/>
              <w:rPr>
                <w:color w:val="000000"/>
                <w:sz w:val="20"/>
                <w:szCs w:val="20"/>
                <w:lang w:val="en-US"/>
              </w:rPr>
            </w:pPr>
            <w:r w:rsidRPr="00B95999">
              <w:rPr>
                <w:color w:val="000000"/>
                <w:sz w:val="20"/>
                <w:szCs w:val="20"/>
                <w:lang w:val="en-US"/>
              </w:rPr>
              <w:t>SEOO, SO, PWL</w:t>
            </w:r>
          </w:p>
        </w:tc>
        <w:tc>
          <w:tcPr>
            <w:tcW w:w="1733" w:type="dxa"/>
            <w:tcBorders>
              <w:top w:val="nil"/>
              <w:left w:val="nil"/>
              <w:bottom w:val="nil"/>
              <w:right w:val="nil"/>
            </w:tcBorders>
            <w:shd w:val="clear" w:color="auto" w:fill="auto"/>
            <w:noWrap/>
            <w:vAlign w:val="center"/>
            <w:hideMark/>
          </w:tcPr>
          <w:p w14:paraId="33BDA8CC" w14:textId="77777777" w:rsidR="00DC2DB2" w:rsidRPr="00B95999" w:rsidRDefault="00DC2DB2" w:rsidP="00EB4A43">
            <w:pPr>
              <w:jc w:val="center"/>
              <w:rPr>
                <w:color w:val="000000"/>
                <w:sz w:val="20"/>
                <w:szCs w:val="20"/>
                <w:lang w:val="en-US"/>
              </w:rPr>
            </w:pPr>
            <w:r w:rsidRPr="00B95999">
              <w:rPr>
                <w:color w:val="000000"/>
                <w:sz w:val="20"/>
                <w:szCs w:val="20"/>
                <w:lang w:val="en-US"/>
              </w:rPr>
              <w:t>France</w:t>
            </w:r>
          </w:p>
        </w:tc>
      </w:tr>
      <w:tr w:rsidR="00DC2DB2" w:rsidRPr="00B95999" w14:paraId="7739D3E7" w14:textId="77777777" w:rsidTr="00EB4A43">
        <w:trPr>
          <w:trHeight w:val="315"/>
          <w:jc w:val="center"/>
        </w:trPr>
        <w:tc>
          <w:tcPr>
            <w:tcW w:w="3005" w:type="dxa"/>
            <w:tcBorders>
              <w:top w:val="nil"/>
              <w:left w:val="nil"/>
              <w:bottom w:val="nil"/>
              <w:right w:val="nil"/>
            </w:tcBorders>
            <w:shd w:val="clear" w:color="auto" w:fill="auto"/>
            <w:noWrap/>
            <w:vAlign w:val="center"/>
            <w:hideMark/>
          </w:tcPr>
          <w:p w14:paraId="69739B51" w14:textId="77777777" w:rsidR="00DC2DB2" w:rsidRPr="00B95999" w:rsidRDefault="00DC2DB2" w:rsidP="00EB4A43">
            <w:pPr>
              <w:jc w:val="center"/>
              <w:rPr>
                <w:color w:val="000000"/>
                <w:sz w:val="20"/>
                <w:szCs w:val="20"/>
                <w:lang w:val="en-US"/>
              </w:rPr>
            </w:pPr>
            <w:proofErr w:type="spellStart"/>
            <w:r w:rsidRPr="00B95999">
              <w:rPr>
                <w:color w:val="000000"/>
                <w:sz w:val="20"/>
                <w:szCs w:val="20"/>
                <w:lang w:val="en-US"/>
              </w:rPr>
              <w:t>Ramachandrappa</w:t>
            </w:r>
            <w:proofErr w:type="spellEnd"/>
            <w:r w:rsidRPr="00B95999">
              <w:rPr>
                <w:color w:val="000000"/>
                <w:sz w:val="20"/>
                <w:szCs w:val="20"/>
                <w:lang w:val="en-US"/>
              </w:rPr>
              <w:t>, et al. 2013</w:t>
            </w:r>
            <w:r>
              <w:rPr>
                <w:color w:val="000000"/>
                <w:sz w:val="20"/>
                <w:szCs w:val="20"/>
                <w:lang w:val="en-US"/>
              </w:rPr>
              <w:fldChar w:fldCharType="begin" w:fldLock="1"/>
            </w:r>
            <w:r>
              <w:rPr>
                <w:color w:val="000000"/>
                <w:sz w:val="20"/>
                <w:szCs w:val="20"/>
                <w:lang w:val="en-US"/>
              </w:rPr>
              <w:instrText>ADDIN CSL_CITATION {"citationItems":[{"id":"ITEM-1","itemData":{"DOI":"10.1172/JCI68016DS1","author":[{"dropping-particle":"","family":"Ramachandrappa","given":"Shwetha","non-dropping-particle":"","parse-names":false,"suffix":""},{"dropping-particle":"","family":"Raimondo","given":"Anne","non-dropping-particle":"","parse-names":false,"suffix":""},{"dropping-particle":"","family":"Cali","given":"Anna M G","non-dropping-particle":"","parse-names":false,"suffix":""},{"dropping-particle":"","family":"Keogh","given":"Julia M","non-dropping-particle":"","parse-names":false,"suffix":""},{"dropping-particle":"","family":"Henning","given":"Elana","non-dropping-particle":"","parse-names":false,"suffix":""},{"dropping-particle":"","family":"Saeed","given":"Sadia","non-dropping-particle":"","parse-names":false,"suffix":""},{"dropping-particle":"","family":"Thompson","given":"Amanda","non-dropping-particle":"","parse-names":false,"suffix":""},{"dropping-particle":"","family":"Garg","given":"Sumedha","non-dropping-particle":"","parse-names":false,"suffix":""},{"dropping-particle":"","family":"Bochukova","given":"Elena G","non-dropping-particle":"","parse-names":false,"suffix":""},{"dropping-particle":"","family":"Brage","given":"Soren","non-dropping-particle":"","parse-names":false,"suffix":""},{"dropping-particle":"","family":"Trowse","given":"Victoria","non-dropping-particle":"","parse-names":false,"suffix":""},{"dropping-particle":"","family":"Wheeler","given":"Eleanor","non-dropping-particle":"","parse-names":false,"suffix":""},{"dropping-particle":"","family":"Sullivan","given":"Adrienne E","non-dropping-particle":"","parse-names":false,"suffix":""},{"dropping-particle":"","family":"Dattani","given":"Mehul","non-dropping-particle":"","parse-names":false,"suffix":""},{"dropping-particle":"","family":"Clayton","given":"Peter E","non-dropping-particle":"","parse-names":false,"suffix":""},{"dropping-particle":"","family":"Datta","given":"Vippan","non-dropping-particle":"","parse-names":false,"suffix":""},{"dropping-particle":"","family":"Bruning","given":"John B","non-dropping-particle":"","parse-names":false,"suffix":""},{"dropping-particle":"","family":"Wareham","given":"Nick J","non-dropping-particle":"","parse-names":false,"suffix":""},{"dropping-particle":"","family":"Rahilly","given":"Stephen O","non-dropping-particle":"","parse-names":false,"suffix":""},{"dropping-particle":"","family":"Peet","given":"Daniel J","non-dropping-particle":"","parse-names":false,"suffix":""},{"dropping-particle":"","family":"Barroso","given":"Ines","non-dropping-particle":"","parse-names":false,"suffix":""},{"dropping-particle":"","family":"Whitelaw","given":"Murray L","non-dropping-particle":"","parse-names":false,"suffix":""},{"dropping-particle":"","family":"Farooqi","given":"I Sadaf","non-dropping-particle":"","parse-names":false,"suffix":""}],"container-title":"Journal of Clinical Investigation","id":"ITEM-1","issue":"7","issued":{"date-parts":[["2013"]]},"page":"1-9","title":"Rare variants in single-minded 1 (SIM1) are associated with severe obesity","type":"article-journal","volume":"123"},"uris":["http://www.mendeley.com/documents/?uuid=fe153cc4-725d-409b-a792-334fb15129bc"]}],"mendeley":{"formattedCitation":"&lt;sup&gt;37&lt;/sup&gt;","plainTextFormattedCitation":"37","previouslyFormattedCitation":"&lt;sup&gt;37&lt;/sup&gt;"},"properties":{"noteIndex":0},"schema":"https://github.com/citation-style-language/schema/raw/master/csl-citation.json"}</w:instrText>
            </w:r>
            <w:r>
              <w:rPr>
                <w:color w:val="000000"/>
                <w:sz w:val="20"/>
                <w:szCs w:val="20"/>
                <w:lang w:val="en-US"/>
              </w:rPr>
              <w:fldChar w:fldCharType="separate"/>
            </w:r>
            <w:r w:rsidRPr="00B95999">
              <w:rPr>
                <w:noProof/>
                <w:color w:val="000000"/>
                <w:sz w:val="20"/>
                <w:szCs w:val="20"/>
                <w:vertAlign w:val="superscript"/>
                <w:lang w:val="en-US"/>
              </w:rPr>
              <w:t>37</w:t>
            </w:r>
            <w:r>
              <w:rPr>
                <w:color w:val="000000"/>
                <w:sz w:val="20"/>
                <w:szCs w:val="20"/>
                <w:lang w:val="en-US"/>
              </w:rPr>
              <w:fldChar w:fldCharType="end"/>
            </w:r>
          </w:p>
        </w:tc>
        <w:tc>
          <w:tcPr>
            <w:tcW w:w="1134" w:type="dxa"/>
            <w:tcBorders>
              <w:top w:val="nil"/>
              <w:left w:val="nil"/>
              <w:bottom w:val="nil"/>
              <w:right w:val="nil"/>
            </w:tcBorders>
            <w:shd w:val="clear" w:color="auto" w:fill="auto"/>
            <w:noWrap/>
            <w:vAlign w:val="center"/>
            <w:hideMark/>
          </w:tcPr>
          <w:p w14:paraId="131A6538" w14:textId="77777777" w:rsidR="00DC2DB2" w:rsidRPr="00B95999" w:rsidRDefault="00DC2DB2" w:rsidP="00EB4A43">
            <w:pPr>
              <w:jc w:val="center"/>
              <w:rPr>
                <w:i/>
                <w:color w:val="000000"/>
                <w:sz w:val="20"/>
                <w:szCs w:val="20"/>
                <w:lang w:val="en-US"/>
              </w:rPr>
            </w:pPr>
            <w:r w:rsidRPr="00B95999">
              <w:rPr>
                <w:i/>
                <w:color w:val="000000"/>
                <w:sz w:val="20"/>
                <w:szCs w:val="20"/>
                <w:lang w:val="en-US"/>
              </w:rPr>
              <w:t>SIM1</w:t>
            </w:r>
          </w:p>
        </w:tc>
        <w:tc>
          <w:tcPr>
            <w:tcW w:w="1047" w:type="dxa"/>
            <w:tcBorders>
              <w:top w:val="nil"/>
              <w:left w:val="nil"/>
              <w:bottom w:val="nil"/>
              <w:right w:val="nil"/>
            </w:tcBorders>
            <w:shd w:val="clear" w:color="auto" w:fill="auto"/>
            <w:noWrap/>
            <w:vAlign w:val="center"/>
            <w:hideMark/>
          </w:tcPr>
          <w:p w14:paraId="76A9D34E" w14:textId="77777777" w:rsidR="00DC2DB2" w:rsidRPr="00B95999" w:rsidRDefault="00DC2DB2" w:rsidP="00EB4A43">
            <w:pPr>
              <w:jc w:val="center"/>
              <w:rPr>
                <w:color w:val="000000"/>
                <w:sz w:val="20"/>
                <w:szCs w:val="20"/>
                <w:lang w:val="en-US"/>
              </w:rPr>
            </w:pPr>
            <w:r w:rsidRPr="00B95999">
              <w:rPr>
                <w:sz w:val="20"/>
                <w:szCs w:val="20"/>
                <w:lang w:val="en-US"/>
              </w:rPr>
              <w:t>11-11-6</w:t>
            </w:r>
          </w:p>
        </w:tc>
        <w:tc>
          <w:tcPr>
            <w:tcW w:w="1807" w:type="dxa"/>
            <w:tcBorders>
              <w:top w:val="nil"/>
              <w:left w:val="nil"/>
              <w:bottom w:val="nil"/>
              <w:right w:val="nil"/>
            </w:tcBorders>
            <w:shd w:val="clear" w:color="auto" w:fill="auto"/>
            <w:noWrap/>
            <w:vAlign w:val="center"/>
            <w:hideMark/>
          </w:tcPr>
          <w:p w14:paraId="6C1C5FDA" w14:textId="77777777" w:rsidR="00DC2DB2" w:rsidRPr="00B95999" w:rsidRDefault="00DC2DB2" w:rsidP="00EB4A43">
            <w:pPr>
              <w:jc w:val="center"/>
              <w:rPr>
                <w:color w:val="000000"/>
                <w:sz w:val="20"/>
                <w:szCs w:val="20"/>
                <w:lang w:val="en-US"/>
              </w:rPr>
            </w:pPr>
            <w:r w:rsidRPr="00B95999">
              <w:rPr>
                <w:color w:val="000000"/>
                <w:sz w:val="20"/>
                <w:szCs w:val="20"/>
                <w:lang w:val="en-US"/>
              </w:rPr>
              <w:t>SEOO</w:t>
            </w:r>
          </w:p>
        </w:tc>
        <w:tc>
          <w:tcPr>
            <w:tcW w:w="1733" w:type="dxa"/>
            <w:tcBorders>
              <w:top w:val="nil"/>
              <w:left w:val="nil"/>
              <w:bottom w:val="nil"/>
              <w:right w:val="nil"/>
            </w:tcBorders>
            <w:shd w:val="clear" w:color="auto" w:fill="auto"/>
            <w:noWrap/>
            <w:vAlign w:val="center"/>
            <w:hideMark/>
          </w:tcPr>
          <w:p w14:paraId="17962C9A" w14:textId="77777777" w:rsidR="00DC2DB2" w:rsidRPr="00B95999" w:rsidRDefault="00DC2DB2" w:rsidP="00EB4A43">
            <w:pPr>
              <w:jc w:val="center"/>
              <w:rPr>
                <w:color w:val="000000"/>
                <w:sz w:val="20"/>
                <w:szCs w:val="20"/>
                <w:lang w:val="en-US"/>
              </w:rPr>
            </w:pPr>
            <w:r w:rsidRPr="00B95999">
              <w:rPr>
                <w:color w:val="000000"/>
                <w:sz w:val="20"/>
                <w:szCs w:val="20"/>
                <w:lang w:val="en-US"/>
              </w:rPr>
              <w:t>UK</w:t>
            </w:r>
          </w:p>
        </w:tc>
      </w:tr>
      <w:tr w:rsidR="00DC2DB2" w:rsidRPr="00B95999" w14:paraId="1186F7C9" w14:textId="77777777" w:rsidTr="00EB4A43">
        <w:trPr>
          <w:trHeight w:val="315"/>
          <w:jc w:val="center"/>
        </w:trPr>
        <w:tc>
          <w:tcPr>
            <w:tcW w:w="3005" w:type="dxa"/>
            <w:tcBorders>
              <w:top w:val="nil"/>
              <w:left w:val="nil"/>
              <w:bottom w:val="nil"/>
              <w:right w:val="nil"/>
            </w:tcBorders>
            <w:shd w:val="clear" w:color="auto" w:fill="auto"/>
            <w:noWrap/>
            <w:vAlign w:val="center"/>
            <w:hideMark/>
          </w:tcPr>
          <w:p w14:paraId="00833B75" w14:textId="77777777" w:rsidR="00DC2DB2" w:rsidRPr="00B95999" w:rsidRDefault="00DC2DB2" w:rsidP="00EB4A43">
            <w:pPr>
              <w:jc w:val="center"/>
              <w:rPr>
                <w:color w:val="000000"/>
                <w:sz w:val="20"/>
                <w:szCs w:val="20"/>
                <w:lang w:val="en-US"/>
              </w:rPr>
            </w:pPr>
            <w:proofErr w:type="spellStart"/>
            <w:r w:rsidRPr="00B95999">
              <w:rPr>
                <w:color w:val="000000"/>
                <w:sz w:val="20"/>
                <w:szCs w:val="20"/>
                <w:lang w:val="en-US"/>
              </w:rPr>
              <w:lastRenderedPageBreak/>
              <w:t>Schonnop</w:t>
            </w:r>
            <w:proofErr w:type="spellEnd"/>
            <w:r w:rsidRPr="00B95999">
              <w:rPr>
                <w:color w:val="000000"/>
                <w:sz w:val="20"/>
                <w:szCs w:val="20"/>
                <w:lang w:val="en-US"/>
              </w:rPr>
              <w:t>, et al. 2016</w:t>
            </w:r>
            <w:r>
              <w:rPr>
                <w:color w:val="000000"/>
                <w:sz w:val="20"/>
                <w:szCs w:val="20"/>
                <w:lang w:val="en-US"/>
              </w:rPr>
              <w:fldChar w:fldCharType="begin" w:fldLock="1"/>
            </w:r>
            <w:r>
              <w:rPr>
                <w:color w:val="000000"/>
                <w:sz w:val="20"/>
                <w:szCs w:val="20"/>
                <w:lang w:val="en-US"/>
              </w:rPr>
              <w:instrText>ADDIN CSL_CITATION {"citationItems":[{"id":"ITEM-1","itemData":{"DOI":"10.1002/oby.21576","ISSN":"1930-739X (Electronic)","PMID":"27474872","abstract":"OBJECTIVE: The melanocortin receptor accessory protein 2 (MRAP2) is relevant for  weight regulation in mice and humans. This function is likely mediated by regulation of the melanocortin-4 receptor (MC4R). Functional implications of human MRAP2 mutations have not been described yet. METHODS: A mutation screen was conducted in MRAP2 in 184 children and adolescents with (extreme) obesity and in 184 lean controls. Detected nonsynonymous variants were genotyped in larger independent study groups (300 people with obesity and 436 individuals with normal weight). The influence of mutant MRAP2 on MC4R signaling was analyzed in vitro. RESULTS: (1) Three (two novel) nonsynonymous MRAP2 variants were detected: p.Ala137Thr, p.Gln174Arg, p.Arg125His (rs115655382), two synonymous variants, and three intronic variants. (2) The impact of MRAP2 on MC4R function was dependent on the ratio between the two co-expressed proteins. Increased MC4R signaling was detected at MRAP2/MC4R ratios of 2 + 1 and above. (3) The function of MC4R was reduced with the infrequent allele at the MRAP2 p.Gln174Arg variant. (4) The three nonsynonymous mutations were each only detected once among the 484 people with obesity and not among 620 individuals with normal weight. CONCLUSIONS: This was the first study describing an effect of a MRAP2 mutation on MC4R function.","author":[{"dropping-particle":"","family":"Schonnop","given":"Laura","non-dropping-particle":"","parse-names":false,"suffix":""},{"dropping-particle":"","family":"Kleinau","given":"Gunnar","non-dropping-particle":"","parse-names":false,"suffix":""},{"dropping-particle":"","family":"Herrfurth","given":"Nikolas","non-dropping-particle":"","parse-names":false,"suffix":""},{"dropping-particle":"","family":"Volckmar","given":"Anna-Lena","non-dropping-particle":"","parse-names":false,"suffix":""},{"dropping-particle":"","family":"Cetindag","given":"Cigdem","non-dropping-particle":"","parse-names":false,"suffix":""},{"dropping-particle":"","family":"Müller","given":"Anne","non-dropping-particle":"","parse-names":false,"suffix":""},{"dropping-particle":"","family":"Peters","given":"Triinu","non-dropping-particle":"","parse-names":false,"suffix":""},{"dropping-particle":"","family":"Herpertz","given":"Stephan","non-dropping-particle":"","parse-names":false,"suffix":""},{"dropping-particle":"","family":"Antel","given":"Jochen","non-dropping-particle":"","parse-names":false,"suffix":""},{"dropping-particle":"","family":"Hebebrand","given":"Johannes","non-dropping-particle":"","parse-names":false,"suffix":""},{"dropping-particle":"","family":"Biebermann","given":"Heike","non-dropping-particle":"","parse-names":false,"suffix":""},{"dropping-particle":"","family":"Hinney","given":"Anke","non-dropping-particle":"","parse-names":false,"suffix":""}],"container-title":"Obesity (Silver Spring, Md.)","id":"ITEM-1","issue":"9","issued":{"date-parts":[["2016","9"]]},"language":"eng","page":"1976-1982","publisher-place":"United States","title":"Decreased melanocortin-4 receptor function conferred by an infrequent variant at the  human melanocortin receptor accessory protein 2 gene.","type":"article-journal","volume":"24"},"uris":["http://www.mendeley.com/documents/?uuid=4dac226e-d698-41b6-aa57-dea6fcb8f45c"]}],"mendeley":{"formattedCitation":"&lt;sup&gt;38&lt;/sup&gt;","plainTextFormattedCitation":"38"},"properties":{"noteIndex":0},"schema":"https://github.com/citation-style-language/schema/raw/master/csl-citation.json"}</w:instrText>
            </w:r>
            <w:r>
              <w:rPr>
                <w:color w:val="000000"/>
                <w:sz w:val="20"/>
                <w:szCs w:val="20"/>
                <w:lang w:val="en-US"/>
              </w:rPr>
              <w:fldChar w:fldCharType="separate"/>
            </w:r>
            <w:r w:rsidRPr="00B95999">
              <w:rPr>
                <w:noProof/>
                <w:color w:val="000000"/>
                <w:sz w:val="20"/>
                <w:szCs w:val="20"/>
                <w:vertAlign w:val="superscript"/>
                <w:lang w:val="en-US"/>
              </w:rPr>
              <w:t>38</w:t>
            </w:r>
            <w:r>
              <w:rPr>
                <w:color w:val="000000"/>
                <w:sz w:val="20"/>
                <w:szCs w:val="20"/>
                <w:lang w:val="en-US"/>
              </w:rPr>
              <w:fldChar w:fldCharType="end"/>
            </w:r>
          </w:p>
        </w:tc>
        <w:tc>
          <w:tcPr>
            <w:tcW w:w="1134" w:type="dxa"/>
            <w:tcBorders>
              <w:top w:val="nil"/>
              <w:left w:val="nil"/>
              <w:bottom w:val="nil"/>
              <w:right w:val="nil"/>
            </w:tcBorders>
            <w:shd w:val="clear" w:color="auto" w:fill="auto"/>
            <w:noWrap/>
            <w:vAlign w:val="center"/>
            <w:hideMark/>
          </w:tcPr>
          <w:p w14:paraId="458CB8C4" w14:textId="77777777" w:rsidR="00DC2DB2" w:rsidRPr="00B95999" w:rsidRDefault="00DC2DB2" w:rsidP="00EB4A43">
            <w:pPr>
              <w:jc w:val="center"/>
              <w:rPr>
                <w:i/>
                <w:color w:val="000000"/>
                <w:sz w:val="20"/>
                <w:szCs w:val="20"/>
                <w:lang w:val="en-US"/>
              </w:rPr>
            </w:pPr>
            <w:r w:rsidRPr="00B95999">
              <w:rPr>
                <w:i/>
                <w:color w:val="000000"/>
                <w:sz w:val="20"/>
                <w:szCs w:val="20"/>
                <w:lang w:val="en-US"/>
              </w:rPr>
              <w:t>MRAP2</w:t>
            </w:r>
          </w:p>
        </w:tc>
        <w:tc>
          <w:tcPr>
            <w:tcW w:w="1047" w:type="dxa"/>
            <w:tcBorders>
              <w:top w:val="nil"/>
              <w:left w:val="nil"/>
              <w:bottom w:val="nil"/>
              <w:right w:val="nil"/>
            </w:tcBorders>
            <w:shd w:val="clear" w:color="auto" w:fill="auto"/>
            <w:noWrap/>
            <w:vAlign w:val="center"/>
            <w:hideMark/>
          </w:tcPr>
          <w:p w14:paraId="42991910" w14:textId="77777777" w:rsidR="00DC2DB2" w:rsidRPr="00B95999" w:rsidRDefault="00DC2DB2" w:rsidP="00EB4A43">
            <w:pPr>
              <w:jc w:val="center"/>
              <w:rPr>
                <w:color w:val="000000"/>
                <w:sz w:val="20"/>
                <w:szCs w:val="20"/>
                <w:lang w:val="en-US"/>
              </w:rPr>
            </w:pPr>
            <w:r w:rsidRPr="00B95999">
              <w:rPr>
                <w:sz w:val="20"/>
                <w:szCs w:val="20"/>
                <w:lang w:val="en-US"/>
              </w:rPr>
              <w:t>2-2-2</w:t>
            </w:r>
          </w:p>
        </w:tc>
        <w:tc>
          <w:tcPr>
            <w:tcW w:w="1807" w:type="dxa"/>
            <w:tcBorders>
              <w:top w:val="nil"/>
              <w:left w:val="nil"/>
              <w:bottom w:val="nil"/>
              <w:right w:val="nil"/>
            </w:tcBorders>
            <w:shd w:val="clear" w:color="auto" w:fill="auto"/>
            <w:noWrap/>
            <w:vAlign w:val="center"/>
            <w:hideMark/>
          </w:tcPr>
          <w:p w14:paraId="0663424C" w14:textId="77777777" w:rsidR="00DC2DB2" w:rsidRPr="00B95999" w:rsidRDefault="00DC2DB2" w:rsidP="00EB4A43">
            <w:pPr>
              <w:jc w:val="center"/>
              <w:rPr>
                <w:color w:val="000000"/>
                <w:sz w:val="20"/>
                <w:szCs w:val="20"/>
                <w:lang w:val="en-US"/>
              </w:rPr>
            </w:pPr>
            <w:r w:rsidRPr="00B95999">
              <w:rPr>
                <w:color w:val="000000"/>
                <w:sz w:val="20"/>
                <w:szCs w:val="20"/>
                <w:lang w:val="en-US"/>
              </w:rPr>
              <w:t>SEOO</w:t>
            </w:r>
          </w:p>
        </w:tc>
        <w:tc>
          <w:tcPr>
            <w:tcW w:w="1733" w:type="dxa"/>
            <w:tcBorders>
              <w:top w:val="nil"/>
              <w:left w:val="nil"/>
              <w:bottom w:val="nil"/>
              <w:right w:val="nil"/>
            </w:tcBorders>
            <w:shd w:val="clear" w:color="auto" w:fill="auto"/>
            <w:noWrap/>
            <w:vAlign w:val="center"/>
            <w:hideMark/>
          </w:tcPr>
          <w:p w14:paraId="28F31C07" w14:textId="77777777" w:rsidR="00DC2DB2" w:rsidRPr="00B95999" w:rsidRDefault="00DC2DB2" w:rsidP="00EB4A43">
            <w:pPr>
              <w:jc w:val="center"/>
              <w:rPr>
                <w:color w:val="000000"/>
                <w:sz w:val="20"/>
                <w:szCs w:val="20"/>
                <w:lang w:val="en-US"/>
              </w:rPr>
            </w:pPr>
            <w:r w:rsidRPr="00B95999">
              <w:rPr>
                <w:color w:val="000000"/>
                <w:sz w:val="20"/>
                <w:szCs w:val="20"/>
                <w:lang w:val="en-US"/>
              </w:rPr>
              <w:t>Germany</w:t>
            </w:r>
          </w:p>
        </w:tc>
      </w:tr>
    </w:tbl>
    <w:p w14:paraId="01DC9930" w14:textId="77777777" w:rsidR="00DC2DB2" w:rsidRPr="00B95999" w:rsidRDefault="00DC2DB2" w:rsidP="00DC2DB2">
      <w:pPr>
        <w:spacing w:line="360" w:lineRule="auto"/>
        <w:jc w:val="both"/>
        <w:rPr>
          <w:sz w:val="16"/>
          <w:lang w:val="en-US"/>
        </w:rPr>
      </w:pPr>
    </w:p>
    <w:p w14:paraId="06ED7EA3" w14:textId="77777777" w:rsidR="00DC2DB2" w:rsidRPr="00B63AB4" w:rsidRDefault="00DC2DB2" w:rsidP="00DC2DB2">
      <w:pPr>
        <w:spacing w:line="360" w:lineRule="auto"/>
        <w:ind w:left="720"/>
        <w:jc w:val="both"/>
        <w:rPr>
          <w:b/>
          <w:sz w:val="20"/>
          <w:szCs w:val="16"/>
          <w:lang w:val="en-US"/>
        </w:rPr>
      </w:pPr>
      <w:r w:rsidRPr="00B95999">
        <w:rPr>
          <w:b/>
          <w:sz w:val="20"/>
          <w:szCs w:val="16"/>
          <w:lang w:val="en-US"/>
        </w:rPr>
        <w:t xml:space="preserve">Supplementary Table 1. </w:t>
      </w:r>
      <w:r w:rsidRPr="00B95999">
        <w:rPr>
          <w:sz w:val="20"/>
          <w:szCs w:val="16"/>
          <w:lang w:val="en-US"/>
        </w:rPr>
        <w:t xml:space="preserve">The 38 articles selected for the meta-analysis, including articles </w:t>
      </w:r>
      <w:r>
        <w:rPr>
          <w:sz w:val="20"/>
          <w:szCs w:val="16"/>
          <w:lang w:val="en-US"/>
        </w:rPr>
        <w:t>analyz</w:t>
      </w:r>
      <w:r w:rsidRPr="00B95999">
        <w:rPr>
          <w:sz w:val="20"/>
          <w:szCs w:val="16"/>
          <w:lang w:val="en-US"/>
        </w:rPr>
        <w:t xml:space="preserve">ing multiple genes for obesity (n=6), articles </w:t>
      </w:r>
      <w:r>
        <w:rPr>
          <w:sz w:val="20"/>
          <w:szCs w:val="16"/>
          <w:lang w:val="en-US"/>
        </w:rPr>
        <w:t>analyz</w:t>
      </w:r>
      <w:r w:rsidRPr="00B95999">
        <w:rPr>
          <w:sz w:val="20"/>
          <w:szCs w:val="16"/>
          <w:lang w:val="en-US"/>
        </w:rPr>
        <w:t>ing</w:t>
      </w:r>
      <w:r>
        <w:rPr>
          <w:sz w:val="20"/>
          <w:szCs w:val="16"/>
          <w:lang w:val="en-US"/>
        </w:rPr>
        <w:t xml:space="preserve"> the</w:t>
      </w:r>
      <w:r w:rsidRPr="00B95999">
        <w:rPr>
          <w:sz w:val="20"/>
          <w:szCs w:val="16"/>
          <w:lang w:val="en-US"/>
        </w:rPr>
        <w:t xml:space="preserve"> </w:t>
      </w:r>
      <w:r w:rsidRPr="00B95999">
        <w:rPr>
          <w:i/>
          <w:sz w:val="20"/>
          <w:szCs w:val="16"/>
          <w:lang w:val="en-US"/>
        </w:rPr>
        <w:t>MC4R</w:t>
      </w:r>
      <w:r w:rsidRPr="00B95999">
        <w:rPr>
          <w:sz w:val="20"/>
          <w:szCs w:val="16"/>
          <w:lang w:val="en-US"/>
        </w:rPr>
        <w:t xml:space="preserve"> gene </w:t>
      </w:r>
      <w:r>
        <w:rPr>
          <w:sz w:val="20"/>
          <w:szCs w:val="16"/>
          <w:lang w:val="en-US"/>
        </w:rPr>
        <w:t xml:space="preserve">alone </w:t>
      </w:r>
      <w:r w:rsidRPr="00B95999">
        <w:rPr>
          <w:sz w:val="20"/>
          <w:szCs w:val="16"/>
          <w:lang w:val="en-US"/>
        </w:rPr>
        <w:t xml:space="preserve">(n=20) and articles </w:t>
      </w:r>
      <w:r>
        <w:rPr>
          <w:sz w:val="20"/>
          <w:szCs w:val="16"/>
          <w:lang w:val="en-US"/>
        </w:rPr>
        <w:t>analyz</w:t>
      </w:r>
      <w:r w:rsidRPr="00B95999">
        <w:rPr>
          <w:sz w:val="20"/>
          <w:szCs w:val="16"/>
          <w:lang w:val="en-US"/>
        </w:rPr>
        <w:t xml:space="preserve">ing other genes (n=12). When more than 2 genes were </w:t>
      </w:r>
      <w:r>
        <w:rPr>
          <w:sz w:val="20"/>
          <w:szCs w:val="16"/>
          <w:lang w:val="en-US"/>
        </w:rPr>
        <w:t>included</w:t>
      </w:r>
      <w:r w:rsidRPr="00B95999">
        <w:rPr>
          <w:sz w:val="20"/>
          <w:szCs w:val="16"/>
          <w:lang w:val="en-US"/>
        </w:rPr>
        <w:t xml:space="preserve"> in the same study, the total number of ca</w:t>
      </w:r>
      <w:r w:rsidRPr="00B63AB4">
        <w:rPr>
          <w:sz w:val="20"/>
          <w:szCs w:val="16"/>
          <w:lang w:val="en-US"/>
        </w:rPr>
        <w:t xml:space="preserve">ndidate </w:t>
      </w:r>
      <w:r>
        <w:rPr>
          <w:sz w:val="20"/>
          <w:szCs w:val="16"/>
          <w:lang w:val="en-US"/>
        </w:rPr>
        <w:t>genes</w:t>
      </w:r>
      <w:r w:rsidRPr="00B63AB4">
        <w:rPr>
          <w:sz w:val="20"/>
          <w:szCs w:val="16"/>
          <w:lang w:val="en-US"/>
        </w:rPr>
        <w:t xml:space="preserve"> is </w:t>
      </w:r>
      <w:r>
        <w:rPr>
          <w:sz w:val="20"/>
          <w:szCs w:val="16"/>
          <w:lang w:val="en-US"/>
        </w:rPr>
        <w:t>shown</w:t>
      </w:r>
      <w:r w:rsidRPr="00B63AB4">
        <w:rPr>
          <w:sz w:val="20"/>
          <w:szCs w:val="16"/>
          <w:lang w:val="en-US"/>
        </w:rPr>
        <w:t>. The number of transmissions evaluated (T), families (F) and different variants (V) from each study is shown in column T-F-V. A total of 21</w:t>
      </w:r>
      <w:r>
        <w:rPr>
          <w:sz w:val="20"/>
          <w:szCs w:val="16"/>
          <w:lang w:val="en-US"/>
        </w:rPr>
        <w:t>6</w:t>
      </w:r>
      <w:r w:rsidRPr="00B63AB4">
        <w:rPr>
          <w:sz w:val="20"/>
          <w:szCs w:val="16"/>
          <w:lang w:val="en-US"/>
        </w:rPr>
        <w:t xml:space="preserve"> transmissions from 1</w:t>
      </w:r>
      <w:r>
        <w:rPr>
          <w:sz w:val="20"/>
          <w:szCs w:val="16"/>
          <w:lang w:val="en-US"/>
        </w:rPr>
        <w:t>72</w:t>
      </w:r>
      <w:r w:rsidRPr="00B63AB4">
        <w:rPr>
          <w:sz w:val="20"/>
          <w:szCs w:val="16"/>
          <w:lang w:val="en-US"/>
        </w:rPr>
        <w:t xml:space="preserve"> families and 1</w:t>
      </w:r>
      <w:r>
        <w:rPr>
          <w:sz w:val="20"/>
          <w:szCs w:val="16"/>
          <w:lang w:val="en-US"/>
        </w:rPr>
        <w:t>1</w:t>
      </w:r>
      <w:r w:rsidRPr="00B63AB4">
        <w:rPr>
          <w:sz w:val="20"/>
          <w:szCs w:val="16"/>
          <w:lang w:val="en-US"/>
        </w:rPr>
        <w:t xml:space="preserve">0 different variants in obesity candidate genes were included in the meta-analysis. Obesity phenotypes </w:t>
      </w:r>
      <w:proofErr w:type="gramStart"/>
      <w:r w:rsidRPr="00B63AB4">
        <w:rPr>
          <w:sz w:val="20"/>
          <w:szCs w:val="16"/>
          <w:lang w:val="en-US"/>
        </w:rPr>
        <w:t>include:</w:t>
      </w:r>
      <w:proofErr w:type="gramEnd"/>
      <w:r w:rsidRPr="00B63AB4">
        <w:rPr>
          <w:sz w:val="20"/>
          <w:szCs w:val="16"/>
          <w:lang w:val="en-US"/>
        </w:rPr>
        <w:t xml:space="preserve"> O=obesity, EOO=early-onset obesity, SO=severe obesity, SEOO=severe early-onset obesity. If more than 1 group of patients was studied, phenotypes of each group were shown separated by comas. PWL=Prader-Willi-Like syndrome. </w:t>
      </w:r>
    </w:p>
    <w:p w14:paraId="601FEF88" w14:textId="77777777" w:rsidR="00DC2DB2" w:rsidRPr="00B63AB4" w:rsidRDefault="00DC2DB2" w:rsidP="00DC2DB2">
      <w:pPr>
        <w:jc w:val="both"/>
        <w:rPr>
          <w:lang w:val="en-US"/>
        </w:rPr>
        <w:sectPr w:rsidR="00DC2DB2" w:rsidRPr="00B63AB4" w:rsidSect="00DC2DB2">
          <w:pgSz w:w="12240" w:h="15840"/>
          <w:pgMar w:top="1417" w:right="1701" w:bottom="1417" w:left="1701" w:header="708" w:footer="708" w:gutter="0"/>
          <w:cols w:space="708"/>
          <w:docGrid w:linePitch="360"/>
        </w:sectPr>
      </w:pPr>
    </w:p>
    <w:p w14:paraId="44352DB5" w14:textId="77777777" w:rsidR="00DC2DB2" w:rsidRPr="00B63AB4" w:rsidRDefault="00DC2DB2" w:rsidP="00DC2DB2">
      <w:pPr>
        <w:spacing w:line="360" w:lineRule="auto"/>
        <w:jc w:val="both"/>
        <w:rPr>
          <w:u w:val="single"/>
          <w:lang w:val="en-US"/>
        </w:rPr>
      </w:pPr>
      <w:r w:rsidRPr="00B63AB4">
        <w:rPr>
          <w:u w:val="single"/>
          <w:lang w:val="en-US"/>
        </w:rPr>
        <w:lastRenderedPageBreak/>
        <w:t>Supplementary Table 2</w:t>
      </w:r>
    </w:p>
    <w:tbl>
      <w:tblPr>
        <w:tblW w:w="13183" w:type="dxa"/>
        <w:tblLayout w:type="fixed"/>
        <w:tblLook w:val="04A0" w:firstRow="1" w:lastRow="0" w:firstColumn="1" w:lastColumn="0" w:noHBand="0" w:noVBand="1"/>
      </w:tblPr>
      <w:tblGrid>
        <w:gridCol w:w="993"/>
        <w:gridCol w:w="1465"/>
        <w:gridCol w:w="1146"/>
        <w:gridCol w:w="1358"/>
        <w:gridCol w:w="141"/>
        <w:gridCol w:w="709"/>
        <w:gridCol w:w="142"/>
        <w:gridCol w:w="992"/>
        <w:gridCol w:w="142"/>
        <w:gridCol w:w="2410"/>
        <w:gridCol w:w="850"/>
        <w:gridCol w:w="142"/>
        <w:gridCol w:w="2693"/>
      </w:tblGrid>
      <w:tr w:rsidR="00DC2DB2" w:rsidRPr="00B63AB4" w14:paraId="7F391E73" w14:textId="77777777" w:rsidTr="00EB4A43">
        <w:trPr>
          <w:trHeight w:val="315"/>
          <w:tblHeader/>
        </w:trPr>
        <w:tc>
          <w:tcPr>
            <w:tcW w:w="993" w:type="dxa"/>
            <w:tcBorders>
              <w:bottom w:val="single" w:sz="4" w:space="0" w:color="auto"/>
            </w:tcBorders>
            <w:noWrap/>
            <w:vAlign w:val="center"/>
            <w:hideMark/>
          </w:tcPr>
          <w:p w14:paraId="4727463B" w14:textId="77777777" w:rsidR="00DC2DB2" w:rsidRPr="00B63AB4" w:rsidRDefault="00DC2DB2" w:rsidP="00EB4A43">
            <w:pPr>
              <w:spacing w:before="100" w:beforeAutospacing="1" w:after="100" w:afterAutospacing="1"/>
              <w:jc w:val="center"/>
              <w:rPr>
                <w:b/>
                <w:bCs/>
                <w:sz w:val="20"/>
                <w:szCs w:val="20"/>
                <w:lang w:val="en-US"/>
              </w:rPr>
            </w:pPr>
            <w:r w:rsidRPr="00B63AB4">
              <w:rPr>
                <w:b/>
                <w:bCs/>
                <w:sz w:val="20"/>
                <w:szCs w:val="20"/>
                <w:lang w:val="en-US"/>
              </w:rPr>
              <w:t>Gene</w:t>
            </w:r>
          </w:p>
        </w:tc>
        <w:tc>
          <w:tcPr>
            <w:tcW w:w="1465" w:type="dxa"/>
            <w:tcBorders>
              <w:bottom w:val="single" w:sz="4" w:space="0" w:color="auto"/>
            </w:tcBorders>
            <w:noWrap/>
            <w:vAlign w:val="center"/>
            <w:hideMark/>
          </w:tcPr>
          <w:p w14:paraId="48BE183B" w14:textId="77777777" w:rsidR="00DC2DB2" w:rsidRPr="00B63AB4" w:rsidRDefault="00DC2DB2" w:rsidP="00EB4A43">
            <w:pPr>
              <w:spacing w:before="100" w:beforeAutospacing="1" w:after="100" w:afterAutospacing="1"/>
              <w:jc w:val="center"/>
              <w:rPr>
                <w:b/>
                <w:bCs/>
                <w:sz w:val="20"/>
                <w:szCs w:val="20"/>
                <w:lang w:val="en-US"/>
              </w:rPr>
            </w:pPr>
            <w:r w:rsidRPr="00B63AB4">
              <w:rPr>
                <w:b/>
                <w:bCs/>
                <w:sz w:val="20"/>
                <w:szCs w:val="20"/>
                <w:lang w:val="en-US"/>
              </w:rPr>
              <w:t>Variant</w:t>
            </w:r>
          </w:p>
        </w:tc>
        <w:tc>
          <w:tcPr>
            <w:tcW w:w="1146" w:type="dxa"/>
            <w:tcBorders>
              <w:bottom w:val="single" w:sz="4" w:space="0" w:color="auto"/>
            </w:tcBorders>
            <w:noWrap/>
            <w:vAlign w:val="center"/>
            <w:hideMark/>
          </w:tcPr>
          <w:p w14:paraId="3FB45E42" w14:textId="77777777" w:rsidR="00DC2DB2" w:rsidRPr="00B63AB4" w:rsidRDefault="00DC2DB2" w:rsidP="00EB4A43">
            <w:pPr>
              <w:spacing w:before="100" w:beforeAutospacing="1" w:after="100" w:afterAutospacing="1"/>
              <w:jc w:val="center"/>
              <w:rPr>
                <w:b/>
                <w:bCs/>
                <w:sz w:val="20"/>
                <w:szCs w:val="20"/>
                <w:lang w:val="en-US"/>
              </w:rPr>
            </w:pPr>
            <w:r w:rsidRPr="00B63AB4">
              <w:rPr>
                <w:b/>
                <w:bCs/>
                <w:sz w:val="20"/>
                <w:szCs w:val="20"/>
                <w:lang w:val="en-US"/>
              </w:rPr>
              <w:t>Type</w:t>
            </w:r>
          </w:p>
        </w:tc>
        <w:tc>
          <w:tcPr>
            <w:tcW w:w="1499" w:type="dxa"/>
            <w:gridSpan w:val="2"/>
            <w:tcBorders>
              <w:bottom w:val="single" w:sz="4" w:space="0" w:color="auto"/>
            </w:tcBorders>
            <w:noWrap/>
            <w:vAlign w:val="center"/>
            <w:hideMark/>
          </w:tcPr>
          <w:p w14:paraId="0590E71E" w14:textId="77777777" w:rsidR="00DC2DB2" w:rsidRPr="00B63AB4" w:rsidRDefault="00DC2DB2" w:rsidP="00EB4A43">
            <w:pPr>
              <w:spacing w:before="100" w:beforeAutospacing="1" w:after="100" w:afterAutospacing="1"/>
              <w:jc w:val="center"/>
              <w:rPr>
                <w:b/>
                <w:bCs/>
                <w:sz w:val="20"/>
                <w:szCs w:val="20"/>
                <w:lang w:val="en-US"/>
              </w:rPr>
            </w:pPr>
            <w:r w:rsidRPr="00B63AB4">
              <w:rPr>
                <w:b/>
                <w:bCs/>
                <w:sz w:val="20"/>
                <w:szCs w:val="20"/>
                <w:lang w:val="en-US"/>
              </w:rPr>
              <w:t>Pathogenicity</w:t>
            </w:r>
          </w:p>
        </w:tc>
        <w:tc>
          <w:tcPr>
            <w:tcW w:w="851" w:type="dxa"/>
            <w:gridSpan w:val="2"/>
            <w:tcBorders>
              <w:bottom w:val="single" w:sz="4" w:space="0" w:color="auto"/>
            </w:tcBorders>
            <w:noWrap/>
            <w:vAlign w:val="center"/>
            <w:hideMark/>
          </w:tcPr>
          <w:p w14:paraId="22FF14E9" w14:textId="77777777" w:rsidR="00DC2DB2" w:rsidRPr="00B63AB4" w:rsidRDefault="00DC2DB2" w:rsidP="00EB4A43">
            <w:pPr>
              <w:spacing w:before="100" w:beforeAutospacing="1" w:after="100" w:afterAutospacing="1"/>
              <w:jc w:val="center"/>
              <w:rPr>
                <w:b/>
                <w:bCs/>
                <w:sz w:val="20"/>
                <w:szCs w:val="20"/>
                <w:lang w:val="en-US"/>
              </w:rPr>
            </w:pPr>
            <w:r w:rsidRPr="00B63AB4">
              <w:rPr>
                <w:b/>
                <w:bCs/>
                <w:sz w:val="20"/>
                <w:szCs w:val="20"/>
                <w:lang w:val="en-US"/>
              </w:rPr>
              <w:t>Origin</w:t>
            </w:r>
          </w:p>
        </w:tc>
        <w:tc>
          <w:tcPr>
            <w:tcW w:w="1134" w:type="dxa"/>
            <w:gridSpan w:val="2"/>
            <w:tcBorders>
              <w:bottom w:val="single" w:sz="4" w:space="0" w:color="auto"/>
            </w:tcBorders>
            <w:noWrap/>
            <w:vAlign w:val="center"/>
            <w:hideMark/>
          </w:tcPr>
          <w:p w14:paraId="2ED1EC29" w14:textId="77777777" w:rsidR="00DC2DB2" w:rsidRPr="00B63AB4" w:rsidRDefault="00DC2DB2" w:rsidP="00EB4A43">
            <w:pPr>
              <w:spacing w:before="100" w:beforeAutospacing="1" w:after="100" w:afterAutospacing="1"/>
              <w:jc w:val="center"/>
              <w:rPr>
                <w:b/>
                <w:bCs/>
                <w:sz w:val="20"/>
                <w:szCs w:val="20"/>
                <w:lang w:val="en-US"/>
              </w:rPr>
            </w:pPr>
            <w:r w:rsidRPr="00B63AB4">
              <w:rPr>
                <w:b/>
                <w:bCs/>
                <w:sz w:val="20"/>
                <w:szCs w:val="20"/>
                <w:lang w:val="en-US"/>
              </w:rPr>
              <w:t>Parental phenotype</w:t>
            </w:r>
          </w:p>
        </w:tc>
        <w:tc>
          <w:tcPr>
            <w:tcW w:w="2410" w:type="dxa"/>
            <w:tcBorders>
              <w:bottom w:val="single" w:sz="4" w:space="0" w:color="auto"/>
            </w:tcBorders>
            <w:noWrap/>
            <w:vAlign w:val="center"/>
            <w:hideMark/>
          </w:tcPr>
          <w:p w14:paraId="465DBF9B" w14:textId="77777777" w:rsidR="00DC2DB2" w:rsidRPr="00B63AB4" w:rsidRDefault="00DC2DB2" w:rsidP="00EB4A43">
            <w:pPr>
              <w:spacing w:before="100" w:beforeAutospacing="1" w:after="100" w:afterAutospacing="1"/>
              <w:jc w:val="center"/>
              <w:rPr>
                <w:b/>
                <w:bCs/>
                <w:sz w:val="20"/>
                <w:szCs w:val="20"/>
                <w:lang w:val="en-US"/>
              </w:rPr>
            </w:pPr>
            <w:r w:rsidRPr="00B63AB4">
              <w:rPr>
                <w:b/>
                <w:bCs/>
                <w:sz w:val="20"/>
                <w:szCs w:val="20"/>
                <w:lang w:val="en-US"/>
              </w:rPr>
              <w:t>Case</w:t>
            </w:r>
          </w:p>
        </w:tc>
        <w:tc>
          <w:tcPr>
            <w:tcW w:w="992" w:type="dxa"/>
            <w:gridSpan w:val="2"/>
            <w:tcBorders>
              <w:bottom w:val="single" w:sz="4" w:space="0" w:color="auto"/>
            </w:tcBorders>
            <w:noWrap/>
            <w:vAlign w:val="center"/>
            <w:hideMark/>
          </w:tcPr>
          <w:p w14:paraId="158C6791" w14:textId="77777777" w:rsidR="00DC2DB2" w:rsidRPr="00B63AB4" w:rsidRDefault="00DC2DB2" w:rsidP="00EB4A43">
            <w:pPr>
              <w:spacing w:before="100" w:beforeAutospacing="1" w:after="100" w:afterAutospacing="1"/>
              <w:jc w:val="center"/>
              <w:rPr>
                <w:b/>
                <w:bCs/>
                <w:sz w:val="20"/>
                <w:szCs w:val="20"/>
                <w:lang w:val="en-US"/>
              </w:rPr>
            </w:pPr>
            <w:r w:rsidRPr="00B63AB4">
              <w:rPr>
                <w:b/>
                <w:bCs/>
                <w:sz w:val="20"/>
                <w:szCs w:val="20"/>
                <w:lang w:val="en-US"/>
              </w:rPr>
              <w:t>Gender</w:t>
            </w:r>
          </w:p>
        </w:tc>
        <w:tc>
          <w:tcPr>
            <w:tcW w:w="2693" w:type="dxa"/>
            <w:tcBorders>
              <w:bottom w:val="single" w:sz="4" w:space="0" w:color="auto"/>
            </w:tcBorders>
            <w:noWrap/>
            <w:vAlign w:val="center"/>
            <w:hideMark/>
          </w:tcPr>
          <w:p w14:paraId="466DD960" w14:textId="77777777" w:rsidR="00DC2DB2" w:rsidRPr="00B63AB4" w:rsidRDefault="00DC2DB2" w:rsidP="00EB4A43">
            <w:pPr>
              <w:spacing w:before="100" w:beforeAutospacing="1" w:after="100" w:afterAutospacing="1"/>
              <w:jc w:val="center"/>
              <w:rPr>
                <w:b/>
                <w:bCs/>
                <w:sz w:val="20"/>
                <w:szCs w:val="20"/>
                <w:lang w:val="en-US"/>
              </w:rPr>
            </w:pPr>
            <w:r w:rsidRPr="00B63AB4">
              <w:rPr>
                <w:b/>
                <w:bCs/>
                <w:sz w:val="20"/>
                <w:szCs w:val="20"/>
                <w:lang w:val="en-US"/>
              </w:rPr>
              <w:t>Reference</w:t>
            </w:r>
          </w:p>
        </w:tc>
      </w:tr>
      <w:tr w:rsidR="00DC2DB2" w:rsidRPr="00B63AB4" w14:paraId="149D5EF1" w14:textId="77777777" w:rsidTr="00EB4A43">
        <w:trPr>
          <w:trHeight w:val="315"/>
        </w:trPr>
        <w:tc>
          <w:tcPr>
            <w:tcW w:w="993" w:type="dxa"/>
            <w:tcBorders>
              <w:top w:val="single" w:sz="4" w:space="0" w:color="auto"/>
            </w:tcBorders>
            <w:noWrap/>
            <w:vAlign w:val="center"/>
            <w:hideMark/>
          </w:tcPr>
          <w:p w14:paraId="4D52152B"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tcBorders>
              <w:top w:val="single" w:sz="4" w:space="0" w:color="auto"/>
            </w:tcBorders>
            <w:noWrap/>
            <w:vAlign w:val="center"/>
            <w:hideMark/>
          </w:tcPr>
          <w:p w14:paraId="6102E1F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N74I</w:t>
            </w:r>
          </w:p>
        </w:tc>
        <w:tc>
          <w:tcPr>
            <w:tcW w:w="1146" w:type="dxa"/>
            <w:tcBorders>
              <w:top w:val="single" w:sz="4" w:space="0" w:color="auto"/>
            </w:tcBorders>
            <w:noWrap/>
            <w:vAlign w:val="center"/>
            <w:hideMark/>
          </w:tcPr>
          <w:p w14:paraId="46A3CEA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tcBorders>
              <w:top w:val="single" w:sz="4" w:space="0" w:color="auto"/>
            </w:tcBorders>
            <w:noWrap/>
            <w:vAlign w:val="center"/>
            <w:hideMark/>
          </w:tcPr>
          <w:p w14:paraId="153B6AD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tcBorders>
              <w:top w:val="single" w:sz="4" w:space="0" w:color="auto"/>
            </w:tcBorders>
            <w:noWrap/>
            <w:vAlign w:val="center"/>
            <w:hideMark/>
          </w:tcPr>
          <w:p w14:paraId="237E2D8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tcBorders>
              <w:top w:val="single" w:sz="4" w:space="0" w:color="auto"/>
            </w:tcBorders>
            <w:noWrap/>
            <w:vAlign w:val="center"/>
            <w:hideMark/>
          </w:tcPr>
          <w:p w14:paraId="3AA50D6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tcBorders>
              <w:top w:val="single" w:sz="4" w:space="0" w:color="auto"/>
            </w:tcBorders>
            <w:noWrap/>
            <w:vAlign w:val="center"/>
            <w:hideMark/>
          </w:tcPr>
          <w:p w14:paraId="68FEEF5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 #2</w:t>
            </w:r>
          </w:p>
        </w:tc>
        <w:tc>
          <w:tcPr>
            <w:tcW w:w="850" w:type="dxa"/>
            <w:tcBorders>
              <w:top w:val="single" w:sz="4" w:space="0" w:color="auto"/>
            </w:tcBorders>
            <w:noWrap/>
            <w:vAlign w:val="center"/>
            <w:hideMark/>
          </w:tcPr>
          <w:p w14:paraId="1730EA2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tcBorders>
              <w:top w:val="single" w:sz="4" w:space="0" w:color="auto"/>
            </w:tcBorders>
            <w:noWrap/>
            <w:vAlign w:val="center"/>
            <w:hideMark/>
          </w:tcPr>
          <w:p w14:paraId="4A936BDA"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Granell</w:t>
            </w:r>
            <w:proofErr w:type="spellEnd"/>
            <w:r w:rsidRPr="00B63AB4">
              <w:rPr>
                <w:sz w:val="20"/>
                <w:szCs w:val="20"/>
                <w:lang w:val="en-US"/>
              </w:rPr>
              <w:t>, et al. 2015</w:t>
            </w:r>
          </w:p>
        </w:tc>
      </w:tr>
      <w:tr w:rsidR="00DC2DB2" w:rsidRPr="00B63AB4" w14:paraId="1D927141" w14:textId="77777777" w:rsidTr="00EB4A43">
        <w:trPr>
          <w:trHeight w:val="315"/>
        </w:trPr>
        <w:tc>
          <w:tcPr>
            <w:tcW w:w="993" w:type="dxa"/>
            <w:noWrap/>
            <w:vAlign w:val="center"/>
            <w:hideMark/>
          </w:tcPr>
          <w:p w14:paraId="745007BC"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NPY</w:t>
            </w:r>
          </w:p>
        </w:tc>
        <w:tc>
          <w:tcPr>
            <w:tcW w:w="1465" w:type="dxa"/>
            <w:noWrap/>
            <w:vAlign w:val="center"/>
            <w:hideMark/>
          </w:tcPr>
          <w:p w14:paraId="3D459C6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V86D</w:t>
            </w:r>
          </w:p>
        </w:tc>
        <w:tc>
          <w:tcPr>
            <w:tcW w:w="1146" w:type="dxa"/>
            <w:noWrap/>
            <w:vAlign w:val="center"/>
            <w:hideMark/>
          </w:tcPr>
          <w:p w14:paraId="328CEA1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62FC43D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02C2D19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06EF62D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28AF11B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Ob_158 (table 3)</w:t>
            </w:r>
          </w:p>
        </w:tc>
        <w:tc>
          <w:tcPr>
            <w:tcW w:w="850" w:type="dxa"/>
            <w:noWrap/>
            <w:vAlign w:val="center"/>
            <w:hideMark/>
          </w:tcPr>
          <w:p w14:paraId="5F4895B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7EA5113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Serra-</w:t>
            </w:r>
            <w:proofErr w:type="spellStart"/>
            <w:r w:rsidRPr="00B63AB4">
              <w:rPr>
                <w:sz w:val="20"/>
                <w:szCs w:val="20"/>
                <w:lang w:val="en-US"/>
              </w:rPr>
              <w:t>Juhé</w:t>
            </w:r>
            <w:proofErr w:type="spellEnd"/>
            <w:r w:rsidRPr="00B63AB4">
              <w:rPr>
                <w:sz w:val="20"/>
                <w:szCs w:val="20"/>
                <w:lang w:val="en-US"/>
              </w:rPr>
              <w:t>, et al. 2017</w:t>
            </w:r>
          </w:p>
        </w:tc>
      </w:tr>
      <w:tr w:rsidR="00DC2DB2" w:rsidRPr="00B63AB4" w14:paraId="1BF717F9" w14:textId="77777777" w:rsidTr="00EB4A43">
        <w:trPr>
          <w:trHeight w:val="315"/>
        </w:trPr>
        <w:tc>
          <w:tcPr>
            <w:tcW w:w="993" w:type="dxa"/>
            <w:noWrap/>
            <w:vAlign w:val="center"/>
            <w:hideMark/>
          </w:tcPr>
          <w:p w14:paraId="160F9146"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6E44E8E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P272L</w:t>
            </w:r>
          </w:p>
        </w:tc>
        <w:tc>
          <w:tcPr>
            <w:tcW w:w="1146" w:type="dxa"/>
            <w:noWrap/>
            <w:vAlign w:val="center"/>
            <w:hideMark/>
          </w:tcPr>
          <w:p w14:paraId="64A86BF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2C41DE0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75EFBEC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0977E63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EOO</w:t>
            </w:r>
          </w:p>
        </w:tc>
        <w:tc>
          <w:tcPr>
            <w:tcW w:w="2552" w:type="dxa"/>
            <w:gridSpan w:val="2"/>
            <w:noWrap/>
            <w:vAlign w:val="center"/>
            <w:hideMark/>
          </w:tcPr>
          <w:p w14:paraId="57C8804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OB48 (table 2)</w:t>
            </w:r>
          </w:p>
        </w:tc>
        <w:tc>
          <w:tcPr>
            <w:tcW w:w="850" w:type="dxa"/>
            <w:noWrap/>
            <w:vAlign w:val="center"/>
            <w:hideMark/>
          </w:tcPr>
          <w:p w14:paraId="41EF41D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12BDF1E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Serra-</w:t>
            </w:r>
            <w:proofErr w:type="spellStart"/>
            <w:r w:rsidRPr="00B63AB4">
              <w:rPr>
                <w:sz w:val="20"/>
                <w:szCs w:val="20"/>
                <w:lang w:val="en-US"/>
              </w:rPr>
              <w:t>Juhé</w:t>
            </w:r>
            <w:proofErr w:type="spellEnd"/>
            <w:r w:rsidRPr="00B63AB4">
              <w:rPr>
                <w:sz w:val="20"/>
                <w:szCs w:val="20"/>
                <w:lang w:val="en-US"/>
              </w:rPr>
              <w:t>, et al. 2020</w:t>
            </w:r>
          </w:p>
        </w:tc>
      </w:tr>
      <w:tr w:rsidR="00DC2DB2" w:rsidRPr="00B63AB4" w14:paraId="2591C8E0" w14:textId="77777777" w:rsidTr="00EB4A43">
        <w:trPr>
          <w:trHeight w:val="315"/>
        </w:trPr>
        <w:tc>
          <w:tcPr>
            <w:tcW w:w="993" w:type="dxa"/>
            <w:noWrap/>
            <w:vAlign w:val="center"/>
            <w:hideMark/>
          </w:tcPr>
          <w:p w14:paraId="715F5D22"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7284CB9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A259V</w:t>
            </w:r>
          </w:p>
        </w:tc>
        <w:tc>
          <w:tcPr>
            <w:tcW w:w="1146" w:type="dxa"/>
            <w:noWrap/>
            <w:vAlign w:val="center"/>
            <w:hideMark/>
          </w:tcPr>
          <w:p w14:paraId="6B839C4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3310093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093E7BB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3D1C00A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7652E2B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2206 (table 2)</w:t>
            </w:r>
          </w:p>
        </w:tc>
        <w:tc>
          <w:tcPr>
            <w:tcW w:w="850" w:type="dxa"/>
            <w:noWrap/>
            <w:vAlign w:val="center"/>
            <w:hideMark/>
          </w:tcPr>
          <w:p w14:paraId="64D02F3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21B1302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Serra-</w:t>
            </w:r>
            <w:proofErr w:type="spellStart"/>
            <w:r w:rsidRPr="00B63AB4">
              <w:rPr>
                <w:sz w:val="20"/>
                <w:szCs w:val="20"/>
                <w:lang w:val="en-US"/>
              </w:rPr>
              <w:t>Juhé</w:t>
            </w:r>
            <w:proofErr w:type="spellEnd"/>
            <w:r w:rsidRPr="00B63AB4">
              <w:rPr>
                <w:sz w:val="20"/>
                <w:szCs w:val="20"/>
                <w:lang w:val="en-US"/>
              </w:rPr>
              <w:t>, et al. 2020</w:t>
            </w:r>
          </w:p>
        </w:tc>
      </w:tr>
      <w:tr w:rsidR="00DC2DB2" w:rsidRPr="00B63AB4" w14:paraId="2B516C56" w14:textId="77777777" w:rsidTr="00EB4A43">
        <w:trPr>
          <w:trHeight w:val="315"/>
        </w:trPr>
        <w:tc>
          <w:tcPr>
            <w:tcW w:w="993" w:type="dxa"/>
            <w:noWrap/>
            <w:vAlign w:val="center"/>
            <w:hideMark/>
          </w:tcPr>
          <w:p w14:paraId="64D3F863"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32ECE4F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H76R</w:t>
            </w:r>
          </w:p>
        </w:tc>
        <w:tc>
          <w:tcPr>
            <w:tcW w:w="1146" w:type="dxa"/>
            <w:noWrap/>
            <w:vAlign w:val="center"/>
            <w:hideMark/>
          </w:tcPr>
          <w:p w14:paraId="4518293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4AF16B1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2AA5F18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3B2E926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04B3E15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1698 (table 2)</w:t>
            </w:r>
          </w:p>
        </w:tc>
        <w:tc>
          <w:tcPr>
            <w:tcW w:w="850" w:type="dxa"/>
            <w:noWrap/>
            <w:vAlign w:val="center"/>
            <w:hideMark/>
          </w:tcPr>
          <w:p w14:paraId="03D7E77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0CD6E66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Serra-</w:t>
            </w:r>
            <w:proofErr w:type="spellStart"/>
            <w:r w:rsidRPr="00B63AB4">
              <w:rPr>
                <w:sz w:val="20"/>
                <w:szCs w:val="20"/>
                <w:lang w:val="en-US"/>
              </w:rPr>
              <w:t>Juhé</w:t>
            </w:r>
            <w:proofErr w:type="spellEnd"/>
            <w:r w:rsidRPr="00B63AB4">
              <w:rPr>
                <w:sz w:val="20"/>
                <w:szCs w:val="20"/>
                <w:lang w:val="en-US"/>
              </w:rPr>
              <w:t>, et al. 2020</w:t>
            </w:r>
          </w:p>
        </w:tc>
      </w:tr>
      <w:tr w:rsidR="00DC2DB2" w:rsidRPr="00B63AB4" w14:paraId="5EFF8158" w14:textId="77777777" w:rsidTr="00EB4A43">
        <w:trPr>
          <w:trHeight w:val="315"/>
        </w:trPr>
        <w:tc>
          <w:tcPr>
            <w:tcW w:w="993" w:type="dxa"/>
            <w:noWrap/>
            <w:vAlign w:val="center"/>
            <w:hideMark/>
          </w:tcPr>
          <w:p w14:paraId="6DB5E932"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76C007B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R22X</w:t>
            </w:r>
          </w:p>
        </w:tc>
        <w:tc>
          <w:tcPr>
            <w:tcW w:w="1146" w:type="dxa"/>
            <w:noWrap/>
            <w:vAlign w:val="center"/>
            <w:hideMark/>
          </w:tcPr>
          <w:p w14:paraId="3FF4EEB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Nonsense</w:t>
            </w:r>
          </w:p>
        </w:tc>
        <w:tc>
          <w:tcPr>
            <w:tcW w:w="1358" w:type="dxa"/>
            <w:noWrap/>
            <w:vAlign w:val="center"/>
            <w:hideMark/>
          </w:tcPr>
          <w:p w14:paraId="3275D5D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6D99754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33349B9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0441499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1901 (table 2)</w:t>
            </w:r>
          </w:p>
        </w:tc>
        <w:tc>
          <w:tcPr>
            <w:tcW w:w="850" w:type="dxa"/>
            <w:noWrap/>
            <w:vAlign w:val="center"/>
            <w:hideMark/>
          </w:tcPr>
          <w:p w14:paraId="57B0207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1ADB029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Serra-</w:t>
            </w:r>
            <w:proofErr w:type="spellStart"/>
            <w:r w:rsidRPr="00B63AB4">
              <w:rPr>
                <w:sz w:val="20"/>
                <w:szCs w:val="20"/>
                <w:lang w:val="en-US"/>
              </w:rPr>
              <w:t>Juhé</w:t>
            </w:r>
            <w:proofErr w:type="spellEnd"/>
            <w:r w:rsidRPr="00B63AB4">
              <w:rPr>
                <w:sz w:val="20"/>
                <w:szCs w:val="20"/>
                <w:lang w:val="en-US"/>
              </w:rPr>
              <w:t>, et al. 2020</w:t>
            </w:r>
          </w:p>
        </w:tc>
      </w:tr>
      <w:tr w:rsidR="00DC2DB2" w:rsidRPr="00B63AB4" w14:paraId="46D6627F" w14:textId="77777777" w:rsidTr="00EB4A43">
        <w:trPr>
          <w:trHeight w:val="315"/>
        </w:trPr>
        <w:tc>
          <w:tcPr>
            <w:tcW w:w="993" w:type="dxa"/>
            <w:noWrap/>
            <w:vAlign w:val="center"/>
            <w:hideMark/>
          </w:tcPr>
          <w:p w14:paraId="0B11FE0A"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SIM1</w:t>
            </w:r>
          </w:p>
        </w:tc>
        <w:tc>
          <w:tcPr>
            <w:tcW w:w="1465" w:type="dxa"/>
            <w:noWrap/>
            <w:vAlign w:val="center"/>
            <w:hideMark/>
          </w:tcPr>
          <w:p w14:paraId="4C4B7CC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Q206K</w:t>
            </w:r>
          </w:p>
        </w:tc>
        <w:tc>
          <w:tcPr>
            <w:tcW w:w="1146" w:type="dxa"/>
            <w:noWrap/>
            <w:vAlign w:val="center"/>
            <w:hideMark/>
          </w:tcPr>
          <w:p w14:paraId="06FED28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78DE947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0DF3D31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5DF5ABB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34C9523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1782 (table 2)</w:t>
            </w:r>
          </w:p>
        </w:tc>
        <w:tc>
          <w:tcPr>
            <w:tcW w:w="850" w:type="dxa"/>
            <w:noWrap/>
            <w:vAlign w:val="center"/>
            <w:hideMark/>
          </w:tcPr>
          <w:p w14:paraId="2A63CD7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51CD2A2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Serra-</w:t>
            </w:r>
            <w:proofErr w:type="spellStart"/>
            <w:r w:rsidRPr="00B63AB4">
              <w:rPr>
                <w:sz w:val="20"/>
                <w:szCs w:val="20"/>
                <w:lang w:val="en-US"/>
              </w:rPr>
              <w:t>Juhé</w:t>
            </w:r>
            <w:proofErr w:type="spellEnd"/>
            <w:r w:rsidRPr="00B63AB4">
              <w:rPr>
                <w:sz w:val="20"/>
                <w:szCs w:val="20"/>
                <w:lang w:val="en-US"/>
              </w:rPr>
              <w:t>, et al. 2020</w:t>
            </w:r>
          </w:p>
        </w:tc>
      </w:tr>
      <w:tr w:rsidR="00DC2DB2" w:rsidRPr="00B63AB4" w14:paraId="676263EE" w14:textId="77777777" w:rsidTr="00EB4A43">
        <w:trPr>
          <w:trHeight w:val="315"/>
        </w:trPr>
        <w:tc>
          <w:tcPr>
            <w:tcW w:w="993" w:type="dxa"/>
            <w:noWrap/>
            <w:vAlign w:val="center"/>
            <w:hideMark/>
          </w:tcPr>
          <w:p w14:paraId="298D7D8D"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SIM1</w:t>
            </w:r>
          </w:p>
        </w:tc>
        <w:tc>
          <w:tcPr>
            <w:tcW w:w="1465" w:type="dxa"/>
            <w:noWrap/>
            <w:vAlign w:val="center"/>
            <w:hideMark/>
          </w:tcPr>
          <w:p w14:paraId="341654C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c.352+1G&gt;A</w:t>
            </w:r>
          </w:p>
        </w:tc>
        <w:tc>
          <w:tcPr>
            <w:tcW w:w="1146" w:type="dxa"/>
            <w:noWrap/>
            <w:vAlign w:val="center"/>
            <w:hideMark/>
          </w:tcPr>
          <w:p w14:paraId="57BF25D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Splicing</w:t>
            </w:r>
          </w:p>
        </w:tc>
        <w:tc>
          <w:tcPr>
            <w:tcW w:w="1358" w:type="dxa"/>
            <w:noWrap/>
            <w:vAlign w:val="center"/>
            <w:hideMark/>
          </w:tcPr>
          <w:p w14:paraId="5B1C8BB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7129C68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6AB2D07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68F506F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1749 (table 2)</w:t>
            </w:r>
          </w:p>
        </w:tc>
        <w:tc>
          <w:tcPr>
            <w:tcW w:w="850" w:type="dxa"/>
            <w:noWrap/>
            <w:vAlign w:val="center"/>
            <w:hideMark/>
          </w:tcPr>
          <w:p w14:paraId="1B198E2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3E6FF04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Serra-</w:t>
            </w:r>
            <w:proofErr w:type="spellStart"/>
            <w:r w:rsidRPr="00B63AB4">
              <w:rPr>
                <w:sz w:val="20"/>
                <w:szCs w:val="20"/>
                <w:lang w:val="en-US"/>
              </w:rPr>
              <w:t>Juhé</w:t>
            </w:r>
            <w:proofErr w:type="spellEnd"/>
            <w:r w:rsidRPr="00B63AB4">
              <w:rPr>
                <w:sz w:val="20"/>
                <w:szCs w:val="20"/>
                <w:lang w:val="en-US"/>
              </w:rPr>
              <w:t>, et al. 2020</w:t>
            </w:r>
          </w:p>
        </w:tc>
      </w:tr>
      <w:tr w:rsidR="00DC2DB2" w:rsidRPr="00B63AB4" w14:paraId="70B53039" w14:textId="77777777" w:rsidTr="00EB4A43">
        <w:trPr>
          <w:trHeight w:val="315"/>
        </w:trPr>
        <w:tc>
          <w:tcPr>
            <w:tcW w:w="993" w:type="dxa"/>
            <w:noWrap/>
            <w:vAlign w:val="center"/>
            <w:hideMark/>
          </w:tcPr>
          <w:p w14:paraId="44A096E0"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PPARG</w:t>
            </w:r>
          </w:p>
        </w:tc>
        <w:tc>
          <w:tcPr>
            <w:tcW w:w="1465" w:type="dxa"/>
            <w:noWrap/>
            <w:vAlign w:val="center"/>
            <w:hideMark/>
          </w:tcPr>
          <w:p w14:paraId="5FC8DB0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I109N</w:t>
            </w:r>
          </w:p>
        </w:tc>
        <w:tc>
          <w:tcPr>
            <w:tcW w:w="1146" w:type="dxa"/>
            <w:noWrap/>
            <w:vAlign w:val="center"/>
            <w:hideMark/>
          </w:tcPr>
          <w:p w14:paraId="37886D1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07CE16B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084A8B5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2ED0D4D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1C82DB9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1740 (table 2)</w:t>
            </w:r>
          </w:p>
        </w:tc>
        <w:tc>
          <w:tcPr>
            <w:tcW w:w="850" w:type="dxa"/>
            <w:noWrap/>
            <w:vAlign w:val="center"/>
            <w:hideMark/>
          </w:tcPr>
          <w:p w14:paraId="632FA16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35509D7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Serra-</w:t>
            </w:r>
            <w:proofErr w:type="spellStart"/>
            <w:r w:rsidRPr="00B63AB4">
              <w:rPr>
                <w:sz w:val="20"/>
                <w:szCs w:val="20"/>
                <w:lang w:val="en-US"/>
              </w:rPr>
              <w:t>Juhé</w:t>
            </w:r>
            <w:proofErr w:type="spellEnd"/>
            <w:r w:rsidRPr="00B63AB4">
              <w:rPr>
                <w:sz w:val="20"/>
                <w:szCs w:val="20"/>
                <w:lang w:val="en-US"/>
              </w:rPr>
              <w:t>, et al. 2020</w:t>
            </w:r>
          </w:p>
        </w:tc>
      </w:tr>
      <w:tr w:rsidR="00DC2DB2" w:rsidRPr="00B63AB4" w14:paraId="08FCF22E" w14:textId="77777777" w:rsidTr="00EB4A43">
        <w:trPr>
          <w:trHeight w:val="315"/>
        </w:trPr>
        <w:tc>
          <w:tcPr>
            <w:tcW w:w="993" w:type="dxa"/>
            <w:noWrap/>
            <w:vAlign w:val="center"/>
            <w:hideMark/>
          </w:tcPr>
          <w:p w14:paraId="7207E6AD"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BDNF</w:t>
            </w:r>
          </w:p>
        </w:tc>
        <w:tc>
          <w:tcPr>
            <w:tcW w:w="1465" w:type="dxa"/>
            <w:noWrap/>
            <w:vAlign w:val="center"/>
            <w:hideMark/>
          </w:tcPr>
          <w:p w14:paraId="3429714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I231V</w:t>
            </w:r>
          </w:p>
        </w:tc>
        <w:tc>
          <w:tcPr>
            <w:tcW w:w="1146" w:type="dxa"/>
            <w:noWrap/>
            <w:vAlign w:val="center"/>
            <w:hideMark/>
          </w:tcPr>
          <w:p w14:paraId="34ECC44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7A32DD2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0C5B7A6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2C72F19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50AC297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2214 (table 2)</w:t>
            </w:r>
          </w:p>
        </w:tc>
        <w:tc>
          <w:tcPr>
            <w:tcW w:w="850" w:type="dxa"/>
            <w:noWrap/>
            <w:vAlign w:val="center"/>
            <w:hideMark/>
          </w:tcPr>
          <w:p w14:paraId="77BEB53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6A3B88D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Serra-</w:t>
            </w:r>
            <w:proofErr w:type="spellStart"/>
            <w:r w:rsidRPr="00B63AB4">
              <w:rPr>
                <w:sz w:val="20"/>
                <w:szCs w:val="20"/>
                <w:lang w:val="en-US"/>
              </w:rPr>
              <w:t>Juhé</w:t>
            </w:r>
            <w:proofErr w:type="spellEnd"/>
            <w:r w:rsidRPr="00B63AB4">
              <w:rPr>
                <w:sz w:val="20"/>
                <w:szCs w:val="20"/>
                <w:lang w:val="en-US"/>
              </w:rPr>
              <w:t>, et al. 2020</w:t>
            </w:r>
          </w:p>
        </w:tc>
      </w:tr>
      <w:tr w:rsidR="00DC2DB2" w:rsidRPr="00B63AB4" w14:paraId="67498A41" w14:textId="77777777" w:rsidTr="00EB4A43">
        <w:trPr>
          <w:trHeight w:val="315"/>
        </w:trPr>
        <w:tc>
          <w:tcPr>
            <w:tcW w:w="993" w:type="dxa"/>
            <w:noWrap/>
            <w:vAlign w:val="center"/>
            <w:hideMark/>
          </w:tcPr>
          <w:p w14:paraId="6AE374EC"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NEGR1</w:t>
            </w:r>
          </w:p>
        </w:tc>
        <w:tc>
          <w:tcPr>
            <w:tcW w:w="1465" w:type="dxa"/>
            <w:noWrap/>
            <w:vAlign w:val="center"/>
            <w:hideMark/>
          </w:tcPr>
          <w:p w14:paraId="3309740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I105V</w:t>
            </w:r>
          </w:p>
        </w:tc>
        <w:tc>
          <w:tcPr>
            <w:tcW w:w="1146" w:type="dxa"/>
            <w:noWrap/>
            <w:vAlign w:val="center"/>
            <w:hideMark/>
          </w:tcPr>
          <w:p w14:paraId="0CB3FDF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7023B28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2484697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06CEC94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460C9AD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OB20 (table 2)</w:t>
            </w:r>
          </w:p>
        </w:tc>
        <w:tc>
          <w:tcPr>
            <w:tcW w:w="850" w:type="dxa"/>
            <w:noWrap/>
            <w:vAlign w:val="center"/>
            <w:hideMark/>
          </w:tcPr>
          <w:p w14:paraId="6C9CC8C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55CE52C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Serra-</w:t>
            </w:r>
            <w:proofErr w:type="spellStart"/>
            <w:r w:rsidRPr="00B63AB4">
              <w:rPr>
                <w:sz w:val="20"/>
                <w:szCs w:val="20"/>
                <w:lang w:val="en-US"/>
              </w:rPr>
              <w:t>Juhé</w:t>
            </w:r>
            <w:proofErr w:type="spellEnd"/>
            <w:r w:rsidRPr="00B63AB4">
              <w:rPr>
                <w:sz w:val="20"/>
                <w:szCs w:val="20"/>
                <w:lang w:val="en-US"/>
              </w:rPr>
              <w:t>, et al. 2020</w:t>
            </w:r>
          </w:p>
        </w:tc>
      </w:tr>
      <w:tr w:rsidR="00DC2DB2" w:rsidRPr="00B63AB4" w14:paraId="1E1C9FBA" w14:textId="77777777" w:rsidTr="00EB4A43">
        <w:trPr>
          <w:trHeight w:val="315"/>
        </w:trPr>
        <w:tc>
          <w:tcPr>
            <w:tcW w:w="993" w:type="dxa"/>
            <w:noWrap/>
            <w:vAlign w:val="center"/>
            <w:hideMark/>
          </w:tcPr>
          <w:p w14:paraId="0B49DF25"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FTO</w:t>
            </w:r>
          </w:p>
        </w:tc>
        <w:tc>
          <w:tcPr>
            <w:tcW w:w="1465" w:type="dxa"/>
            <w:noWrap/>
            <w:vAlign w:val="center"/>
            <w:hideMark/>
          </w:tcPr>
          <w:p w14:paraId="2C0247C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R80W</w:t>
            </w:r>
          </w:p>
        </w:tc>
        <w:tc>
          <w:tcPr>
            <w:tcW w:w="1146" w:type="dxa"/>
            <w:noWrap/>
            <w:vAlign w:val="center"/>
            <w:hideMark/>
          </w:tcPr>
          <w:p w14:paraId="6E87DBF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6D0E10D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4FA98D1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36962B4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3A073C0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2153 (table 2)</w:t>
            </w:r>
          </w:p>
        </w:tc>
        <w:tc>
          <w:tcPr>
            <w:tcW w:w="850" w:type="dxa"/>
            <w:noWrap/>
            <w:vAlign w:val="center"/>
            <w:hideMark/>
          </w:tcPr>
          <w:p w14:paraId="4296AE5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29AAF24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Serra-</w:t>
            </w:r>
            <w:proofErr w:type="spellStart"/>
            <w:r w:rsidRPr="00B63AB4">
              <w:rPr>
                <w:sz w:val="20"/>
                <w:szCs w:val="20"/>
                <w:lang w:val="en-US"/>
              </w:rPr>
              <w:t>Juhé</w:t>
            </w:r>
            <w:proofErr w:type="spellEnd"/>
            <w:r w:rsidRPr="00B63AB4">
              <w:rPr>
                <w:sz w:val="20"/>
                <w:szCs w:val="20"/>
                <w:lang w:val="en-US"/>
              </w:rPr>
              <w:t>, et al. 2020</w:t>
            </w:r>
          </w:p>
        </w:tc>
      </w:tr>
      <w:tr w:rsidR="00DC2DB2" w:rsidRPr="00B63AB4" w14:paraId="785FA4A1" w14:textId="77777777" w:rsidTr="00EB4A43">
        <w:trPr>
          <w:trHeight w:val="315"/>
        </w:trPr>
        <w:tc>
          <w:tcPr>
            <w:tcW w:w="993" w:type="dxa"/>
            <w:noWrap/>
            <w:vAlign w:val="center"/>
            <w:hideMark/>
          </w:tcPr>
          <w:p w14:paraId="4B285C91"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NEGR1</w:t>
            </w:r>
          </w:p>
        </w:tc>
        <w:tc>
          <w:tcPr>
            <w:tcW w:w="1465" w:type="dxa"/>
            <w:noWrap/>
            <w:vAlign w:val="center"/>
            <w:hideMark/>
          </w:tcPr>
          <w:p w14:paraId="6673F0C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A326T</w:t>
            </w:r>
          </w:p>
        </w:tc>
        <w:tc>
          <w:tcPr>
            <w:tcW w:w="1146" w:type="dxa"/>
            <w:noWrap/>
            <w:vAlign w:val="center"/>
            <w:hideMark/>
          </w:tcPr>
          <w:p w14:paraId="08E8F4C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6C038B7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5F0A939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33CD2B2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60FC3C9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OBE26 (text)</w:t>
            </w:r>
          </w:p>
        </w:tc>
        <w:tc>
          <w:tcPr>
            <w:tcW w:w="850" w:type="dxa"/>
            <w:noWrap/>
            <w:vAlign w:val="center"/>
            <w:hideMark/>
          </w:tcPr>
          <w:p w14:paraId="47AD887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6759BAC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Serra-</w:t>
            </w:r>
            <w:proofErr w:type="spellStart"/>
            <w:r w:rsidRPr="00B63AB4">
              <w:rPr>
                <w:sz w:val="20"/>
                <w:szCs w:val="20"/>
                <w:lang w:val="en-US"/>
              </w:rPr>
              <w:t>Juhé</w:t>
            </w:r>
            <w:proofErr w:type="spellEnd"/>
            <w:r w:rsidRPr="00B63AB4">
              <w:rPr>
                <w:sz w:val="20"/>
                <w:szCs w:val="20"/>
                <w:lang w:val="en-US"/>
              </w:rPr>
              <w:t>, et al. 2020</w:t>
            </w:r>
          </w:p>
        </w:tc>
      </w:tr>
      <w:tr w:rsidR="00DC2DB2" w:rsidRPr="00B63AB4" w14:paraId="7724F916" w14:textId="77777777" w:rsidTr="00EB4A43">
        <w:trPr>
          <w:trHeight w:val="315"/>
        </w:trPr>
        <w:tc>
          <w:tcPr>
            <w:tcW w:w="993" w:type="dxa"/>
            <w:noWrap/>
            <w:vAlign w:val="center"/>
            <w:hideMark/>
          </w:tcPr>
          <w:p w14:paraId="083BBF1C"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NEGR1</w:t>
            </w:r>
          </w:p>
        </w:tc>
        <w:tc>
          <w:tcPr>
            <w:tcW w:w="1465" w:type="dxa"/>
            <w:noWrap/>
            <w:vAlign w:val="center"/>
            <w:hideMark/>
          </w:tcPr>
          <w:p w14:paraId="771F4A2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A326T</w:t>
            </w:r>
          </w:p>
        </w:tc>
        <w:tc>
          <w:tcPr>
            <w:tcW w:w="1146" w:type="dxa"/>
            <w:noWrap/>
            <w:vAlign w:val="center"/>
            <w:hideMark/>
          </w:tcPr>
          <w:p w14:paraId="066C576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05616B2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05595AA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4FF70F6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5415F93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1860 (text)</w:t>
            </w:r>
          </w:p>
        </w:tc>
        <w:tc>
          <w:tcPr>
            <w:tcW w:w="850" w:type="dxa"/>
            <w:noWrap/>
            <w:vAlign w:val="center"/>
            <w:hideMark/>
          </w:tcPr>
          <w:p w14:paraId="6A06B24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1DF2654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Serra-</w:t>
            </w:r>
            <w:proofErr w:type="spellStart"/>
            <w:r w:rsidRPr="00B63AB4">
              <w:rPr>
                <w:sz w:val="20"/>
                <w:szCs w:val="20"/>
                <w:lang w:val="en-US"/>
              </w:rPr>
              <w:t>Juhé</w:t>
            </w:r>
            <w:proofErr w:type="spellEnd"/>
            <w:r w:rsidRPr="00B63AB4">
              <w:rPr>
                <w:sz w:val="20"/>
                <w:szCs w:val="20"/>
                <w:lang w:val="en-US"/>
              </w:rPr>
              <w:t>, et al. 2020</w:t>
            </w:r>
          </w:p>
        </w:tc>
      </w:tr>
      <w:tr w:rsidR="00DC2DB2" w:rsidRPr="00B63AB4" w14:paraId="470D202F" w14:textId="77777777" w:rsidTr="00EB4A43">
        <w:trPr>
          <w:trHeight w:val="315"/>
        </w:trPr>
        <w:tc>
          <w:tcPr>
            <w:tcW w:w="993" w:type="dxa"/>
            <w:noWrap/>
            <w:vAlign w:val="center"/>
            <w:hideMark/>
          </w:tcPr>
          <w:p w14:paraId="6074B115"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BDNF</w:t>
            </w:r>
          </w:p>
        </w:tc>
        <w:tc>
          <w:tcPr>
            <w:tcW w:w="1465" w:type="dxa"/>
            <w:noWrap/>
            <w:vAlign w:val="center"/>
            <w:hideMark/>
          </w:tcPr>
          <w:p w14:paraId="77BA68A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Q50R</w:t>
            </w:r>
          </w:p>
        </w:tc>
        <w:tc>
          <w:tcPr>
            <w:tcW w:w="1146" w:type="dxa"/>
            <w:noWrap/>
            <w:vAlign w:val="center"/>
            <w:hideMark/>
          </w:tcPr>
          <w:p w14:paraId="454D38A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3E82B62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379205E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77FA2B3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5357C55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OBE13 (text)</w:t>
            </w:r>
          </w:p>
        </w:tc>
        <w:tc>
          <w:tcPr>
            <w:tcW w:w="850" w:type="dxa"/>
            <w:noWrap/>
            <w:vAlign w:val="center"/>
            <w:hideMark/>
          </w:tcPr>
          <w:p w14:paraId="6939E8C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6DA3FC2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Serra-</w:t>
            </w:r>
            <w:proofErr w:type="spellStart"/>
            <w:r w:rsidRPr="00B63AB4">
              <w:rPr>
                <w:sz w:val="20"/>
                <w:szCs w:val="20"/>
                <w:lang w:val="en-US"/>
              </w:rPr>
              <w:t>Juhé</w:t>
            </w:r>
            <w:proofErr w:type="spellEnd"/>
            <w:r w:rsidRPr="00B63AB4">
              <w:rPr>
                <w:sz w:val="20"/>
                <w:szCs w:val="20"/>
                <w:lang w:val="en-US"/>
              </w:rPr>
              <w:t>, et al. 2020</w:t>
            </w:r>
          </w:p>
        </w:tc>
      </w:tr>
      <w:tr w:rsidR="00DC2DB2" w:rsidRPr="00B63AB4" w14:paraId="04250BB1" w14:textId="77777777" w:rsidTr="00EB4A43">
        <w:trPr>
          <w:trHeight w:val="315"/>
        </w:trPr>
        <w:tc>
          <w:tcPr>
            <w:tcW w:w="993" w:type="dxa"/>
            <w:noWrap/>
            <w:vAlign w:val="center"/>
            <w:hideMark/>
          </w:tcPr>
          <w:p w14:paraId="5D9897F2"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FTO</w:t>
            </w:r>
          </w:p>
        </w:tc>
        <w:tc>
          <w:tcPr>
            <w:tcW w:w="1465" w:type="dxa"/>
            <w:noWrap/>
            <w:vAlign w:val="center"/>
            <w:hideMark/>
          </w:tcPr>
          <w:p w14:paraId="4209F5D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I492V</w:t>
            </w:r>
          </w:p>
        </w:tc>
        <w:tc>
          <w:tcPr>
            <w:tcW w:w="1146" w:type="dxa"/>
            <w:noWrap/>
            <w:vAlign w:val="center"/>
            <w:hideMark/>
          </w:tcPr>
          <w:p w14:paraId="1328BAD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1C9437A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7D28A77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1BAD3BE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5FDECA5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1863 (text)</w:t>
            </w:r>
          </w:p>
        </w:tc>
        <w:tc>
          <w:tcPr>
            <w:tcW w:w="850" w:type="dxa"/>
            <w:noWrap/>
            <w:vAlign w:val="center"/>
            <w:hideMark/>
          </w:tcPr>
          <w:p w14:paraId="0104DD1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32A1CC3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Serra-</w:t>
            </w:r>
            <w:proofErr w:type="spellStart"/>
            <w:r w:rsidRPr="00B63AB4">
              <w:rPr>
                <w:sz w:val="20"/>
                <w:szCs w:val="20"/>
                <w:lang w:val="en-US"/>
              </w:rPr>
              <w:t>Juhé</w:t>
            </w:r>
            <w:proofErr w:type="spellEnd"/>
            <w:r w:rsidRPr="00B63AB4">
              <w:rPr>
                <w:sz w:val="20"/>
                <w:szCs w:val="20"/>
                <w:lang w:val="en-US"/>
              </w:rPr>
              <w:t>, et al. 2020</w:t>
            </w:r>
          </w:p>
        </w:tc>
      </w:tr>
      <w:tr w:rsidR="00DC2DB2" w:rsidRPr="00B63AB4" w14:paraId="6358A076" w14:textId="77777777" w:rsidTr="00EB4A43">
        <w:trPr>
          <w:trHeight w:val="315"/>
        </w:trPr>
        <w:tc>
          <w:tcPr>
            <w:tcW w:w="993" w:type="dxa"/>
            <w:noWrap/>
            <w:vAlign w:val="center"/>
            <w:hideMark/>
          </w:tcPr>
          <w:p w14:paraId="1C3E47E1"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FTO</w:t>
            </w:r>
          </w:p>
        </w:tc>
        <w:tc>
          <w:tcPr>
            <w:tcW w:w="1465" w:type="dxa"/>
            <w:noWrap/>
            <w:vAlign w:val="center"/>
            <w:hideMark/>
          </w:tcPr>
          <w:p w14:paraId="1C5831E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I492V</w:t>
            </w:r>
          </w:p>
        </w:tc>
        <w:tc>
          <w:tcPr>
            <w:tcW w:w="1146" w:type="dxa"/>
            <w:noWrap/>
            <w:vAlign w:val="center"/>
            <w:hideMark/>
          </w:tcPr>
          <w:p w14:paraId="7E7F651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7855F05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13F23F0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4F69C2E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2766979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1484 (text)</w:t>
            </w:r>
          </w:p>
        </w:tc>
        <w:tc>
          <w:tcPr>
            <w:tcW w:w="850" w:type="dxa"/>
            <w:noWrap/>
            <w:vAlign w:val="center"/>
            <w:hideMark/>
          </w:tcPr>
          <w:p w14:paraId="25D36CB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3AFEFDB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Serra-</w:t>
            </w:r>
            <w:proofErr w:type="spellStart"/>
            <w:r w:rsidRPr="00B63AB4">
              <w:rPr>
                <w:sz w:val="20"/>
                <w:szCs w:val="20"/>
                <w:lang w:val="en-US"/>
              </w:rPr>
              <w:t>Juhé</w:t>
            </w:r>
            <w:proofErr w:type="spellEnd"/>
            <w:r w:rsidRPr="00B63AB4">
              <w:rPr>
                <w:sz w:val="20"/>
                <w:szCs w:val="20"/>
                <w:lang w:val="en-US"/>
              </w:rPr>
              <w:t>, et al. 2020</w:t>
            </w:r>
          </w:p>
        </w:tc>
      </w:tr>
      <w:tr w:rsidR="00DC2DB2" w:rsidRPr="00B63AB4" w14:paraId="76F5358A" w14:textId="77777777" w:rsidTr="00EB4A43">
        <w:trPr>
          <w:trHeight w:val="315"/>
        </w:trPr>
        <w:tc>
          <w:tcPr>
            <w:tcW w:w="993" w:type="dxa"/>
            <w:noWrap/>
            <w:vAlign w:val="center"/>
            <w:hideMark/>
          </w:tcPr>
          <w:p w14:paraId="5A10AB2D"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FTO</w:t>
            </w:r>
          </w:p>
        </w:tc>
        <w:tc>
          <w:tcPr>
            <w:tcW w:w="1465" w:type="dxa"/>
            <w:noWrap/>
            <w:vAlign w:val="center"/>
            <w:hideMark/>
          </w:tcPr>
          <w:p w14:paraId="4C83D52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I492V</w:t>
            </w:r>
          </w:p>
        </w:tc>
        <w:tc>
          <w:tcPr>
            <w:tcW w:w="1146" w:type="dxa"/>
            <w:noWrap/>
            <w:vAlign w:val="center"/>
            <w:hideMark/>
          </w:tcPr>
          <w:p w14:paraId="78954A6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125345D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1FAAA0B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6FE4905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2E82C0E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1698 (text)</w:t>
            </w:r>
          </w:p>
        </w:tc>
        <w:tc>
          <w:tcPr>
            <w:tcW w:w="850" w:type="dxa"/>
            <w:noWrap/>
            <w:vAlign w:val="center"/>
            <w:hideMark/>
          </w:tcPr>
          <w:p w14:paraId="692F79F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5D67ECD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Serra-</w:t>
            </w:r>
            <w:proofErr w:type="spellStart"/>
            <w:r w:rsidRPr="00B63AB4">
              <w:rPr>
                <w:sz w:val="20"/>
                <w:szCs w:val="20"/>
                <w:lang w:val="en-US"/>
              </w:rPr>
              <w:t>Juhé</w:t>
            </w:r>
            <w:proofErr w:type="spellEnd"/>
            <w:r w:rsidRPr="00B63AB4">
              <w:rPr>
                <w:sz w:val="20"/>
                <w:szCs w:val="20"/>
                <w:lang w:val="en-US"/>
              </w:rPr>
              <w:t>, et al. 2020</w:t>
            </w:r>
          </w:p>
        </w:tc>
      </w:tr>
      <w:tr w:rsidR="00DC2DB2" w:rsidRPr="00B63AB4" w14:paraId="3FD1CAE9" w14:textId="77777777" w:rsidTr="00EB4A43">
        <w:trPr>
          <w:trHeight w:val="315"/>
        </w:trPr>
        <w:tc>
          <w:tcPr>
            <w:tcW w:w="993" w:type="dxa"/>
            <w:noWrap/>
            <w:vAlign w:val="center"/>
            <w:hideMark/>
          </w:tcPr>
          <w:p w14:paraId="3813D5A3"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SIM1</w:t>
            </w:r>
          </w:p>
        </w:tc>
        <w:tc>
          <w:tcPr>
            <w:tcW w:w="1465" w:type="dxa"/>
            <w:noWrap/>
            <w:vAlign w:val="center"/>
            <w:hideMark/>
          </w:tcPr>
          <w:p w14:paraId="6BF7944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S348L</w:t>
            </w:r>
          </w:p>
        </w:tc>
        <w:tc>
          <w:tcPr>
            <w:tcW w:w="1146" w:type="dxa"/>
            <w:noWrap/>
            <w:vAlign w:val="center"/>
            <w:hideMark/>
          </w:tcPr>
          <w:p w14:paraId="140014E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622EA2E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322B7E1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4990DE7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55B4731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1931 (text)</w:t>
            </w:r>
          </w:p>
        </w:tc>
        <w:tc>
          <w:tcPr>
            <w:tcW w:w="850" w:type="dxa"/>
            <w:noWrap/>
            <w:vAlign w:val="center"/>
            <w:hideMark/>
          </w:tcPr>
          <w:p w14:paraId="06AF579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0FBF7AA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Serra-</w:t>
            </w:r>
            <w:proofErr w:type="spellStart"/>
            <w:r w:rsidRPr="00B63AB4">
              <w:rPr>
                <w:sz w:val="20"/>
                <w:szCs w:val="20"/>
                <w:lang w:val="en-US"/>
              </w:rPr>
              <w:t>Juhé</w:t>
            </w:r>
            <w:proofErr w:type="spellEnd"/>
            <w:r w:rsidRPr="00B63AB4">
              <w:rPr>
                <w:sz w:val="20"/>
                <w:szCs w:val="20"/>
                <w:lang w:val="en-US"/>
              </w:rPr>
              <w:t>, et al. 2020</w:t>
            </w:r>
          </w:p>
        </w:tc>
      </w:tr>
      <w:tr w:rsidR="00DC2DB2" w:rsidRPr="00B63AB4" w14:paraId="5967C962" w14:textId="77777777" w:rsidTr="00EB4A43">
        <w:trPr>
          <w:trHeight w:val="315"/>
        </w:trPr>
        <w:tc>
          <w:tcPr>
            <w:tcW w:w="993" w:type="dxa"/>
            <w:noWrap/>
            <w:vAlign w:val="center"/>
            <w:hideMark/>
          </w:tcPr>
          <w:p w14:paraId="6E622FD9"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SIM1</w:t>
            </w:r>
          </w:p>
        </w:tc>
        <w:tc>
          <w:tcPr>
            <w:tcW w:w="1465" w:type="dxa"/>
            <w:noWrap/>
            <w:vAlign w:val="center"/>
            <w:hideMark/>
          </w:tcPr>
          <w:p w14:paraId="47D2848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c.258+7G&gt;T</w:t>
            </w:r>
          </w:p>
        </w:tc>
        <w:tc>
          <w:tcPr>
            <w:tcW w:w="1146" w:type="dxa"/>
            <w:noWrap/>
            <w:vAlign w:val="center"/>
            <w:hideMark/>
          </w:tcPr>
          <w:p w14:paraId="723404A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Splicing</w:t>
            </w:r>
          </w:p>
        </w:tc>
        <w:tc>
          <w:tcPr>
            <w:tcW w:w="1358" w:type="dxa"/>
            <w:noWrap/>
            <w:vAlign w:val="center"/>
            <w:hideMark/>
          </w:tcPr>
          <w:p w14:paraId="50A2E53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1441311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2405610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7D6908C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2069 (text)</w:t>
            </w:r>
          </w:p>
        </w:tc>
        <w:tc>
          <w:tcPr>
            <w:tcW w:w="850" w:type="dxa"/>
            <w:noWrap/>
            <w:vAlign w:val="center"/>
            <w:hideMark/>
          </w:tcPr>
          <w:p w14:paraId="4183EC4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7D0C3C0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Serra-</w:t>
            </w:r>
            <w:proofErr w:type="spellStart"/>
            <w:r w:rsidRPr="00B63AB4">
              <w:rPr>
                <w:sz w:val="20"/>
                <w:szCs w:val="20"/>
                <w:lang w:val="en-US"/>
              </w:rPr>
              <w:t>Juhé</w:t>
            </w:r>
            <w:proofErr w:type="spellEnd"/>
            <w:r w:rsidRPr="00B63AB4">
              <w:rPr>
                <w:sz w:val="20"/>
                <w:szCs w:val="20"/>
                <w:lang w:val="en-US"/>
              </w:rPr>
              <w:t>, et al. 2020</w:t>
            </w:r>
          </w:p>
        </w:tc>
      </w:tr>
      <w:tr w:rsidR="00DC2DB2" w:rsidRPr="00B63AB4" w14:paraId="55BA0215" w14:textId="77777777" w:rsidTr="00EB4A43">
        <w:trPr>
          <w:trHeight w:val="315"/>
        </w:trPr>
        <w:tc>
          <w:tcPr>
            <w:tcW w:w="993" w:type="dxa"/>
            <w:noWrap/>
            <w:vAlign w:val="center"/>
          </w:tcPr>
          <w:p w14:paraId="7DA5A3B7" w14:textId="77777777" w:rsidR="00DC2DB2" w:rsidRPr="00F72CF7" w:rsidRDefault="00DC2DB2" w:rsidP="00EB4A43">
            <w:pPr>
              <w:spacing w:before="100" w:beforeAutospacing="1" w:after="100" w:afterAutospacing="1"/>
              <w:jc w:val="center"/>
              <w:rPr>
                <w:i/>
                <w:iCs/>
                <w:sz w:val="20"/>
                <w:szCs w:val="20"/>
                <w:lang w:val="en-US"/>
              </w:rPr>
            </w:pPr>
            <w:r w:rsidRPr="00F72CF7">
              <w:rPr>
                <w:i/>
                <w:iCs/>
                <w:sz w:val="20"/>
                <w:szCs w:val="20"/>
                <w:lang w:val="en-US"/>
              </w:rPr>
              <w:t>SIM1</w:t>
            </w:r>
          </w:p>
        </w:tc>
        <w:tc>
          <w:tcPr>
            <w:tcW w:w="1465" w:type="dxa"/>
            <w:noWrap/>
            <w:vAlign w:val="center"/>
          </w:tcPr>
          <w:p w14:paraId="5686B1FE"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Q36X</w:t>
            </w:r>
          </w:p>
        </w:tc>
        <w:tc>
          <w:tcPr>
            <w:tcW w:w="1146" w:type="dxa"/>
            <w:noWrap/>
            <w:vAlign w:val="center"/>
          </w:tcPr>
          <w:p w14:paraId="086749B3"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Nonsense</w:t>
            </w:r>
          </w:p>
        </w:tc>
        <w:tc>
          <w:tcPr>
            <w:tcW w:w="1358" w:type="dxa"/>
            <w:noWrap/>
            <w:vAlign w:val="center"/>
          </w:tcPr>
          <w:p w14:paraId="7D830521"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Pathogenic</w:t>
            </w:r>
          </w:p>
        </w:tc>
        <w:tc>
          <w:tcPr>
            <w:tcW w:w="850" w:type="dxa"/>
            <w:gridSpan w:val="2"/>
            <w:noWrap/>
            <w:vAlign w:val="center"/>
          </w:tcPr>
          <w:p w14:paraId="2668D088"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Pat</w:t>
            </w:r>
          </w:p>
        </w:tc>
        <w:tc>
          <w:tcPr>
            <w:tcW w:w="1134" w:type="dxa"/>
            <w:gridSpan w:val="2"/>
            <w:noWrap/>
            <w:vAlign w:val="center"/>
          </w:tcPr>
          <w:p w14:paraId="1E14A988"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O</w:t>
            </w:r>
          </w:p>
        </w:tc>
        <w:tc>
          <w:tcPr>
            <w:tcW w:w="2552" w:type="dxa"/>
            <w:gridSpan w:val="2"/>
            <w:noWrap/>
            <w:vAlign w:val="center"/>
          </w:tcPr>
          <w:p w14:paraId="19B87BC2"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Case 2 (table 1)</w:t>
            </w:r>
          </w:p>
        </w:tc>
        <w:tc>
          <w:tcPr>
            <w:tcW w:w="850" w:type="dxa"/>
            <w:noWrap/>
            <w:vAlign w:val="center"/>
          </w:tcPr>
          <w:p w14:paraId="5570818A"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F</w:t>
            </w:r>
          </w:p>
        </w:tc>
        <w:tc>
          <w:tcPr>
            <w:tcW w:w="2835" w:type="dxa"/>
            <w:gridSpan w:val="2"/>
            <w:noWrap/>
            <w:vAlign w:val="center"/>
          </w:tcPr>
          <w:p w14:paraId="58267096"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Akinci, et al. 2019</w:t>
            </w:r>
          </w:p>
        </w:tc>
      </w:tr>
      <w:tr w:rsidR="00DC2DB2" w:rsidRPr="00B63AB4" w14:paraId="41C98A48" w14:textId="77777777" w:rsidTr="00EB4A43">
        <w:trPr>
          <w:trHeight w:val="315"/>
        </w:trPr>
        <w:tc>
          <w:tcPr>
            <w:tcW w:w="993" w:type="dxa"/>
            <w:noWrap/>
            <w:vAlign w:val="center"/>
          </w:tcPr>
          <w:p w14:paraId="5BEEC66E" w14:textId="77777777" w:rsidR="00DC2DB2" w:rsidRPr="00F72CF7" w:rsidRDefault="00DC2DB2" w:rsidP="00EB4A43">
            <w:pPr>
              <w:spacing w:before="100" w:beforeAutospacing="1" w:after="100" w:afterAutospacing="1"/>
              <w:jc w:val="center"/>
              <w:rPr>
                <w:i/>
                <w:iCs/>
                <w:sz w:val="20"/>
                <w:szCs w:val="20"/>
                <w:lang w:val="en-US"/>
              </w:rPr>
            </w:pPr>
            <w:r w:rsidRPr="00F72CF7">
              <w:rPr>
                <w:i/>
                <w:iCs/>
                <w:sz w:val="20"/>
                <w:szCs w:val="20"/>
                <w:lang w:val="en-US"/>
              </w:rPr>
              <w:t>POMC</w:t>
            </w:r>
          </w:p>
        </w:tc>
        <w:tc>
          <w:tcPr>
            <w:tcW w:w="1465" w:type="dxa"/>
            <w:noWrap/>
            <w:vAlign w:val="center"/>
          </w:tcPr>
          <w:p w14:paraId="723F4BE4"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Y160H</w:t>
            </w:r>
          </w:p>
        </w:tc>
        <w:tc>
          <w:tcPr>
            <w:tcW w:w="1146" w:type="dxa"/>
            <w:noWrap/>
            <w:vAlign w:val="center"/>
          </w:tcPr>
          <w:p w14:paraId="014F532E"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Missense</w:t>
            </w:r>
          </w:p>
        </w:tc>
        <w:tc>
          <w:tcPr>
            <w:tcW w:w="1358" w:type="dxa"/>
            <w:noWrap/>
            <w:vAlign w:val="center"/>
          </w:tcPr>
          <w:p w14:paraId="5B36CE2C"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VUS</w:t>
            </w:r>
          </w:p>
        </w:tc>
        <w:tc>
          <w:tcPr>
            <w:tcW w:w="850" w:type="dxa"/>
            <w:gridSpan w:val="2"/>
            <w:noWrap/>
            <w:vAlign w:val="center"/>
          </w:tcPr>
          <w:p w14:paraId="60904C3E"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Mat</w:t>
            </w:r>
          </w:p>
        </w:tc>
        <w:tc>
          <w:tcPr>
            <w:tcW w:w="1134" w:type="dxa"/>
            <w:gridSpan w:val="2"/>
            <w:noWrap/>
            <w:vAlign w:val="center"/>
          </w:tcPr>
          <w:p w14:paraId="1AC9DF29"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SO</w:t>
            </w:r>
          </w:p>
        </w:tc>
        <w:tc>
          <w:tcPr>
            <w:tcW w:w="2552" w:type="dxa"/>
            <w:gridSpan w:val="2"/>
            <w:noWrap/>
            <w:vAlign w:val="center"/>
          </w:tcPr>
          <w:p w14:paraId="4D82EC4E"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Case 3 (table 1)</w:t>
            </w:r>
          </w:p>
        </w:tc>
        <w:tc>
          <w:tcPr>
            <w:tcW w:w="850" w:type="dxa"/>
            <w:noWrap/>
            <w:vAlign w:val="center"/>
          </w:tcPr>
          <w:p w14:paraId="32B03FF5"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M</w:t>
            </w:r>
          </w:p>
        </w:tc>
        <w:tc>
          <w:tcPr>
            <w:tcW w:w="2835" w:type="dxa"/>
            <w:gridSpan w:val="2"/>
            <w:noWrap/>
            <w:vAlign w:val="center"/>
          </w:tcPr>
          <w:p w14:paraId="2E9268C1"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Akinci, et al. 2019</w:t>
            </w:r>
          </w:p>
        </w:tc>
      </w:tr>
      <w:tr w:rsidR="00DC2DB2" w:rsidRPr="00B63AB4" w14:paraId="4C5F8081" w14:textId="77777777" w:rsidTr="00EB4A43">
        <w:trPr>
          <w:trHeight w:val="315"/>
        </w:trPr>
        <w:tc>
          <w:tcPr>
            <w:tcW w:w="993" w:type="dxa"/>
            <w:noWrap/>
            <w:vAlign w:val="center"/>
          </w:tcPr>
          <w:p w14:paraId="6BCAC1A6" w14:textId="77777777" w:rsidR="00DC2DB2" w:rsidRPr="00F72CF7" w:rsidRDefault="00DC2DB2" w:rsidP="00EB4A43">
            <w:pPr>
              <w:spacing w:before="100" w:beforeAutospacing="1" w:after="100" w:afterAutospacing="1"/>
              <w:jc w:val="center"/>
              <w:rPr>
                <w:i/>
                <w:iCs/>
                <w:sz w:val="20"/>
                <w:szCs w:val="20"/>
                <w:lang w:val="en-US"/>
              </w:rPr>
            </w:pPr>
            <w:r w:rsidRPr="00F72CF7">
              <w:rPr>
                <w:i/>
                <w:iCs/>
                <w:sz w:val="20"/>
                <w:szCs w:val="20"/>
                <w:lang w:val="en-US"/>
              </w:rPr>
              <w:t>MC4R</w:t>
            </w:r>
          </w:p>
        </w:tc>
        <w:tc>
          <w:tcPr>
            <w:tcW w:w="1465" w:type="dxa"/>
            <w:noWrap/>
            <w:vAlign w:val="center"/>
          </w:tcPr>
          <w:p w14:paraId="5C73E0CF"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R165W</w:t>
            </w:r>
          </w:p>
        </w:tc>
        <w:tc>
          <w:tcPr>
            <w:tcW w:w="1146" w:type="dxa"/>
            <w:noWrap/>
            <w:vAlign w:val="center"/>
          </w:tcPr>
          <w:p w14:paraId="6484476E"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Missense</w:t>
            </w:r>
          </w:p>
        </w:tc>
        <w:tc>
          <w:tcPr>
            <w:tcW w:w="1358" w:type="dxa"/>
            <w:noWrap/>
            <w:vAlign w:val="center"/>
          </w:tcPr>
          <w:p w14:paraId="41B525D2"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Pathogenic</w:t>
            </w:r>
          </w:p>
        </w:tc>
        <w:tc>
          <w:tcPr>
            <w:tcW w:w="850" w:type="dxa"/>
            <w:gridSpan w:val="2"/>
            <w:noWrap/>
            <w:vAlign w:val="center"/>
          </w:tcPr>
          <w:p w14:paraId="5D78C17A"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Pat</w:t>
            </w:r>
          </w:p>
        </w:tc>
        <w:tc>
          <w:tcPr>
            <w:tcW w:w="1134" w:type="dxa"/>
            <w:gridSpan w:val="2"/>
            <w:noWrap/>
            <w:vAlign w:val="center"/>
          </w:tcPr>
          <w:p w14:paraId="7CA35D80"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O</w:t>
            </w:r>
          </w:p>
        </w:tc>
        <w:tc>
          <w:tcPr>
            <w:tcW w:w="2552" w:type="dxa"/>
            <w:gridSpan w:val="2"/>
            <w:noWrap/>
            <w:vAlign w:val="center"/>
          </w:tcPr>
          <w:p w14:paraId="22470531"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Case 8 (table 1)</w:t>
            </w:r>
          </w:p>
        </w:tc>
        <w:tc>
          <w:tcPr>
            <w:tcW w:w="850" w:type="dxa"/>
            <w:noWrap/>
            <w:vAlign w:val="center"/>
          </w:tcPr>
          <w:p w14:paraId="199EEEDD"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F</w:t>
            </w:r>
          </w:p>
        </w:tc>
        <w:tc>
          <w:tcPr>
            <w:tcW w:w="2835" w:type="dxa"/>
            <w:gridSpan w:val="2"/>
            <w:noWrap/>
            <w:vAlign w:val="center"/>
          </w:tcPr>
          <w:p w14:paraId="013E4165"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Akinci, et al. 2019</w:t>
            </w:r>
          </w:p>
        </w:tc>
      </w:tr>
      <w:tr w:rsidR="00DC2DB2" w:rsidRPr="00B63AB4" w14:paraId="39DC9E19" w14:textId="77777777" w:rsidTr="00EB4A43">
        <w:trPr>
          <w:trHeight w:val="315"/>
        </w:trPr>
        <w:tc>
          <w:tcPr>
            <w:tcW w:w="993" w:type="dxa"/>
            <w:noWrap/>
            <w:vAlign w:val="center"/>
          </w:tcPr>
          <w:p w14:paraId="06D1B347" w14:textId="77777777" w:rsidR="00DC2DB2" w:rsidRPr="00F72CF7" w:rsidRDefault="00DC2DB2" w:rsidP="00EB4A43">
            <w:pPr>
              <w:spacing w:before="100" w:beforeAutospacing="1" w:after="100" w:afterAutospacing="1"/>
              <w:jc w:val="center"/>
              <w:rPr>
                <w:i/>
                <w:iCs/>
                <w:sz w:val="20"/>
                <w:szCs w:val="20"/>
                <w:lang w:val="en-US"/>
              </w:rPr>
            </w:pPr>
            <w:r w:rsidRPr="00F72CF7">
              <w:rPr>
                <w:i/>
                <w:iCs/>
                <w:sz w:val="20"/>
                <w:szCs w:val="20"/>
                <w:lang w:val="en-US"/>
              </w:rPr>
              <w:t>MC4R</w:t>
            </w:r>
          </w:p>
        </w:tc>
        <w:tc>
          <w:tcPr>
            <w:tcW w:w="1465" w:type="dxa"/>
            <w:noWrap/>
            <w:vAlign w:val="center"/>
          </w:tcPr>
          <w:p w14:paraId="35D764A3"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V166I</w:t>
            </w:r>
          </w:p>
        </w:tc>
        <w:tc>
          <w:tcPr>
            <w:tcW w:w="1146" w:type="dxa"/>
            <w:noWrap/>
            <w:vAlign w:val="center"/>
          </w:tcPr>
          <w:p w14:paraId="233CA3BF"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Missense</w:t>
            </w:r>
          </w:p>
        </w:tc>
        <w:tc>
          <w:tcPr>
            <w:tcW w:w="1358" w:type="dxa"/>
            <w:noWrap/>
            <w:vAlign w:val="center"/>
          </w:tcPr>
          <w:p w14:paraId="6862AAC1"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Pathogenic</w:t>
            </w:r>
          </w:p>
        </w:tc>
        <w:tc>
          <w:tcPr>
            <w:tcW w:w="850" w:type="dxa"/>
            <w:gridSpan w:val="2"/>
            <w:noWrap/>
            <w:vAlign w:val="center"/>
          </w:tcPr>
          <w:p w14:paraId="2C3D9C2F"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Mat</w:t>
            </w:r>
          </w:p>
        </w:tc>
        <w:tc>
          <w:tcPr>
            <w:tcW w:w="1134" w:type="dxa"/>
            <w:gridSpan w:val="2"/>
            <w:noWrap/>
            <w:vAlign w:val="center"/>
          </w:tcPr>
          <w:p w14:paraId="529D8A65"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O</w:t>
            </w:r>
          </w:p>
        </w:tc>
        <w:tc>
          <w:tcPr>
            <w:tcW w:w="2552" w:type="dxa"/>
            <w:gridSpan w:val="2"/>
            <w:noWrap/>
            <w:vAlign w:val="center"/>
          </w:tcPr>
          <w:p w14:paraId="00D31DEF"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Case 9 (table 1)</w:t>
            </w:r>
          </w:p>
        </w:tc>
        <w:tc>
          <w:tcPr>
            <w:tcW w:w="850" w:type="dxa"/>
            <w:noWrap/>
            <w:vAlign w:val="center"/>
          </w:tcPr>
          <w:p w14:paraId="3E301A1D"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M</w:t>
            </w:r>
          </w:p>
        </w:tc>
        <w:tc>
          <w:tcPr>
            <w:tcW w:w="2835" w:type="dxa"/>
            <w:gridSpan w:val="2"/>
            <w:noWrap/>
            <w:vAlign w:val="center"/>
          </w:tcPr>
          <w:p w14:paraId="56669E88"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Akinci, et al. 2019</w:t>
            </w:r>
          </w:p>
        </w:tc>
      </w:tr>
      <w:tr w:rsidR="00DC2DB2" w:rsidRPr="00B63AB4" w14:paraId="5D2BA06B" w14:textId="77777777" w:rsidTr="00EB4A43">
        <w:trPr>
          <w:trHeight w:val="315"/>
        </w:trPr>
        <w:tc>
          <w:tcPr>
            <w:tcW w:w="993" w:type="dxa"/>
            <w:noWrap/>
            <w:vAlign w:val="center"/>
          </w:tcPr>
          <w:p w14:paraId="5FAA04FD" w14:textId="77777777" w:rsidR="00DC2DB2" w:rsidRPr="00F72CF7" w:rsidRDefault="00DC2DB2" w:rsidP="00EB4A43">
            <w:pPr>
              <w:spacing w:before="100" w:beforeAutospacing="1" w:after="100" w:afterAutospacing="1"/>
              <w:jc w:val="center"/>
              <w:rPr>
                <w:i/>
                <w:iCs/>
                <w:sz w:val="20"/>
                <w:szCs w:val="20"/>
                <w:lang w:val="en-US"/>
              </w:rPr>
            </w:pPr>
            <w:r w:rsidRPr="00F72CF7">
              <w:rPr>
                <w:i/>
                <w:iCs/>
                <w:sz w:val="20"/>
                <w:szCs w:val="20"/>
                <w:lang w:val="en-US"/>
              </w:rPr>
              <w:t>MC4R</w:t>
            </w:r>
          </w:p>
        </w:tc>
        <w:tc>
          <w:tcPr>
            <w:tcW w:w="1465" w:type="dxa"/>
            <w:noWrap/>
            <w:vAlign w:val="center"/>
          </w:tcPr>
          <w:p w14:paraId="188E4AEF"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R165W</w:t>
            </w:r>
          </w:p>
        </w:tc>
        <w:tc>
          <w:tcPr>
            <w:tcW w:w="1146" w:type="dxa"/>
            <w:noWrap/>
            <w:vAlign w:val="center"/>
          </w:tcPr>
          <w:p w14:paraId="25DD7151"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Missense</w:t>
            </w:r>
          </w:p>
        </w:tc>
        <w:tc>
          <w:tcPr>
            <w:tcW w:w="1358" w:type="dxa"/>
            <w:noWrap/>
            <w:vAlign w:val="center"/>
          </w:tcPr>
          <w:p w14:paraId="3B50F6A2"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Pathogenic</w:t>
            </w:r>
          </w:p>
        </w:tc>
        <w:tc>
          <w:tcPr>
            <w:tcW w:w="850" w:type="dxa"/>
            <w:gridSpan w:val="2"/>
            <w:noWrap/>
            <w:vAlign w:val="center"/>
          </w:tcPr>
          <w:p w14:paraId="2C128643"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Pat</w:t>
            </w:r>
          </w:p>
        </w:tc>
        <w:tc>
          <w:tcPr>
            <w:tcW w:w="1134" w:type="dxa"/>
            <w:gridSpan w:val="2"/>
            <w:noWrap/>
            <w:vAlign w:val="center"/>
          </w:tcPr>
          <w:p w14:paraId="5DB570E9"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O</w:t>
            </w:r>
          </w:p>
        </w:tc>
        <w:tc>
          <w:tcPr>
            <w:tcW w:w="2552" w:type="dxa"/>
            <w:gridSpan w:val="2"/>
            <w:noWrap/>
            <w:vAlign w:val="center"/>
          </w:tcPr>
          <w:p w14:paraId="14B979CE"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Case 10 (table 1)</w:t>
            </w:r>
          </w:p>
        </w:tc>
        <w:tc>
          <w:tcPr>
            <w:tcW w:w="850" w:type="dxa"/>
            <w:noWrap/>
            <w:vAlign w:val="center"/>
          </w:tcPr>
          <w:p w14:paraId="2A82A18A"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F</w:t>
            </w:r>
          </w:p>
        </w:tc>
        <w:tc>
          <w:tcPr>
            <w:tcW w:w="2835" w:type="dxa"/>
            <w:gridSpan w:val="2"/>
            <w:noWrap/>
            <w:vAlign w:val="center"/>
          </w:tcPr>
          <w:p w14:paraId="707BEC78"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Akinci, et al. 2019</w:t>
            </w:r>
          </w:p>
        </w:tc>
      </w:tr>
      <w:tr w:rsidR="00DC2DB2" w:rsidRPr="00B63AB4" w14:paraId="76A3BE11" w14:textId="77777777" w:rsidTr="00EB4A43">
        <w:trPr>
          <w:trHeight w:val="315"/>
        </w:trPr>
        <w:tc>
          <w:tcPr>
            <w:tcW w:w="993" w:type="dxa"/>
            <w:noWrap/>
            <w:vAlign w:val="center"/>
          </w:tcPr>
          <w:p w14:paraId="6DB60734" w14:textId="77777777" w:rsidR="00DC2DB2" w:rsidRPr="00F72CF7" w:rsidRDefault="00DC2DB2" w:rsidP="00EB4A43">
            <w:pPr>
              <w:spacing w:before="100" w:beforeAutospacing="1" w:after="100" w:afterAutospacing="1"/>
              <w:jc w:val="center"/>
              <w:rPr>
                <w:i/>
                <w:iCs/>
                <w:sz w:val="20"/>
                <w:szCs w:val="20"/>
                <w:lang w:val="en-US"/>
              </w:rPr>
            </w:pPr>
            <w:r w:rsidRPr="00F72CF7">
              <w:rPr>
                <w:i/>
                <w:iCs/>
                <w:sz w:val="20"/>
                <w:szCs w:val="20"/>
                <w:lang w:val="en-US"/>
              </w:rPr>
              <w:lastRenderedPageBreak/>
              <w:t>MC4R</w:t>
            </w:r>
          </w:p>
        </w:tc>
        <w:tc>
          <w:tcPr>
            <w:tcW w:w="1465" w:type="dxa"/>
            <w:noWrap/>
            <w:vAlign w:val="center"/>
          </w:tcPr>
          <w:p w14:paraId="7B3F4A07"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R165W</w:t>
            </w:r>
          </w:p>
        </w:tc>
        <w:tc>
          <w:tcPr>
            <w:tcW w:w="1146" w:type="dxa"/>
            <w:noWrap/>
            <w:vAlign w:val="center"/>
          </w:tcPr>
          <w:p w14:paraId="4607DD5D"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Missense</w:t>
            </w:r>
          </w:p>
        </w:tc>
        <w:tc>
          <w:tcPr>
            <w:tcW w:w="1358" w:type="dxa"/>
            <w:noWrap/>
            <w:vAlign w:val="center"/>
          </w:tcPr>
          <w:p w14:paraId="36C40523"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Pathogenic</w:t>
            </w:r>
          </w:p>
        </w:tc>
        <w:tc>
          <w:tcPr>
            <w:tcW w:w="850" w:type="dxa"/>
            <w:gridSpan w:val="2"/>
            <w:noWrap/>
            <w:vAlign w:val="center"/>
          </w:tcPr>
          <w:p w14:paraId="1905ED14"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Pat</w:t>
            </w:r>
          </w:p>
        </w:tc>
        <w:tc>
          <w:tcPr>
            <w:tcW w:w="1134" w:type="dxa"/>
            <w:gridSpan w:val="2"/>
            <w:noWrap/>
            <w:vAlign w:val="center"/>
          </w:tcPr>
          <w:p w14:paraId="1364D82F"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O</w:t>
            </w:r>
          </w:p>
        </w:tc>
        <w:tc>
          <w:tcPr>
            <w:tcW w:w="2552" w:type="dxa"/>
            <w:gridSpan w:val="2"/>
            <w:noWrap/>
            <w:vAlign w:val="center"/>
          </w:tcPr>
          <w:p w14:paraId="1EC6343B"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Case 11 (table 1)</w:t>
            </w:r>
          </w:p>
        </w:tc>
        <w:tc>
          <w:tcPr>
            <w:tcW w:w="850" w:type="dxa"/>
            <w:noWrap/>
            <w:vAlign w:val="center"/>
          </w:tcPr>
          <w:p w14:paraId="34CE74E8"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M</w:t>
            </w:r>
          </w:p>
        </w:tc>
        <w:tc>
          <w:tcPr>
            <w:tcW w:w="2835" w:type="dxa"/>
            <w:gridSpan w:val="2"/>
            <w:noWrap/>
            <w:vAlign w:val="center"/>
          </w:tcPr>
          <w:p w14:paraId="6F67A7F8" w14:textId="77777777" w:rsidR="00DC2DB2" w:rsidRPr="00F72CF7" w:rsidRDefault="00DC2DB2" w:rsidP="00EB4A43">
            <w:pPr>
              <w:spacing w:before="100" w:beforeAutospacing="1" w:after="100" w:afterAutospacing="1"/>
              <w:jc w:val="center"/>
              <w:rPr>
                <w:sz w:val="20"/>
                <w:szCs w:val="20"/>
                <w:lang w:val="en-US"/>
              </w:rPr>
            </w:pPr>
            <w:r w:rsidRPr="00F72CF7">
              <w:rPr>
                <w:sz w:val="20"/>
                <w:szCs w:val="20"/>
                <w:lang w:val="en-US"/>
              </w:rPr>
              <w:t>Akinci, et al. 2019</w:t>
            </w:r>
          </w:p>
        </w:tc>
      </w:tr>
      <w:tr w:rsidR="00DC2DB2" w:rsidRPr="00B63AB4" w14:paraId="269DD980" w14:textId="77777777" w:rsidTr="00EB4A43">
        <w:trPr>
          <w:trHeight w:val="315"/>
        </w:trPr>
        <w:tc>
          <w:tcPr>
            <w:tcW w:w="993" w:type="dxa"/>
            <w:noWrap/>
            <w:vAlign w:val="center"/>
            <w:hideMark/>
          </w:tcPr>
          <w:p w14:paraId="02BF7E74"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0762C76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Y35X</w:t>
            </w:r>
          </w:p>
        </w:tc>
        <w:tc>
          <w:tcPr>
            <w:tcW w:w="1146" w:type="dxa"/>
            <w:noWrap/>
            <w:vAlign w:val="center"/>
            <w:hideMark/>
          </w:tcPr>
          <w:p w14:paraId="7387F0F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Nonsense</w:t>
            </w:r>
          </w:p>
        </w:tc>
        <w:tc>
          <w:tcPr>
            <w:tcW w:w="1358" w:type="dxa"/>
            <w:noWrap/>
            <w:vAlign w:val="center"/>
            <w:hideMark/>
          </w:tcPr>
          <w:p w14:paraId="41350A7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2ADE7B6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342FE20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2BFFCDD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Patient 14 (table2)</w:t>
            </w:r>
          </w:p>
        </w:tc>
        <w:tc>
          <w:tcPr>
            <w:tcW w:w="850" w:type="dxa"/>
            <w:noWrap/>
            <w:vAlign w:val="center"/>
            <w:hideMark/>
          </w:tcPr>
          <w:p w14:paraId="0F885EA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7DA46404"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Kleinendorst</w:t>
            </w:r>
            <w:proofErr w:type="spellEnd"/>
            <w:r w:rsidRPr="00B63AB4">
              <w:rPr>
                <w:sz w:val="20"/>
                <w:szCs w:val="20"/>
                <w:lang w:val="en-US"/>
              </w:rPr>
              <w:t>, et al. 2018</w:t>
            </w:r>
          </w:p>
        </w:tc>
      </w:tr>
      <w:tr w:rsidR="00DC2DB2" w:rsidRPr="00B63AB4" w14:paraId="61980F32" w14:textId="77777777" w:rsidTr="00EB4A43">
        <w:trPr>
          <w:trHeight w:val="315"/>
        </w:trPr>
        <w:tc>
          <w:tcPr>
            <w:tcW w:w="993" w:type="dxa"/>
            <w:noWrap/>
            <w:vAlign w:val="center"/>
            <w:hideMark/>
          </w:tcPr>
          <w:p w14:paraId="10ADDAA5"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78A9A8E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Y35X</w:t>
            </w:r>
          </w:p>
        </w:tc>
        <w:tc>
          <w:tcPr>
            <w:tcW w:w="1146" w:type="dxa"/>
            <w:noWrap/>
            <w:vAlign w:val="center"/>
            <w:hideMark/>
          </w:tcPr>
          <w:p w14:paraId="1FC2AD1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Nonsense</w:t>
            </w:r>
          </w:p>
        </w:tc>
        <w:tc>
          <w:tcPr>
            <w:tcW w:w="1358" w:type="dxa"/>
            <w:noWrap/>
            <w:vAlign w:val="center"/>
            <w:hideMark/>
          </w:tcPr>
          <w:p w14:paraId="0A783F1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42189A5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44E4C3C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1738A06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Patient 15 (table2)</w:t>
            </w:r>
          </w:p>
        </w:tc>
        <w:tc>
          <w:tcPr>
            <w:tcW w:w="850" w:type="dxa"/>
            <w:noWrap/>
            <w:vAlign w:val="center"/>
            <w:hideMark/>
          </w:tcPr>
          <w:p w14:paraId="726DB4A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75B95252"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Kleinendorst</w:t>
            </w:r>
            <w:proofErr w:type="spellEnd"/>
            <w:r w:rsidRPr="00B63AB4">
              <w:rPr>
                <w:sz w:val="20"/>
                <w:szCs w:val="20"/>
                <w:lang w:val="en-US"/>
              </w:rPr>
              <w:t>, et al. 2018</w:t>
            </w:r>
          </w:p>
        </w:tc>
      </w:tr>
      <w:tr w:rsidR="00DC2DB2" w:rsidRPr="00B63AB4" w14:paraId="06D3241A" w14:textId="77777777" w:rsidTr="00EB4A43">
        <w:trPr>
          <w:trHeight w:val="315"/>
        </w:trPr>
        <w:tc>
          <w:tcPr>
            <w:tcW w:w="993" w:type="dxa"/>
            <w:noWrap/>
            <w:vAlign w:val="center"/>
            <w:hideMark/>
          </w:tcPr>
          <w:p w14:paraId="218BD14D"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PCSK1</w:t>
            </w:r>
          </w:p>
        </w:tc>
        <w:tc>
          <w:tcPr>
            <w:tcW w:w="1465" w:type="dxa"/>
            <w:noWrap/>
            <w:vAlign w:val="center"/>
            <w:hideMark/>
          </w:tcPr>
          <w:p w14:paraId="0BE92C2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Y181H</w:t>
            </w:r>
          </w:p>
        </w:tc>
        <w:tc>
          <w:tcPr>
            <w:tcW w:w="1146" w:type="dxa"/>
            <w:noWrap/>
            <w:vAlign w:val="center"/>
            <w:hideMark/>
          </w:tcPr>
          <w:p w14:paraId="0B506C7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275E4BA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67891C8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1217951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2DBEB85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Patient 31 (table2)</w:t>
            </w:r>
          </w:p>
        </w:tc>
        <w:tc>
          <w:tcPr>
            <w:tcW w:w="850" w:type="dxa"/>
            <w:noWrap/>
            <w:vAlign w:val="center"/>
            <w:hideMark/>
          </w:tcPr>
          <w:p w14:paraId="08B1E10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2B12AF13"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Kleinendorst</w:t>
            </w:r>
            <w:proofErr w:type="spellEnd"/>
            <w:r w:rsidRPr="00B63AB4">
              <w:rPr>
                <w:sz w:val="20"/>
                <w:szCs w:val="20"/>
                <w:lang w:val="en-US"/>
              </w:rPr>
              <w:t>, et al. 2018</w:t>
            </w:r>
          </w:p>
        </w:tc>
      </w:tr>
      <w:tr w:rsidR="00DC2DB2" w:rsidRPr="00B63AB4" w14:paraId="24CDD568" w14:textId="77777777" w:rsidTr="00EB4A43">
        <w:trPr>
          <w:trHeight w:val="315"/>
        </w:trPr>
        <w:tc>
          <w:tcPr>
            <w:tcW w:w="993" w:type="dxa"/>
            <w:noWrap/>
            <w:vAlign w:val="center"/>
            <w:hideMark/>
          </w:tcPr>
          <w:p w14:paraId="6D1CB5C3"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POMC</w:t>
            </w:r>
          </w:p>
        </w:tc>
        <w:tc>
          <w:tcPr>
            <w:tcW w:w="1465" w:type="dxa"/>
            <w:noWrap/>
            <w:vAlign w:val="center"/>
            <w:hideMark/>
          </w:tcPr>
          <w:p w14:paraId="0175DC2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P69fs</w:t>
            </w:r>
          </w:p>
        </w:tc>
        <w:tc>
          <w:tcPr>
            <w:tcW w:w="1146" w:type="dxa"/>
            <w:noWrap/>
            <w:vAlign w:val="center"/>
            <w:hideMark/>
          </w:tcPr>
          <w:p w14:paraId="218B5D4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Frameshift</w:t>
            </w:r>
          </w:p>
        </w:tc>
        <w:tc>
          <w:tcPr>
            <w:tcW w:w="1358" w:type="dxa"/>
            <w:noWrap/>
            <w:vAlign w:val="center"/>
            <w:hideMark/>
          </w:tcPr>
          <w:p w14:paraId="7A85F42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7FF3C06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45296EB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61890B9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Patient 32 (table2)</w:t>
            </w:r>
          </w:p>
        </w:tc>
        <w:tc>
          <w:tcPr>
            <w:tcW w:w="850" w:type="dxa"/>
            <w:noWrap/>
            <w:vAlign w:val="center"/>
            <w:hideMark/>
          </w:tcPr>
          <w:p w14:paraId="618F7B8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58829653"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Kleinendorst</w:t>
            </w:r>
            <w:proofErr w:type="spellEnd"/>
            <w:r w:rsidRPr="00B63AB4">
              <w:rPr>
                <w:sz w:val="20"/>
                <w:szCs w:val="20"/>
                <w:lang w:val="en-US"/>
              </w:rPr>
              <w:t>, et al. 2018</w:t>
            </w:r>
          </w:p>
        </w:tc>
      </w:tr>
      <w:tr w:rsidR="00DC2DB2" w:rsidRPr="00B63AB4" w14:paraId="7EAC6844" w14:textId="77777777" w:rsidTr="00EB4A43">
        <w:trPr>
          <w:trHeight w:val="315"/>
        </w:trPr>
        <w:tc>
          <w:tcPr>
            <w:tcW w:w="993" w:type="dxa"/>
            <w:noWrap/>
            <w:vAlign w:val="center"/>
            <w:hideMark/>
          </w:tcPr>
          <w:p w14:paraId="0780B5CD"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POMC</w:t>
            </w:r>
          </w:p>
        </w:tc>
        <w:tc>
          <w:tcPr>
            <w:tcW w:w="1465" w:type="dxa"/>
            <w:noWrap/>
            <w:vAlign w:val="center"/>
            <w:hideMark/>
          </w:tcPr>
          <w:p w14:paraId="6FCB23B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R236G</w:t>
            </w:r>
          </w:p>
        </w:tc>
        <w:tc>
          <w:tcPr>
            <w:tcW w:w="1146" w:type="dxa"/>
            <w:noWrap/>
            <w:vAlign w:val="center"/>
            <w:hideMark/>
          </w:tcPr>
          <w:p w14:paraId="5F26A7D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69025E3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1AE44B4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4328B59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0BCB30A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Patient 38 (table2)</w:t>
            </w:r>
          </w:p>
        </w:tc>
        <w:tc>
          <w:tcPr>
            <w:tcW w:w="850" w:type="dxa"/>
            <w:noWrap/>
            <w:vAlign w:val="center"/>
            <w:hideMark/>
          </w:tcPr>
          <w:p w14:paraId="0D17605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54D807B4"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Kleinendorst</w:t>
            </w:r>
            <w:proofErr w:type="spellEnd"/>
            <w:r w:rsidRPr="00B63AB4">
              <w:rPr>
                <w:sz w:val="20"/>
                <w:szCs w:val="20"/>
                <w:lang w:val="en-US"/>
              </w:rPr>
              <w:t>, et al. 2018</w:t>
            </w:r>
          </w:p>
        </w:tc>
      </w:tr>
      <w:tr w:rsidR="00DC2DB2" w:rsidRPr="00B63AB4" w14:paraId="703D5CA3" w14:textId="77777777" w:rsidTr="00EB4A43">
        <w:trPr>
          <w:trHeight w:val="315"/>
        </w:trPr>
        <w:tc>
          <w:tcPr>
            <w:tcW w:w="993" w:type="dxa"/>
            <w:noWrap/>
            <w:vAlign w:val="center"/>
            <w:hideMark/>
          </w:tcPr>
          <w:p w14:paraId="3728FDC7"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BDNF</w:t>
            </w:r>
          </w:p>
        </w:tc>
        <w:tc>
          <w:tcPr>
            <w:tcW w:w="1465" w:type="dxa"/>
            <w:noWrap/>
            <w:vAlign w:val="center"/>
            <w:hideMark/>
          </w:tcPr>
          <w:p w14:paraId="3A9C858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S45R</w:t>
            </w:r>
          </w:p>
        </w:tc>
        <w:tc>
          <w:tcPr>
            <w:tcW w:w="1146" w:type="dxa"/>
            <w:noWrap/>
            <w:vAlign w:val="center"/>
            <w:hideMark/>
          </w:tcPr>
          <w:p w14:paraId="21BC25E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4A07B55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24C38B1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7CBBC0B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49DCA0F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Patient 50 (tableS1)</w:t>
            </w:r>
          </w:p>
        </w:tc>
        <w:tc>
          <w:tcPr>
            <w:tcW w:w="850" w:type="dxa"/>
            <w:noWrap/>
            <w:vAlign w:val="center"/>
            <w:hideMark/>
          </w:tcPr>
          <w:p w14:paraId="3017189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011726EF"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Kleinendorst</w:t>
            </w:r>
            <w:proofErr w:type="spellEnd"/>
            <w:r w:rsidRPr="00B63AB4">
              <w:rPr>
                <w:sz w:val="20"/>
                <w:szCs w:val="20"/>
                <w:lang w:val="en-US"/>
              </w:rPr>
              <w:t>, et al. 2018</w:t>
            </w:r>
          </w:p>
        </w:tc>
      </w:tr>
      <w:tr w:rsidR="00DC2DB2" w:rsidRPr="00B63AB4" w14:paraId="7B6EBEB4" w14:textId="77777777" w:rsidTr="00EB4A43">
        <w:trPr>
          <w:trHeight w:val="315"/>
        </w:trPr>
        <w:tc>
          <w:tcPr>
            <w:tcW w:w="993" w:type="dxa"/>
            <w:noWrap/>
            <w:vAlign w:val="center"/>
            <w:hideMark/>
          </w:tcPr>
          <w:p w14:paraId="7D17D3CC"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BDNF</w:t>
            </w:r>
          </w:p>
        </w:tc>
        <w:tc>
          <w:tcPr>
            <w:tcW w:w="1465" w:type="dxa"/>
            <w:noWrap/>
            <w:vAlign w:val="center"/>
            <w:hideMark/>
          </w:tcPr>
          <w:p w14:paraId="162524C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T147X</w:t>
            </w:r>
          </w:p>
        </w:tc>
        <w:tc>
          <w:tcPr>
            <w:tcW w:w="1146" w:type="dxa"/>
            <w:noWrap/>
            <w:vAlign w:val="center"/>
            <w:hideMark/>
          </w:tcPr>
          <w:p w14:paraId="2A00E73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7FB4268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3D366C7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6BED162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0178DEF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Patient 51 (tableS1)</w:t>
            </w:r>
          </w:p>
        </w:tc>
        <w:tc>
          <w:tcPr>
            <w:tcW w:w="850" w:type="dxa"/>
            <w:noWrap/>
            <w:vAlign w:val="center"/>
            <w:hideMark/>
          </w:tcPr>
          <w:p w14:paraId="150DA3B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474D4C23"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Kleinendorst</w:t>
            </w:r>
            <w:proofErr w:type="spellEnd"/>
            <w:r w:rsidRPr="00B63AB4">
              <w:rPr>
                <w:sz w:val="20"/>
                <w:szCs w:val="20"/>
                <w:lang w:val="en-US"/>
              </w:rPr>
              <w:t>, et al. 2018</w:t>
            </w:r>
          </w:p>
        </w:tc>
      </w:tr>
      <w:tr w:rsidR="00DC2DB2" w:rsidRPr="00B63AB4" w14:paraId="11065273" w14:textId="77777777" w:rsidTr="00EB4A43">
        <w:trPr>
          <w:trHeight w:val="315"/>
        </w:trPr>
        <w:tc>
          <w:tcPr>
            <w:tcW w:w="993" w:type="dxa"/>
            <w:noWrap/>
            <w:vAlign w:val="center"/>
            <w:hideMark/>
          </w:tcPr>
          <w:p w14:paraId="6296FBC5" w14:textId="77777777" w:rsidR="00DC2DB2" w:rsidRPr="00F72CF7" w:rsidRDefault="00DC2DB2" w:rsidP="00EB4A43">
            <w:pPr>
              <w:spacing w:before="100" w:beforeAutospacing="1" w:after="100" w:afterAutospacing="1"/>
              <w:jc w:val="center"/>
              <w:rPr>
                <w:i/>
                <w:iCs/>
                <w:sz w:val="20"/>
                <w:szCs w:val="20"/>
                <w:lang w:val="en-US"/>
              </w:rPr>
            </w:pPr>
            <w:r w:rsidRPr="00F72CF7">
              <w:rPr>
                <w:i/>
                <w:iCs/>
                <w:sz w:val="20"/>
                <w:szCs w:val="20"/>
                <w:lang w:val="en-US"/>
              </w:rPr>
              <w:t>CRHR2</w:t>
            </w:r>
          </w:p>
        </w:tc>
        <w:tc>
          <w:tcPr>
            <w:tcW w:w="1465" w:type="dxa"/>
            <w:noWrap/>
            <w:vAlign w:val="center"/>
            <w:hideMark/>
          </w:tcPr>
          <w:p w14:paraId="5545A27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R281H</w:t>
            </w:r>
          </w:p>
        </w:tc>
        <w:tc>
          <w:tcPr>
            <w:tcW w:w="1146" w:type="dxa"/>
            <w:noWrap/>
            <w:vAlign w:val="center"/>
            <w:hideMark/>
          </w:tcPr>
          <w:p w14:paraId="6B775AC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5CE2FF3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0B663A0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6BCDC05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4F59A01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Patient 55 (tableS1)</w:t>
            </w:r>
          </w:p>
        </w:tc>
        <w:tc>
          <w:tcPr>
            <w:tcW w:w="850" w:type="dxa"/>
            <w:noWrap/>
            <w:vAlign w:val="center"/>
            <w:hideMark/>
          </w:tcPr>
          <w:p w14:paraId="3C5FEA1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46A3B292"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Kleinendorst</w:t>
            </w:r>
            <w:proofErr w:type="spellEnd"/>
            <w:r w:rsidRPr="00B63AB4">
              <w:rPr>
                <w:sz w:val="20"/>
                <w:szCs w:val="20"/>
                <w:lang w:val="en-US"/>
              </w:rPr>
              <w:t>, et al. 2018</w:t>
            </w:r>
          </w:p>
        </w:tc>
      </w:tr>
      <w:tr w:rsidR="00DC2DB2" w:rsidRPr="00B63AB4" w14:paraId="6CD770DA" w14:textId="77777777" w:rsidTr="00EB4A43">
        <w:trPr>
          <w:trHeight w:val="315"/>
        </w:trPr>
        <w:tc>
          <w:tcPr>
            <w:tcW w:w="993" w:type="dxa"/>
            <w:noWrap/>
            <w:vAlign w:val="center"/>
            <w:hideMark/>
          </w:tcPr>
          <w:p w14:paraId="3A95BD3A" w14:textId="77777777" w:rsidR="00DC2DB2" w:rsidRPr="00F72CF7" w:rsidRDefault="00DC2DB2" w:rsidP="00EB4A43">
            <w:pPr>
              <w:spacing w:before="100" w:beforeAutospacing="1" w:after="100" w:afterAutospacing="1"/>
              <w:jc w:val="center"/>
              <w:rPr>
                <w:i/>
                <w:iCs/>
                <w:sz w:val="20"/>
                <w:szCs w:val="20"/>
                <w:lang w:val="en-US"/>
              </w:rPr>
            </w:pPr>
            <w:r w:rsidRPr="00F72CF7">
              <w:rPr>
                <w:i/>
                <w:iCs/>
                <w:sz w:val="20"/>
                <w:szCs w:val="20"/>
                <w:lang w:val="en-US"/>
              </w:rPr>
              <w:t>MC3R</w:t>
            </w:r>
          </w:p>
        </w:tc>
        <w:tc>
          <w:tcPr>
            <w:tcW w:w="1465" w:type="dxa"/>
            <w:noWrap/>
            <w:vAlign w:val="center"/>
            <w:hideMark/>
          </w:tcPr>
          <w:p w14:paraId="1D891D6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C317F</w:t>
            </w:r>
          </w:p>
        </w:tc>
        <w:tc>
          <w:tcPr>
            <w:tcW w:w="1146" w:type="dxa"/>
            <w:noWrap/>
            <w:vAlign w:val="center"/>
            <w:hideMark/>
          </w:tcPr>
          <w:p w14:paraId="303AEA1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5F343C9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72064A5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765E0C3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1107B7D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Patient 71 (tableS1)</w:t>
            </w:r>
          </w:p>
        </w:tc>
        <w:tc>
          <w:tcPr>
            <w:tcW w:w="850" w:type="dxa"/>
            <w:noWrap/>
            <w:vAlign w:val="center"/>
            <w:hideMark/>
          </w:tcPr>
          <w:p w14:paraId="70251B9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5AA0FB59"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Kleinendorst</w:t>
            </w:r>
            <w:proofErr w:type="spellEnd"/>
            <w:r w:rsidRPr="00B63AB4">
              <w:rPr>
                <w:sz w:val="20"/>
                <w:szCs w:val="20"/>
                <w:lang w:val="en-US"/>
              </w:rPr>
              <w:t>, et al. 2018</w:t>
            </w:r>
          </w:p>
        </w:tc>
      </w:tr>
      <w:tr w:rsidR="00DC2DB2" w:rsidRPr="00B63AB4" w14:paraId="3DCC4135" w14:textId="77777777" w:rsidTr="00EB4A43">
        <w:trPr>
          <w:trHeight w:val="315"/>
        </w:trPr>
        <w:tc>
          <w:tcPr>
            <w:tcW w:w="993" w:type="dxa"/>
            <w:noWrap/>
            <w:vAlign w:val="center"/>
            <w:hideMark/>
          </w:tcPr>
          <w:p w14:paraId="20114E23" w14:textId="77777777" w:rsidR="00DC2DB2" w:rsidRPr="00F72CF7" w:rsidRDefault="00DC2DB2" w:rsidP="00EB4A43">
            <w:pPr>
              <w:spacing w:before="100" w:beforeAutospacing="1" w:after="100" w:afterAutospacing="1"/>
              <w:jc w:val="center"/>
              <w:rPr>
                <w:i/>
                <w:iCs/>
                <w:sz w:val="20"/>
                <w:szCs w:val="20"/>
                <w:lang w:val="en-US"/>
              </w:rPr>
            </w:pPr>
            <w:r w:rsidRPr="00F72CF7">
              <w:rPr>
                <w:i/>
                <w:iCs/>
                <w:sz w:val="20"/>
                <w:szCs w:val="20"/>
                <w:lang w:val="en-US"/>
              </w:rPr>
              <w:t>MCHR1</w:t>
            </w:r>
          </w:p>
        </w:tc>
        <w:tc>
          <w:tcPr>
            <w:tcW w:w="1465" w:type="dxa"/>
            <w:noWrap/>
            <w:vAlign w:val="center"/>
            <w:hideMark/>
          </w:tcPr>
          <w:p w14:paraId="52EF60C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R317G</w:t>
            </w:r>
          </w:p>
        </w:tc>
        <w:tc>
          <w:tcPr>
            <w:tcW w:w="1146" w:type="dxa"/>
            <w:noWrap/>
            <w:vAlign w:val="center"/>
            <w:hideMark/>
          </w:tcPr>
          <w:p w14:paraId="4460270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37C7147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6B69AF1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506DE6B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23397FC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Patient 72 (tableS1)</w:t>
            </w:r>
          </w:p>
        </w:tc>
        <w:tc>
          <w:tcPr>
            <w:tcW w:w="850" w:type="dxa"/>
            <w:noWrap/>
            <w:vAlign w:val="center"/>
            <w:hideMark/>
          </w:tcPr>
          <w:p w14:paraId="6FE6F79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0AB43119"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Kleinendorst</w:t>
            </w:r>
            <w:proofErr w:type="spellEnd"/>
            <w:r w:rsidRPr="00B63AB4">
              <w:rPr>
                <w:sz w:val="20"/>
                <w:szCs w:val="20"/>
                <w:lang w:val="en-US"/>
              </w:rPr>
              <w:t>, et al. 2018</w:t>
            </w:r>
          </w:p>
        </w:tc>
      </w:tr>
      <w:tr w:rsidR="00DC2DB2" w:rsidRPr="00B63AB4" w14:paraId="3916D9E6" w14:textId="77777777" w:rsidTr="00EB4A43">
        <w:trPr>
          <w:trHeight w:val="315"/>
        </w:trPr>
        <w:tc>
          <w:tcPr>
            <w:tcW w:w="993" w:type="dxa"/>
            <w:noWrap/>
            <w:vAlign w:val="center"/>
            <w:hideMark/>
          </w:tcPr>
          <w:p w14:paraId="5FEE5FC6" w14:textId="77777777" w:rsidR="00DC2DB2" w:rsidRPr="00F72CF7" w:rsidRDefault="00DC2DB2" w:rsidP="00EB4A43">
            <w:pPr>
              <w:spacing w:before="100" w:beforeAutospacing="1" w:after="100" w:afterAutospacing="1"/>
              <w:jc w:val="center"/>
              <w:rPr>
                <w:i/>
                <w:iCs/>
                <w:sz w:val="20"/>
                <w:szCs w:val="20"/>
                <w:lang w:val="en-US"/>
              </w:rPr>
            </w:pPr>
            <w:r w:rsidRPr="00F72CF7">
              <w:rPr>
                <w:i/>
                <w:iCs/>
                <w:sz w:val="20"/>
                <w:szCs w:val="20"/>
                <w:lang w:val="en-US"/>
              </w:rPr>
              <w:t>MCHR1</w:t>
            </w:r>
          </w:p>
        </w:tc>
        <w:tc>
          <w:tcPr>
            <w:tcW w:w="1465" w:type="dxa"/>
            <w:noWrap/>
            <w:vAlign w:val="center"/>
            <w:hideMark/>
          </w:tcPr>
          <w:p w14:paraId="56DD20B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R317G</w:t>
            </w:r>
          </w:p>
        </w:tc>
        <w:tc>
          <w:tcPr>
            <w:tcW w:w="1146" w:type="dxa"/>
            <w:noWrap/>
            <w:vAlign w:val="center"/>
            <w:hideMark/>
          </w:tcPr>
          <w:p w14:paraId="7C3E15D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74D93D8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4D1B906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357FD08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0370AB3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Patient 74 (tableS1)</w:t>
            </w:r>
          </w:p>
        </w:tc>
        <w:tc>
          <w:tcPr>
            <w:tcW w:w="850" w:type="dxa"/>
            <w:noWrap/>
            <w:vAlign w:val="center"/>
            <w:hideMark/>
          </w:tcPr>
          <w:p w14:paraId="1464DF0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7CCBFF87"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Kleinendorst</w:t>
            </w:r>
            <w:proofErr w:type="spellEnd"/>
            <w:r w:rsidRPr="00B63AB4">
              <w:rPr>
                <w:sz w:val="20"/>
                <w:szCs w:val="20"/>
                <w:lang w:val="en-US"/>
              </w:rPr>
              <w:t>, et al. 2018</w:t>
            </w:r>
          </w:p>
        </w:tc>
      </w:tr>
      <w:tr w:rsidR="00DC2DB2" w:rsidRPr="00B63AB4" w14:paraId="3C9BE1CC" w14:textId="77777777" w:rsidTr="00EB4A43">
        <w:trPr>
          <w:trHeight w:val="315"/>
        </w:trPr>
        <w:tc>
          <w:tcPr>
            <w:tcW w:w="993" w:type="dxa"/>
            <w:noWrap/>
            <w:vAlign w:val="center"/>
            <w:hideMark/>
          </w:tcPr>
          <w:p w14:paraId="3CB23023" w14:textId="77777777" w:rsidR="00DC2DB2" w:rsidRPr="00F72CF7" w:rsidRDefault="00DC2DB2" w:rsidP="00EB4A43">
            <w:pPr>
              <w:spacing w:before="100" w:beforeAutospacing="1" w:after="100" w:afterAutospacing="1"/>
              <w:jc w:val="center"/>
              <w:rPr>
                <w:i/>
                <w:iCs/>
                <w:sz w:val="20"/>
                <w:szCs w:val="20"/>
                <w:lang w:val="en-US"/>
              </w:rPr>
            </w:pPr>
            <w:r w:rsidRPr="00F72CF7">
              <w:rPr>
                <w:i/>
                <w:iCs/>
                <w:sz w:val="20"/>
                <w:szCs w:val="20"/>
                <w:lang w:val="en-US"/>
              </w:rPr>
              <w:t>MCHR1</w:t>
            </w:r>
          </w:p>
        </w:tc>
        <w:tc>
          <w:tcPr>
            <w:tcW w:w="1465" w:type="dxa"/>
            <w:noWrap/>
            <w:vAlign w:val="center"/>
            <w:hideMark/>
          </w:tcPr>
          <w:p w14:paraId="1AED718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R317G</w:t>
            </w:r>
          </w:p>
        </w:tc>
        <w:tc>
          <w:tcPr>
            <w:tcW w:w="1146" w:type="dxa"/>
            <w:noWrap/>
            <w:vAlign w:val="center"/>
            <w:hideMark/>
          </w:tcPr>
          <w:p w14:paraId="222A08F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41A69DE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3005A82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640FA65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476D6C3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Patient 74m (tableS1)</w:t>
            </w:r>
          </w:p>
        </w:tc>
        <w:tc>
          <w:tcPr>
            <w:tcW w:w="850" w:type="dxa"/>
            <w:noWrap/>
            <w:vAlign w:val="center"/>
            <w:hideMark/>
          </w:tcPr>
          <w:p w14:paraId="4BDC4EB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5DC3D3A9"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Kleinendorst</w:t>
            </w:r>
            <w:proofErr w:type="spellEnd"/>
            <w:r w:rsidRPr="00B63AB4">
              <w:rPr>
                <w:sz w:val="20"/>
                <w:szCs w:val="20"/>
                <w:lang w:val="en-US"/>
              </w:rPr>
              <w:t>, et al. 2018</w:t>
            </w:r>
          </w:p>
        </w:tc>
      </w:tr>
      <w:tr w:rsidR="00DC2DB2" w:rsidRPr="00B63AB4" w14:paraId="3D04F9B6" w14:textId="77777777" w:rsidTr="00EB4A43">
        <w:trPr>
          <w:trHeight w:val="315"/>
        </w:trPr>
        <w:tc>
          <w:tcPr>
            <w:tcW w:w="993" w:type="dxa"/>
            <w:noWrap/>
            <w:vAlign w:val="center"/>
            <w:hideMark/>
          </w:tcPr>
          <w:p w14:paraId="43321C10" w14:textId="77777777" w:rsidR="00DC2DB2" w:rsidRPr="00F72CF7" w:rsidRDefault="00DC2DB2" w:rsidP="00EB4A43">
            <w:pPr>
              <w:spacing w:before="100" w:beforeAutospacing="1" w:after="100" w:afterAutospacing="1"/>
              <w:jc w:val="center"/>
              <w:rPr>
                <w:i/>
                <w:iCs/>
                <w:sz w:val="20"/>
                <w:szCs w:val="20"/>
                <w:lang w:val="en-US"/>
              </w:rPr>
            </w:pPr>
            <w:r w:rsidRPr="00F72CF7">
              <w:rPr>
                <w:i/>
                <w:iCs/>
                <w:sz w:val="20"/>
                <w:szCs w:val="20"/>
                <w:lang w:val="en-US"/>
              </w:rPr>
              <w:t>MCHR1</w:t>
            </w:r>
          </w:p>
        </w:tc>
        <w:tc>
          <w:tcPr>
            <w:tcW w:w="1465" w:type="dxa"/>
            <w:noWrap/>
            <w:vAlign w:val="center"/>
            <w:hideMark/>
          </w:tcPr>
          <w:p w14:paraId="746B5A3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R317G</w:t>
            </w:r>
          </w:p>
        </w:tc>
        <w:tc>
          <w:tcPr>
            <w:tcW w:w="1146" w:type="dxa"/>
            <w:noWrap/>
            <w:vAlign w:val="center"/>
            <w:hideMark/>
          </w:tcPr>
          <w:p w14:paraId="556FF57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4328FD8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1693AE7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3A99C7F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3898AD9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Patient 76 (tableS1)</w:t>
            </w:r>
          </w:p>
        </w:tc>
        <w:tc>
          <w:tcPr>
            <w:tcW w:w="850" w:type="dxa"/>
            <w:noWrap/>
            <w:vAlign w:val="center"/>
            <w:hideMark/>
          </w:tcPr>
          <w:p w14:paraId="54492EE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169A6AEE"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Kleinendorst</w:t>
            </w:r>
            <w:proofErr w:type="spellEnd"/>
            <w:r w:rsidRPr="00B63AB4">
              <w:rPr>
                <w:sz w:val="20"/>
                <w:szCs w:val="20"/>
                <w:lang w:val="en-US"/>
              </w:rPr>
              <w:t>, et al. 2018</w:t>
            </w:r>
          </w:p>
        </w:tc>
      </w:tr>
      <w:tr w:rsidR="00DC2DB2" w:rsidRPr="00B63AB4" w14:paraId="5195FDCE" w14:textId="77777777" w:rsidTr="00EB4A43">
        <w:trPr>
          <w:trHeight w:val="315"/>
        </w:trPr>
        <w:tc>
          <w:tcPr>
            <w:tcW w:w="993" w:type="dxa"/>
            <w:noWrap/>
            <w:vAlign w:val="center"/>
            <w:hideMark/>
          </w:tcPr>
          <w:p w14:paraId="02EC9F60" w14:textId="77777777" w:rsidR="00DC2DB2" w:rsidRPr="00F72CF7" w:rsidRDefault="00DC2DB2" w:rsidP="00EB4A43">
            <w:pPr>
              <w:spacing w:before="100" w:beforeAutospacing="1" w:after="100" w:afterAutospacing="1"/>
              <w:jc w:val="center"/>
              <w:rPr>
                <w:i/>
                <w:iCs/>
                <w:sz w:val="20"/>
                <w:szCs w:val="20"/>
                <w:lang w:val="en-US"/>
              </w:rPr>
            </w:pPr>
            <w:r w:rsidRPr="00F72CF7">
              <w:rPr>
                <w:i/>
                <w:iCs/>
                <w:sz w:val="20"/>
                <w:szCs w:val="20"/>
                <w:lang w:val="en-US"/>
              </w:rPr>
              <w:t>MCHR1</w:t>
            </w:r>
          </w:p>
        </w:tc>
        <w:tc>
          <w:tcPr>
            <w:tcW w:w="1465" w:type="dxa"/>
            <w:noWrap/>
            <w:vAlign w:val="center"/>
            <w:hideMark/>
          </w:tcPr>
          <w:p w14:paraId="4AAADAB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R317G</w:t>
            </w:r>
          </w:p>
        </w:tc>
        <w:tc>
          <w:tcPr>
            <w:tcW w:w="1146" w:type="dxa"/>
            <w:noWrap/>
            <w:vAlign w:val="center"/>
            <w:hideMark/>
          </w:tcPr>
          <w:p w14:paraId="1794E10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458A2F9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614FE64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5143184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160627E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Patient 77 (tableS1)</w:t>
            </w:r>
          </w:p>
        </w:tc>
        <w:tc>
          <w:tcPr>
            <w:tcW w:w="850" w:type="dxa"/>
            <w:noWrap/>
            <w:vAlign w:val="center"/>
            <w:hideMark/>
          </w:tcPr>
          <w:p w14:paraId="05352B1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63C32CAE"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Kleinendorst</w:t>
            </w:r>
            <w:proofErr w:type="spellEnd"/>
            <w:r w:rsidRPr="00B63AB4">
              <w:rPr>
                <w:sz w:val="20"/>
                <w:szCs w:val="20"/>
                <w:lang w:val="en-US"/>
              </w:rPr>
              <w:t>, et al. 2018</w:t>
            </w:r>
          </w:p>
        </w:tc>
      </w:tr>
      <w:tr w:rsidR="00DC2DB2" w:rsidRPr="00B63AB4" w14:paraId="03F8052F" w14:textId="77777777" w:rsidTr="00EB4A43">
        <w:trPr>
          <w:trHeight w:val="315"/>
        </w:trPr>
        <w:tc>
          <w:tcPr>
            <w:tcW w:w="993" w:type="dxa"/>
            <w:noWrap/>
            <w:vAlign w:val="center"/>
            <w:hideMark/>
          </w:tcPr>
          <w:p w14:paraId="0236A593" w14:textId="77777777" w:rsidR="00DC2DB2" w:rsidRPr="00F72CF7" w:rsidRDefault="00DC2DB2" w:rsidP="00EB4A43">
            <w:pPr>
              <w:spacing w:before="100" w:beforeAutospacing="1" w:after="100" w:afterAutospacing="1"/>
              <w:jc w:val="center"/>
              <w:rPr>
                <w:i/>
                <w:iCs/>
                <w:sz w:val="20"/>
                <w:szCs w:val="20"/>
                <w:lang w:val="en-US"/>
              </w:rPr>
            </w:pPr>
            <w:r w:rsidRPr="00F72CF7">
              <w:rPr>
                <w:i/>
                <w:iCs/>
                <w:sz w:val="20"/>
                <w:szCs w:val="20"/>
                <w:lang w:val="en-US"/>
              </w:rPr>
              <w:t>MCHR1</w:t>
            </w:r>
          </w:p>
        </w:tc>
        <w:tc>
          <w:tcPr>
            <w:tcW w:w="1465" w:type="dxa"/>
            <w:noWrap/>
            <w:vAlign w:val="center"/>
            <w:hideMark/>
          </w:tcPr>
          <w:p w14:paraId="057AB4C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R317G</w:t>
            </w:r>
          </w:p>
        </w:tc>
        <w:tc>
          <w:tcPr>
            <w:tcW w:w="1146" w:type="dxa"/>
            <w:noWrap/>
            <w:vAlign w:val="center"/>
            <w:hideMark/>
          </w:tcPr>
          <w:p w14:paraId="4F76B90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18A4ED8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0A38C36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3EAD608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1C5DA6B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Patient 82 (tableS1)</w:t>
            </w:r>
          </w:p>
        </w:tc>
        <w:tc>
          <w:tcPr>
            <w:tcW w:w="850" w:type="dxa"/>
            <w:noWrap/>
            <w:vAlign w:val="center"/>
            <w:hideMark/>
          </w:tcPr>
          <w:p w14:paraId="4FD080E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0CED3ADE"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Kleinendorst</w:t>
            </w:r>
            <w:proofErr w:type="spellEnd"/>
            <w:r w:rsidRPr="00B63AB4">
              <w:rPr>
                <w:sz w:val="20"/>
                <w:szCs w:val="20"/>
                <w:lang w:val="en-US"/>
              </w:rPr>
              <w:t>, et al. 2018</w:t>
            </w:r>
          </w:p>
        </w:tc>
      </w:tr>
      <w:tr w:rsidR="00DC2DB2" w:rsidRPr="00B63AB4" w14:paraId="36BEDF8F" w14:textId="77777777" w:rsidTr="00EB4A43">
        <w:trPr>
          <w:trHeight w:val="315"/>
        </w:trPr>
        <w:tc>
          <w:tcPr>
            <w:tcW w:w="993" w:type="dxa"/>
            <w:noWrap/>
            <w:vAlign w:val="center"/>
            <w:hideMark/>
          </w:tcPr>
          <w:p w14:paraId="5CEB87D5" w14:textId="77777777" w:rsidR="00DC2DB2" w:rsidRPr="00F72CF7" w:rsidRDefault="00DC2DB2" w:rsidP="00EB4A43">
            <w:pPr>
              <w:spacing w:before="100" w:beforeAutospacing="1" w:after="100" w:afterAutospacing="1"/>
              <w:jc w:val="center"/>
              <w:rPr>
                <w:i/>
                <w:iCs/>
                <w:sz w:val="20"/>
                <w:szCs w:val="20"/>
                <w:lang w:val="en-US"/>
              </w:rPr>
            </w:pPr>
            <w:r w:rsidRPr="00F72CF7">
              <w:rPr>
                <w:i/>
                <w:iCs/>
                <w:sz w:val="20"/>
                <w:szCs w:val="20"/>
                <w:lang w:val="en-US"/>
              </w:rPr>
              <w:t>POMC</w:t>
            </w:r>
          </w:p>
        </w:tc>
        <w:tc>
          <w:tcPr>
            <w:tcW w:w="1465" w:type="dxa"/>
            <w:noWrap/>
            <w:vAlign w:val="center"/>
            <w:hideMark/>
          </w:tcPr>
          <w:p w14:paraId="52C6D33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A56D</w:t>
            </w:r>
          </w:p>
        </w:tc>
        <w:tc>
          <w:tcPr>
            <w:tcW w:w="1146" w:type="dxa"/>
            <w:noWrap/>
            <w:vAlign w:val="center"/>
            <w:hideMark/>
          </w:tcPr>
          <w:p w14:paraId="30A1C0D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486FEC7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08CF94C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1E8C7B2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0E5E4D1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Patient 100 (tableS1)</w:t>
            </w:r>
          </w:p>
        </w:tc>
        <w:tc>
          <w:tcPr>
            <w:tcW w:w="850" w:type="dxa"/>
            <w:noWrap/>
            <w:vAlign w:val="center"/>
            <w:hideMark/>
          </w:tcPr>
          <w:p w14:paraId="52C0E3E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4CF38EEC"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Kleinendorst</w:t>
            </w:r>
            <w:proofErr w:type="spellEnd"/>
            <w:r w:rsidRPr="00B63AB4">
              <w:rPr>
                <w:sz w:val="20"/>
                <w:szCs w:val="20"/>
                <w:lang w:val="en-US"/>
              </w:rPr>
              <w:t>, et al. 2018</w:t>
            </w:r>
          </w:p>
        </w:tc>
      </w:tr>
      <w:tr w:rsidR="00DC2DB2" w:rsidRPr="00B63AB4" w14:paraId="5276768C" w14:textId="77777777" w:rsidTr="00EB4A43">
        <w:trPr>
          <w:trHeight w:val="315"/>
        </w:trPr>
        <w:tc>
          <w:tcPr>
            <w:tcW w:w="993" w:type="dxa"/>
            <w:noWrap/>
            <w:vAlign w:val="center"/>
            <w:hideMark/>
          </w:tcPr>
          <w:p w14:paraId="53933309" w14:textId="77777777" w:rsidR="00DC2DB2" w:rsidRPr="00F72CF7" w:rsidRDefault="00DC2DB2" w:rsidP="00EB4A43">
            <w:pPr>
              <w:spacing w:before="100" w:beforeAutospacing="1" w:after="100" w:afterAutospacing="1"/>
              <w:jc w:val="center"/>
              <w:rPr>
                <w:i/>
                <w:iCs/>
                <w:sz w:val="20"/>
                <w:szCs w:val="20"/>
                <w:lang w:val="en-US"/>
              </w:rPr>
            </w:pPr>
            <w:r w:rsidRPr="00F72CF7">
              <w:rPr>
                <w:i/>
                <w:iCs/>
                <w:sz w:val="20"/>
                <w:szCs w:val="20"/>
                <w:lang w:val="en-US"/>
              </w:rPr>
              <w:t>SIM1</w:t>
            </w:r>
          </w:p>
        </w:tc>
        <w:tc>
          <w:tcPr>
            <w:tcW w:w="1465" w:type="dxa"/>
            <w:noWrap/>
            <w:vAlign w:val="center"/>
            <w:hideMark/>
          </w:tcPr>
          <w:p w14:paraId="5119C20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R374Q</w:t>
            </w:r>
          </w:p>
        </w:tc>
        <w:tc>
          <w:tcPr>
            <w:tcW w:w="1146" w:type="dxa"/>
            <w:noWrap/>
            <w:vAlign w:val="center"/>
            <w:hideMark/>
          </w:tcPr>
          <w:p w14:paraId="6436482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117A314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17C0F3A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604FB0A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6C39850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Patient 107 (tableS1)</w:t>
            </w:r>
          </w:p>
        </w:tc>
        <w:tc>
          <w:tcPr>
            <w:tcW w:w="850" w:type="dxa"/>
            <w:noWrap/>
            <w:vAlign w:val="center"/>
            <w:hideMark/>
          </w:tcPr>
          <w:p w14:paraId="75B0855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0FF8AFA1"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Kleinendorst</w:t>
            </w:r>
            <w:proofErr w:type="spellEnd"/>
            <w:r w:rsidRPr="00B63AB4">
              <w:rPr>
                <w:sz w:val="20"/>
                <w:szCs w:val="20"/>
                <w:lang w:val="en-US"/>
              </w:rPr>
              <w:t>, et al. 2018</w:t>
            </w:r>
          </w:p>
        </w:tc>
      </w:tr>
      <w:tr w:rsidR="00DC2DB2" w:rsidRPr="00B63AB4" w14:paraId="2D91FB29" w14:textId="77777777" w:rsidTr="00EB4A43">
        <w:trPr>
          <w:trHeight w:val="315"/>
        </w:trPr>
        <w:tc>
          <w:tcPr>
            <w:tcW w:w="993" w:type="dxa"/>
            <w:noWrap/>
            <w:vAlign w:val="center"/>
            <w:hideMark/>
          </w:tcPr>
          <w:p w14:paraId="25AEC881" w14:textId="77777777" w:rsidR="00DC2DB2" w:rsidRPr="00F72CF7" w:rsidRDefault="00DC2DB2" w:rsidP="00EB4A43">
            <w:pPr>
              <w:spacing w:before="100" w:beforeAutospacing="1" w:after="100" w:afterAutospacing="1"/>
              <w:jc w:val="center"/>
              <w:rPr>
                <w:i/>
                <w:iCs/>
                <w:sz w:val="20"/>
                <w:szCs w:val="20"/>
                <w:lang w:val="en-US"/>
              </w:rPr>
            </w:pPr>
            <w:r w:rsidRPr="00F72CF7">
              <w:rPr>
                <w:i/>
                <w:iCs/>
                <w:sz w:val="20"/>
                <w:szCs w:val="20"/>
                <w:lang w:val="en-US"/>
              </w:rPr>
              <w:t>TBX3</w:t>
            </w:r>
          </w:p>
        </w:tc>
        <w:tc>
          <w:tcPr>
            <w:tcW w:w="1465" w:type="dxa"/>
            <w:noWrap/>
            <w:vAlign w:val="center"/>
            <w:hideMark/>
          </w:tcPr>
          <w:p w14:paraId="3D4EC91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Q231R</w:t>
            </w:r>
          </w:p>
        </w:tc>
        <w:tc>
          <w:tcPr>
            <w:tcW w:w="1146" w:type="dxa"/>
            <w:noWrap/>
            <w:vAlign w:val="center"/>
            <w:hideMark/>
          </w:tcPr>
          <w:p w14:paraId="1284609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7B7ABC1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2E8F083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403AE6A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2EAF186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Patient 114 (tableS1)</w:t>
            </w:r>
          </w:p>
        </w:tc>
        <w:tc>
          <w:tcPr>
            <w:tcW w:w="850" w:type="dxa"/>
            <w:noWrap/>
            <w:vAlign w:val="center"/>
            <w:hideMark/>
          </w:tcPr>
          <w:p w14:paraId="0E48777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0D1D0693"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Kleinendorst</w:t>
            </w:r>
            <w:proofErr w:type="spellEnd"/>
            <w:r w:rsidRPr="00B63AB4">
              <w:rPr>
                <w:sz w:val="20"/>
                <w:szCs w:val="20"/>
                <w:lang w:val="en-US"/>
              </w:rPr>
              <w:t>, et al. 2018</w:t>
            </w:r>
          </w:p>
        </w:tc>
      </w:tr>
      <w:tr w:rsidR="00DC2DB2" w:rsidRPr="00B63AB4" w14:paraId="1453E65C" w14:textId="77777777" w:rsidTr="00EB4A43">
        <w:trPr>
          <w:trHeight w:val="315"/>
        </w:trPr>
        <w:tc>
          <w:tcPr>
            <w:tcW w:w="993" w:type="dxa"/>
            <w:noWrap/>
            <w:vAlign w:val="center"/>
            <w:hideMark/>
          </w:tcPr>
          <w:p w14:paraId="545D31DB"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164E6FD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I125K</w:t>
            </w:r>
          </w:p>
        </w:tc>
        <w:tc>
          <w:tcPr>
            <w:tcW w:w="1146" w:type="dxa"/>
            <w:noWrap/>
            <w:vAlign w:val="center"/>
            <w:hideMark/>
          </w:tcPr>
          <w:p w14:paraId="5A26017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7F133B6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1FDB8E7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44F5BC0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223C47D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1 (figure2)</w:t>
            </w:r>
          </w:p>
        </w:tc>
        <w:tc>
          <w:tcPr>
            <w:tcW w:w="850" w:type="dxa"/>
            <w:noWrap/>
            <w:vAlign w:val="center"/>
            <w:hideMark/>
          </w:tcPr>
          <w:p w14:paraId="7D9CEC6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082526F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Hendricks, et al. 2017</w:t>
            </w:r>
          </w:p>
        </w:tc>
      </w:tr>
      <w:tr w:rsidR="00DC2DB2" w:rsidRPr="00B63AB4" w14:paraId="120DD47B" w14:textId="77777777" w:rsidTr="00EB4A43">
        <w:trPr>
          <w:trHeight w:val="315"/>
        </w:trPr>
        <w:tc>
          <w:tcPr>
            <w:tcW w:w="993" w:type="dxa"/>
            <w:noWrap/>
            <w:vAlign w:val="center"/>
            <w:hideMark/>
          </w:tcPr>
          <w:p w14:paraId="71B92618"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66F75C4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C271Y</w:t>
            </w:r>
          </w:p>
        </w:tc>
        <w:tc>
          <w:tcPr>
            <w:tcW w:w="1146" w:type="dxa"/>
            <w:noWrap/>
            <w:vAlign w:val="center"/>
            <w:hideMark/>
          </w:tcPr>
          <w:p w14:paraId="3A9C0FD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1018BB9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1FE08B4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044D232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SO</w:t>
            </w:r>
          </w:p>
        </w:tc>
        <w:tc>
          <w:tcPr>
            <w:tcW w:w="2552" w:type="dxa"/>
            <w:gridSpan w:val="2"/>
            <w:noWrap/>
            <w:vAlign w:val="center"/>
            <w:hideMark/>
          </w:tcPr>
          <w:p w14:paraId="1E4B482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2 (figure2)</w:t>
            </w:r>
          </w:p>
        </w:tc>
        <w:tc>
          <w:tcPr>
            <w:tcW w:w="850" w:type="dxa"/>
            <w:noWrap/>
            <w:vAlign w:val="center"/>
            <w:hideMark/>
          </w:tcPr>
          <w:p w14:paraId="491B824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3F6147D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Hendricks, et al. 2017</w:t>
            </w:r>
          </w:p>
        </w:tc>
      </w:tr>
      <w:tr w:rsidR="00DC2DB2" w:rsidRPr="00B63AB4" w14:paraId="4F3A3D92" w14:textId="77777777" w:rsidTr="00EB4A43">
        <w:trPr>
          <w:trHeight w:val="315"/>
        </w:trPr>
        <w:tc>
          <w:tcPr>
            <w:tcW w:w="993" w:type="dxa"/>
            <w:noWrap/>
            <w:vAlign w:val="center"/>
            <w:hideMark/>
          </w:tcPr>
          <w:p w14:paraId="379D3033"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244EF33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D146G</w:t>
            </w:r>
          </w:p>
        </w:tc>
        <w:tc>
          <w:tcPr>
            <w:tcW w:w="1146" w:type="dxa"/>
            <w:noWrap/>
            <w:vAlign w:val="center"/>
            <w:hideMark/>
          </w:tcPr>
          <w:p w14:paraId="03D6356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4BCBFD9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6BCBB09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00436A6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3556A6F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3a (figure2)</w:t>
            </w:r>
          </w:p>
        </w:tc>
        <w:tc>
          <w:tcPr>
            <w:tcW w:w="850" w:type="dxa"/>
            <w:noWrap/>
            <w:vAlign w:val="center"/>
            <w:hideMark/>
          </w:tcPr>
          <w:p w14:paraId="584F797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7BF3B38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Hendricks, et al. 2017</w:t>
            </w:r>
          </w:p>
        </w:tc>
      </w:tr>
      <w:tr w:rsidR="00DC2DB2" w:rsidRPr="00B63AB4" w14:paraId="3F6CAF4F" w14:textId="77777777" w:rsidTr="00EB4A43">
        <w:trPr>
          <w:trHeight w:val="315"/>
        </w:trPr>
        <w:tc>
          <w:tcPr>
            <w:tcW w:w="993" w:type="dxa"/>
            <w:noWrap/>
            <w:vAlign w:val="center"/>
            <w:hideMark/>
          </w:tcPr>
          <w:p w14:paraId="0858DE7D"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545C09B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D146G</w:t>
            </w:r>
          </w:p>
        </w:tc>
        <w:tc>
          <w:tcPr>
            <w:tcW w:w="1146" w:type="dxa"/>
            <w:noWrap/>
            <w:vAlign w:val="center"/>
            <w:hideMark/>
          </w:tcPr>
          <w:p w14:paraId="69EDCD6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62EDE86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5BF94DD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062B570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NA</w:t>
            </w:r>
          </w:p>
        </w:tc>
        <w:tc>
          <w:tcPr>
            <w:tcW w:w="2552" w:type="dxa"/>
            <w:gridSpan w:val="2"/>
            <w:noWrap/>
            <w:vAlign w:val="center"/>
            <w:hideMark/>
          </w:tcPr>
          <w:p w14:paraId="47B70E1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3b (figure2)</w:t>
            </w:r>
          </w:p>
        </w:tc>
        <w:tc>
          <w:tcPr>
            <w:tcW w:w="850" w:type="dxa"/>
            <w:noWrap/>
            <w:vAlign w:val="center"/>
            <w:hideMark/>
          </w:tcPr>
          <w:p w14:paraId="54A4AB6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4C504B7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Hendricks, et al. 2017</w:t>
            </w:r>
          </w:p>
        </w:tc>
      </w:tr>
      <w:tr w:rsidR="00DC2DB2" w:rsidRPr="00B63AB4" w14:paraId="75E270CC" w14:textId="77777777" w:rsidTr="00EB4A43">
        <w:trPr>
          <w:trHeight w:val="315"/>
        </w:trPr>
        <w:tc>
          <w:tcPr>
            <w:tcW w:w="993" w:type="dxa"/>
            <w:noWrap/>
            <w:vAlign w:val="center"/>
            <w:hideMark/>
          </w:tcPr>
          <w:p w14:paraId="478E4CAE"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3920870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E61K</w:t>
            </w:r>
          </w:p>
        </w:tc>
        <w:tc>
          <w:tcPr>
            <w:tcW w:w="1146" w:type="dxa"/>
            <w:noWrap/>
            <w:vAlign w:val="center"/>
            <w:hideMark/>
          </w:tcPr>
          <w:p w14:paraId="2FE8ECE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15D4960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178C9B6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0831B65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762D539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4a (figure2)</w:t>
            </w:r>
          </w:p>
        </w:tc>
        <w:tc>
          <w:tcPr>
            <w:tcW w:w="850" w:type="dxa"/>
            <w:noWrap/>
            <w:vAlign w:val="center"/>
            <w:hideMark/>
          </w:tcPr>
          <w:p w14:paraId="43EBB65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44BF31B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Hendricks, et al. 2017</w:t>
            </w:r>
          </w:p>
        </w:tc>
      </w:tr>
      <w:tr w:rsidR="00DC2DB2" w:rsidRPr="00B63AB4" w14:paraId="4F1CD4F2" w14:textId="77777777" w:rsidTr="00EB4A43">
        <w:trPr>
          <w:trHeight w:val="315"/>
        </w:trPr>
        <w:tc>
          <w:tcPr>
            <w:tcW w:w="993" w:type="dxa"/>
            <w:noWrap/>
            <w:vAlign w:val="center"/>
            <w:hideMark/>
          </w:tcPr>
          <w:p w14:paraId="0B0E3AF9"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3BF9157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E61K</w:t>
            </w:r>
          </w:p>
        </w:tc>
        <w:tc>
          <w:tcPr>
            <w:tcW w:w="1146" w:type="dxa"/>
            <w:noWrap/>
            <w:vAlign w:val="center"/>
            <w:hideMark/>
          </w:tcPr>
          <w:p w14:paraId="5DBA044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4442BD2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4F60800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441D539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341D35D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4b (figure2)</w:t>
            </w:r>
          </w:p>
        </w:tc>
        <w:tc>
          <w:tcPr>
            <w:tcW w:w="850" w:type="dxa"/>
            <w:noWrap/>
            <w:vAlign w:val="center"/>
            <w:hideMark/>
          </w:tcPr>
          <w:p w14:paraId="5FA6DBA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1F45AD7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Hendricks, et al. 2017</w:t>
            </w:r>
          </w:p>
        </w:tc>
      </w:tr>
      <w:tr w:rsidR="00DC2DB2" w:rsidRPr="00B63AB4" w14:paraId="28FAE886" w14:textId="77777777" w:rsidTr="00EB4A43">
        <w:trPr>
          <w:trHeight w:val="315"/>
        </w:trPr>
        <w:tc>
          <w:tcPr>
            <w:tcW w:w="993" w:type="dxa"/>
            <w:noWrap/>
            <w:vAlign w:val="center"/>
            <w:hideMark/>
          </w:tcPr>
          <w:p w14:paraId="20222786"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SH2B1</w:t>
            </w:r>
          </w:p>
        </w:tc>
        <w:tc>
          <w:tcPr>
            <w:tcW w:w="1465" w:type="dxa"/>
            <w:noWrap/>
            <w:vAlign w:val="center"/>
            <w:hideMark/>
          </w:tcPr>
          <w:p w14:paraId="595310D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G59W</w:t>
            </w:r>
          </w:p>
        </w:tc>
        <w:tc>
          <w:tcPr>
            <w:tcW w:w="1146" w:type="dxa"/>
            <w:noWrap/>
            <w:vAlign w:val="center"/>
            <w:hideMark/>
          </w:tcPr>
          <w:p w14:paraId="62B963F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7D3DCBF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46C74BA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66AF107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6517EFF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5 (figure2)</w:t>
            </w:r>
          </w:p>
        </w:tc>
        <w:tc>
          <w:tcPr>
            <w:tcW w:w="850" w:type="dxa"/>
            <w:noWrap/>
            <w:vAlign w:val="center"/>
            <w:hideMark/>
          </w:tcPr>
          <w:p w14:paraId="625E845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5F06F53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Hendricks, et al. 2017</w:t>
            </w:r>
          </w:p>
        </w:tc>
      </w:tr>
      <w:tr w:rsidR="00DC2DB2" w:rsidRPr="00B63AB4" w14:paraId="637693FE" w14:textId="77777777" w:rsidTr="00EB4A43">
        <w:trPr>
          <w:trHeight w:val="315"/>
        </w:trPr>
        <w:tc>
          <w:tcPr>
            <w:tcW w:w="993" w:type="dxa"/>
            <w:noWrap/>
            <w:vAlign w:val="center"/>
            <w:hideMark/>
          </w:tcPr>
          <w:p w14:paraId="3CB71B78"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lastRenderedPageBreak/>
              <w:t>SH2B1</w:t>
            </w:r>
          </w:p>
        </w:tc>
        <w:tc>
          <w:tcPr>
            <w:tcW w:w="1465" w:type="dxa"/>
            <w:noWrap/>
            <w:vAlign w:val="center"/>
            <w:hideMark/>
          </w:tcPr>
          <w:p w14:paraId="57A5ACA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G516S</w:t>
            </w:r>
          </w:p>
        </w:tc>
        <w:tc>
          <w:tcPr>
            <w:tcW w:w="1146" w:type="dxa"/>
            <w:noWrap/>
            <w:vAlign w:val="center"/>
            <w:hideMark/>
          </w:tcPr>
          <w:p w14:paraId="09DE39C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2D5B1B0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1B27A01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5A34C0E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34D9737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6 (figure2)</w:t>
            </w:r>
          </w:p>
        </w:tc>
        <w:tc>
          <w:tcPr>
            <w:tcW w:w="850" w:type="dxa"/>
            <w:noWrap/>
            <w:vAlign w:val="center"/>
            <w:hideMark/>
          </w:tcPr>
          <w:p w14:paraId="152FD81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6781390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Hendricks, et al. 2017</w:t>
            </w:r>
          </w:p>
        </w:tc>
      </w:tr>
      <w:tr w:rsidR="00DC2DB2" w:rsidRPr="00B63AB4" w14:paraId="2FCAE286" w14:textId="77777777" w:rsidTr="00EB4A43">
        <w:trPr>
          <w:trHeight w:val="315"/>
        </w:trPr>
        <w:tc>
          <w:tcPr>
            <w:tcW w:w="993" w:type="dxa"/>
            <w:noWrap/>
            <w:vAlign w:val="center"/>
            <w:hideMark/>
          </w:tcPr>
          <w:p w14:paraId="5718632B"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SH2B1</w:t>
            </w:r>
          </w:p>
        </w:tc>
        <w:tc>
          <w:tcPr>
            <w:tcW w:w="1465" w:type="dxa"/>
            <w:noWrap/>
            <w:vAlign w:val="center"/>
            <w:hideMark/>
          </w:tcPr>
          <w:p w14:paraId="5DA1580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R227C</w:t>
            </w:r>
          </w:p>
        </w:tc>
        <w:tc>
          <w:tcPr>
            <w:tcW w:w="1146" w:type="dxa"/>
            <w:noWrap/>
            <w:vAlign w:val="center"/>
            <w:hideMark/>
          </w:tcPr>
          <w:p w14:paraId="11BB554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5AC3FA0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2B5BF24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016B554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0DB4694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7 (figure2)</w:t>
            </w:r>
          </w:p>
        </w:tc>
        <w:tc>
          <w:tcPr>
            <w:tcW w:w="850" w:type="dxa"/>
            <w:noWrap/>
            <w:vAlign w:val="center"/>
            <w:hideMark/>
          </w:tcPr>
          <w:p w14:paraId="5D38924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5E4FA07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Hendricks, et al. 2017</w:t>
            </w:r>
          </w:p>
        </w:tc>
      </w:tr>
      <w:tr w:rsidR="00DC2DB2" w:rsidRPr="00B63AB4" w14:paraId="51466E92" w14:textId="77777777" w:rsidTr="00EB4A43">
        <w:trPr>
          <w:trHeight w:val="315"/>
        </w:trPr>
        <w:tc>
          <w:tcPr>
            <w:tcW w:w="993" w:type="dxa"/>
            <w:noWrap/>
            <w:vAlign w:val="center"/>
            <w:hideMark/>
          </w:tcPr>
          <w:p w14:paraId="1560EF7F"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SH2B1</w:t>
            </w:r>
          </w:p>
        </w:tc>
        <w:tc>
          <w:tcPr>
            <w:tcW w:w="1465" w:type="dxa"/>
            <w:noWrap/>
            <w:vAlign w:val="center"/>
            <w:hideMark/>
          </w:tcPr>
          <w:p w14:paraId="42D0932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R227C</w:t>
            </w:r>
          </w:p>
        </w:tc>
        <w:tc>
          <w:tcPr>
            <w:tcW w:w="1146" w:type="dxa"/>
            <w:noWrap/>
            <w:vAlign w:val="center"/>
            <w:hideMark/>
          </w:tcPr>
          <w:p w14:paraId="56AB46D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03C8AA7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4440C90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046D396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6D3F39A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8 (figure2)</w:t>
            </w:r>
          </w:p>
        </w:tc>
        <w:tc>
          <w:tcPr>
            <w:tcW w:w="850" w:type="dxa"/>
            <w:noWrap/>
            <w:vAlign w:val="center"/>
            <w:hideMark/>
          </w:tcPr>
          <w:p w14:paraId="2D934F0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074A87B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Hendricks, et al. 2017</w:t>
            </w:r>
          </w:p>
        </w:tc>
      </w:tr>
      <w:tr w:rsidR="00DC2DB2" w:rsidRPr="00B63AB4" w14:paraId="6DB030CF" w14:textId="77777777" w:rsidTr="00EB4A43">
        <w:trPr>
          <w:trHeight w:val="315"/>
        </w:trPr>
        <w:tc>
          <w:tcPr>
            <w:tcW w:w="993" w:type="dxa"/>
            <w:noWrap/>
            <w:vAlign w:val="center"/>
            <w:hideMark/>
          </w:tcPr>
          <w:p w14:paraId="160CBC1F"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SH2B1</w:t>
            </w:r>
          </w:p>
        </w:tc>
        <w:tc>
          <w:tcPr>
            <w:tcW w:w="1465" w:type="dxa"/>
            <w:noWrap/>
            <w:vAlign w:val="center"/>
            <w:hideMark/>
          </w:tcPr>
          <w:p w14:paraId="0199A60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A118V</w:t>
            </w:r>
          </w:p>
        </w:tc>
        <w:tc>
          <w:tcPr>
            <w:tcW w:w="1146" w:type="dxa"/>
            <w:noWrap/>
            <w:vAlign w:val="center"/>
            <w:hideMark/>
          </w:tcPr>
          <w:p w14:paraId="7E82962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72C6766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42B97A4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6094D16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4833486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9 (figure2)</w:t>
            </w:r>
          </w:p>
        </w:tc>
        <w:tc>
          <w:tcPr>
            <w:tcW w:w="850" w:type="dxa"/>
            <w:noWrap/>
            <w:vAlign w:val="center"/>
            <w:hideMark/>
          </w:tcPr>
          <w:p w14:paraId="726E1A7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04F95EA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Hendricks, et al. 2017</w:t>
            </w:r>
          </w:p>
        </w:tc>
      </w:tr>
      <w:tr w:rsidR="00DC2DB2" w:rsidRPr="00B63AB4" w14:paraId="6FB0D524" w14:textId="77777777" w:rsidTr="00EB4A43">
        <w:trPr>
          <w:trHeight w:val="315"/>
        </w:trPr>
        <w:tc>
          <w:tcPr>
            <w:tcW w:w="993" w:type="dxa"/>
            <w:noWrap/>
            <w:vAlign w:val="center"/>
            <w:hideMark/>
          </w:tcPr>
          <w:p w14:paraId="1B4D6BBD"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SH2B1</w:t>
            </w:r>
          </w:p>
        </w:tc>
        <w:tc>
          <w:tcPr>
            <w:tcW w:w="1465" w:type="dxa"/>
            <w:noWrap/>
            <w:vAlign w:val="center"/>
            <w:hideMark/>
          </w:tcPr>
          <w:p w14:paraId="042AF2E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A118V</w:t>
            </w:r>
          </w:p>
        </w:tc>
        <w:tc>
          <w:tcPr>
            <w:tcW w:w="1146" w:type="dxa"/>
            <w:noWrap/>
            <w:vAlign w:val="center"/>
            <w:hideMark/>
          </w:tcPr>
          <w:p w14:paraId="7EB6299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2D66683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4CB9B2A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0B08210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51E84B1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10a (figure2)</w:t>
            </w:r>
          </w:p>
        </w:tc>
        <w:tc>
          <w:tcPr>
            <w:tcW w:w="850" w:type="dxa"/>
            <w:noWrap/>
            <w:vAlign w:val="center"/>
            <w:hideMark/>
          </w:tcPr>
          <w:p w14:paraId="5795454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148FE78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Hendricks, et al. 2017</w:t>
            </w:r>
          </w:p>
        </w:tc>
      </w:tr>
      <w:tr w:rsidR="00DC2DB2" w:rsidRPr="00B63AB4" w14:paraId="7D7223C3" w14:textId="77777777" w:rsidTr="00EB4A43">
        <w:trPr>
          <w:trHeight w:val="315"/>
        </w:trPr>
        <w:tc>
          <w:tcPr>
            <w:tcW w:w="993" w:type="dxa"/>
            <w:noWrap/>
            <w:vAlign w:val="center"/>
            <w:hideMark/>
          </w:tcPr>
          <w:p w14:paraId="6DEDB665"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SH2B1</w:t>
            </w:r>
          </w:p>
        </w:tc>
        <w:tc>
          <w:tcPr>
            <w:tcW w:w="1465" w:type="dxa"/>
            <w:noWrap/>
            <w:vAlign w:val="center"/>
            <w:hideMark/>
          </w:tcPr>
          <w:p w14:paraId="537B255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A118V</w:t>
            </w:r>
          </w:p>
        </w:tc>
        <w:tc>
          <w:tcPr>
            <w:tcW w:w="1146" w:type="dxa"/>
            <w:noWrap/>
            <w:vAlign w:val="center"/>
            <w:hideMark/>
          </w:tcPr>
          <w:p w14:paraId="3653928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3F2939C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2B9A875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6247251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5E65DEC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10b (figure2)</w:t>
            </w:r>
          </w:p>
        </w:tc>
        <w:tc>
          <w:tcPr>
            <w:tcW w:w="850" w:type="dxa"/>
            <w:noWrap/>
            <w:vAlign w:val="center"/>
            <w:hideMark/>
          </w:tcPr>
          <w:p w14:paraId="052178A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701F57A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Hendricks, et al. 2017</w:t>
            </w:r>
          </w:p>
        </w:tc>
      </w:tr>
      <w:tr w:rsidR="00DC2DB2" w:rsidRPr="00B63AB4" w14:paraId="0783FCA3" w14:textId="77777777" w:rsidTr="00EB4A43">
        <w:trPr>
          <w:trHeight w:val="315"/>
        </w:trPr>
        <w:tc>
          <w:tcPr>
            <w:tcW w:w="993" w:type="dxa"/>
            <w:noWrap/>
            <w:vAlign w:val="center"/>
            <w:hideMark/>
          </w:tcPr>
          <w:p w14:paraId="1ED2F357"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SH2B1</w:t>
            </w:r>
          </w:p>
        </w:tc>
        <w:tc>
          <w:tcPr>
            <w:tcW w:w="1465" w:type="dxa"/>
            <w:noWrap/>
            <w:vAlign w:val="center"/>
            <w:hideMark/>
          </w:tcPr>
          <w:p w14:paraId="1DCE220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A118V</w:t>
            </w:r>
          </w:p>
        </w:tc>
        <w:tc>
          <w:tcPr>
            <w:tcW w:w="1146" w:type="dxa"/>
            <w:noWrap/>
            <w:vAlign w:val="center"/>
            <w:hideMark/>
          </w:tcPr>
          <w:p w14:paraId="07FD379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1849B6A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5EF0091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399A9A7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7B23B30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10c (figure2)</w:t>
            </w:r>
          </w:p>
        </w:tc>
        <w:tc>
          <w:tcPr>
            <w:tcW w:w="850" w:type="dxa"/>
            <w:noWrap/>
            <w:vAlign w:val="center"/>
            <w:hideMark/>
          </w:tcPr>
          <w:p w14:paraId="2397BC1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0F172F7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Hendricks, et al. 2017</w:t>
            </w:r>
          </w:p>
        </w:tc>
      </w:tr>
      <w:tr w:rsidR="00DC2DB2" w:rsidRPr="00B63AB4" w14:paraId="31855875" w14:textId="77777777" w:rsidTr="00EB4A43">
        <w:trPr>
          <w:trHeight w:val="315"/>
        </w:trPr>
        <w:tc>
          <w:tcPr>
            <w:tcW w:w="993" w:type="dxa"/>
            <w:noWrap/>
            <w:vAlign w:val="center"/>
            <w:hideMark/>
          </w:tcPr>
          <w:p w14:paraId="6D7FB2FB"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BDNF</w:t>
            </w:r>
          </w:p>
        </w:tc>
        <w:tc>
          <w:tcPr>
            <w:tcW w:w="1465" w:type="dxa"/>
            <w:noWrap/>
            <w:vAlign w:val="center"/>
            <w:hideMark/>
          </w:tcPr>
          <w:p w14:paraId="5702491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E183K</w:t>
            </w:r>
          </w:p>
        </w:tc>
        <w:tc>
          <w:tcPr>
            <w:tcW w:w="1146" w:type="dxa"/>
            <w:noWrap/>
            <w:vAlign w:val="center"/>
            <w:hideMark/>
          </w:tcPr>
          <w:p w14:paraId="0DBB8FD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6F88F3D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73FF00F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18D5657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4DA3513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11a (figure2)</w:t>
            </w:r>
          </w:p>
        </w:tc>
        <w:tc>
          <w:tcPr>
            <w:tcW w:w="850" w:type="dxa"/>
            <w:noWrap/>
            <w:vAlign w:val="center"/>
            <w:hideMark/>
          </w:tcPr>
          <w:p w14:paraId="0D6E840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63CC592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Hendricks, et al. 2017</w:t>
            </w:r>
          </w:p>
        </w:tc>
      </w:tr>
      <w:tr w:rsidR="00DC2DB2" w:rsidRPr="00B63AB4" w14:paraId="7725BEA2" w14:textId="77777777" w:rsidTr="00EB4A43">
        <w:trPr>
          <w:trHeight w:val="315"/>
        </w:trPr>
        <w:tc>
          <w:tcPr>
            <w:tcW w:w="993" w:type="dxa"/>
            <w:noWrap/>
            <w:vAlign w:val="center"/>
            <w:hideMark/>
          </w:tcPr>
          <w:p w14:paraId="639F3CD2"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BDNF</w:t>
            </w:r>
          </w:p>
        </w:tc>
        <w:tc>
          <w:tcPr>
            <w:tcW w:w="1465" w:type="dxa"/>
            <w:noWrap/>
            <w:vAlign w:val="center"/>
            <w:hideMark/>
          </w:tcPr>
          <w:p w14:paraId="6EED269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E183K</w:t>
            </w:r>
          </w:p>
        </w:tc>
        <w:tc>
          <w:tcPr>
            <w:tcW w:w="1146" w:type="dxa"/>
            <w:noWrap/>
            <w:vAlign w:val="center"/>
            <w:hideMark/>
          </w:tcPr>
          <w:p w14:paraId="1AEE7B0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49F34F8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163DE10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5EEEA93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04DEEE3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11b (figure2)</w:t>
            </w:r>
          </w:p>
        </w:tc>
        <w:tc>
          <w:tcPr>
            <w:tcW w:w="850" w:type="dxa"/>
            <w:noWrap/>
            <w:vAlign w:val="center"/>
            <w:hideMark/>
          </w:tcPr>
          <w:p w14:paraId="7764724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63816C5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Hendricks, et al. 2017</w:t>
            </w:r>
          </w:p>
        </w:tc>
      </w:tr>
      <w:tr w:rsidR="00DC2DB2" w:rsidRPr="00B63AB4" w14:paraId="401482B2" w14:textId="77777777" w:rsidTr="00EB4A43">
        <w:trPr>
          <w:trHeight w:val="315"/>
        </w:trPr>
        <w:tc>
          <w:tcPr>
            <w:tcW w:w="993" w:type="dxa"/>
            <w:noWrap/>
            <w:vAlign w:val="center"/>
            <w:hideMark/>
          </w:tcPr>
          <w:p w14:paraId="7E0F512C"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BDNF</w:t>
            </w:r>
          </w:p>
        </w:tc>
        <w:tc>
          <w:tcPr>
            <w:tcW w:w="1465" w:type="dxa"/>
            <w:noWrap/>
            <w:vAlign w:val="center"/>
            <w:hideMark/>
          </w:tcPr>
          <w:p w14:paraId="2CA9FCC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E183K</w:t>
            </w:r>
          </w:p>
        </w:tc>
        <w:tc>
          <w:tcPr>
            <w:tcW w:w="1146" w:type="dxa"/>
            <w:noWrap/>
            <w:vAlign w:val="center"/>
            <w:hideMark/>
          </w:tcPr>
          <w:p w14:paraId="1053E2A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7D2B9BA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0D0028B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5A26F1D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2318742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11c (figure2)</w:t>
            </w:r>
          </w:p>
        </w:tc>
        <w:tc>
          <w:tcPr>
            <w:tcW w:w="850" w:type="dxa"/>
            <w:noWrap/>
            <w:vAlign w:val="center"/>
            <w:hideMark/>
          </w:tcPr>
          <w:p w14:paraId="7C2D256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6B01D35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Hendricks, et al. 2017</w:t>
            </w:r>
          </w:p>
        </w:tc>
      </w:tr>
      <w:tr w:rsidR="00DC2DB2" w:rsidRPr="00B63AB4" w14:paraId="18EBC085" w14:textId="77777777" w:rsidTr="00EB4A43">
        <w:trPr>
          <w:trHeight w:val="315"/>
        </w:trPr>
        <w:tc>
          <w:tcPr>
            <w:tcW w:w="993" w:type="dxa"/>
            <w:noWrap/>
            <w:vAlign w:val="center"/>
            <w:hideMark/>
          </w:tcPr>
          <w:p w14:paraId="6DE6D063"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NTRK2</w:t>
            </w:r>
          </w:p>
        </w:tc>
        <w:tc>
          <w:tcPr>
            <w:tcW w:w="1465" w:type="dxa"/>
            <w:noWrap/>
            <w:vAlign w:val="center"/>
            <w:hideMark/>
          </w:tcPr>
          <w:p w14:paraId="4AD54B1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R696K</w:t>
            </w:r>
          </w:p>
        </w:tc>
        <w:tc>
          <w:tcPr>
            <w:tcW w:w="1146" w:type="dxa"/>
            <w:noWrap/>
            <w:vAlign w:val="center"/>
            <w:hideMark/>
          </w:tcPr>
          <w:p w14:paraId="73AFA02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339EF0D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738A8D2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2556B0B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SO</w:t>
            </w:r>
          </w:p>
        </w:tc>
        <w:tc>
          <w:tcPr>
            <w:tcW w:w="2552" w:type="dxa"/>
            <w:gridSpan w:val="2"/>
            <w:noWrap/>
            <w:vAlign w:val="center"/>
            <w:hideMark/>
          </w:tcPr>
          <w:p w14:paraId="09C7484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12 (figure2)</w:t>
            </w:r>
          </w:p>
        </w:tc>
        <w:tc>
          <w:tcPr>
            <w:tcW w:w="850" w:type="dxa"/>
            <w:noWrap/>
            <w:vAlign w:val="center"/>
            <w:hideMark/>
          </w:tcPr>
          <w:p w14:paraId="3D2BE0A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5755FD8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Hendricks, et al. 2017</w:t>
            </w:r>
          </w:p>
        </w:tc>
      </w:tr>
      <w:tr w:rsidR="00DC2DB2" w:rsidRPr="00B63AB4" w14:paraId="7A563280" w14:textId="77777777" w:rsidTr="00EB4A43">
        <w:trPr>
          <w:trHeight w:val="315"/>
        </w:trPr>
        <w:tc>
          <w:tcPr>
            <w:tcW w:w="993" w:type="dxa"/>
            <w:noWrap/>
            <w:vAlign w:val="center"/>
            <w:hideMark/>
          </w:tcPr>
          <w:p w14:paraId="274562B1"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NTRK2</w:t>
            </w:r>
          </w:p>
        </w:tc>
        <w:tc>
          <w:tcPr>
            <w:tcW w:w="1465" w:type="dxa"/>
            <w:noWrap/>
            <w:vAlign w:val="center"/>
            <w:hideMark/>
          </w:tcPr>
          <w:p w14:paraId="2BE7F8D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P831L</w:t>
            </w:r>
          </w:p>
        </w:tc>
        <w:tc>
          <w:tcPr>
            <w:tcW w:w="1146" w:type="dxa"/>
            <w:noWrap/>
            <w:vAlign w:val="center"/>
            <w:hideMark/>
          </w:tcPr>
          <w:p w14:paraId="7D432AF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14D37F0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10BBEAD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142DB4D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387E86E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14 (figure2)</w:t>
            </w:r>
          </w:p>
        </w:tc>
        <w:tc>
          <w:tcPr>
            <w:tcW w:w="850" w:type="dxa"/>
            <w:noWrap/>
            <w:vAlign w:val="center"/>
            <w:hideMark/>
          </w:tcPr>
          <w:p w14:paraId="690AF32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641E52A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Hendricks, et al. 2017</w:t>
            </w:r>
          </w:p>
        </w:tc>
      </w:tr>
      <w:tr w:rsidR="00DC2DB2" w:rsidRPr="00B63AB4" w14:paraId="0B38901B" w14:textId="77777777" w:rsidTr="00EB4A43">
        <w:trPr>
          <w:trHeight w:val="315"/>
        </w:trPr>
        <w:tc>
          <w:tcPr>
            <w:tcW w:w="993" w:type="dxa"/>
            <w:noWrap/>
            <w:vAlign w:val="center"/>
            <w:hideMark/>
          </w:tcPr>
          <w:p w14:paraId="57DC442C"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SIM1</w:t>
            </w:r>
          </w:p>
        </w:tc>
        <w:tc>
          <w:tcPr>
            <w:tcW w:w="1465" w:type="dxa"/>
            <w:noWrap/>
            <w:vAlign w:val="center"/>
            <w:hideMark/>
          </w:tcPr>
          <w:p w14:paraId="3830269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L238R</w:t>
            </w:r>
          </w:p>
        </w:tc>
        <w:tc>
          <w:tcPr>
            <w:tcW w:w="1146" w:type="dxa"/>
            <w:noWrap/>
            <w:vAlign w:val="center"/>
            <w:hideMark/>
          </w:tcPr>
          <w:p w14:paraId="2A44A00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25BC297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3E8EF2C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0D037EA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5A1E8A6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15a (figure2)</w:t>
            </w:r>
          </w:p>
        </w:tc>
        <w:tc>
          <w:tcPr>
            <w:tcW w:w="850" w:type="dxa"/>
            <w:noWrap/>
            <w:vAlign w:val="center"/>
            <w:hideMark/>
          </w:tcPr>
          <w:p w14:paraId="60B0AB6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74AC25F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Hendricks, et al. 2017</w:t>
            </w:r>
          </w:p>
        </w:tc>
      </w:tr>
      <w:tr w:rsidR="00DC2DB2" w:rsidRPr="00B63AB4" w14:paraId="43C829F1" w14:textId="77777777" w:rsidTr="00EB4A43">
        <w:trPr>
          <w:trHeight w:val="315"/>
        </w:trPr>
        <w:tc>
          <w:tcPr>
            <w:tcW w:w="993" w:type="dxa"/>
            <w:noWrap/>
            <w:vAlign w:val="center"/>
            <w:hideMark/>
          </w:tcPr>
          <w:p w14:paraId="13FD1189"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SIM1</w:t>
            </w:r>
          </w:p>
        </w:tc>
        <w:tc>
          <w:tcPr>
            <w:tcW w:w="1465" w:type="dxa"/>
            <w:noWrap/>
            <w:vAlign w:val="center"/>
            <w:hideMark/>
          </w:tcPr>
          <w:p w14:paraId="6E96714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L238R</w:t>
            </w:r>
          </w:p>
        </w:tc>
        <w:tc>
          <w:tcPr>
            <w:tcW w:w="1146" w:type="dxa"/>
            <w:noWrap/>
            <w:vAlign w:val="center"/>
            <w:hideMark/>
          </w:tcPr>
          <w:p w14:paraId="1C85DAE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562BF62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6F90453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0CBCF8A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489CAB4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15b (figure2)</w:t>
            </w:r>
          </w:p>
        </w:tc>
        <w:tc>
          <w:tcPr>
            <w:tcW w:w="850" w:type="dxa"/>
            <w:noWrap/>
            <w:vAlign w:val="center"/>
            <w:hideMark/>
          </w:tcPr>
          <w:p w14:paraId="3D63F05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3E07941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Hendricks, et al. 2017</w:t>
            </w:r>
          </w:p>
        </w:tc>
      </w:tr>
      <w:tr w:rsidR="00DC2DB2" w:rsidRPr="00B63AB4" w14:paraId="3F116383" w14:textId="77777777" w:rsidTr="00EB4A43">
        <w:trPr>
          <w:trHeight w:val="315"/>
        </w:trPr>
        <w:tc>
          <w:tcPr>
            <w:tcW w:w="993" w:type="dxa"/>
            <w:noWrap/>
            <w:vAlign w:val="center"/>
            <w:hideMark/>
          </w:tcPr>
          <w:p w14:paraId="70FDCD40"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PCSK1</w:t>
            </w:r>
          </w:p>
        </w:tc>
        <w:tc>
          <w:tcPr>
            <w:tcW w:w="1465" w:type="dxa"/>
            <w:noWrap/>
            <w:vAlign w:val="center"/>
            <w:hideMark/>
          </w:tcPr>
          <w:p w14:paraId="53B8141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R80X</w:t>
            </w:r>
          </w:p>
        </w:tc>
        <w:tc>
          <w:tcPr>
            <w:tcW w:w="1146" w:type="dxa"/>
            <w:noWrap/>
            <w:vAlign w:val="center"/>
            <w:hideMark/>
          </w:tcPr>
          <w:p w14:paraId="57E8DD7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Nonsense</w:t>
            </w:r>
          </w:p>
        </w:tc>
        <w:tc>
          <w:tcPr>
            <w:tcW w:w="1358" w:type="dxa"/>
            <w:noWrap/>
            <w:vAlign w:val="center"/>
            <w:hideMark/>
          </w:tcPr>
          <w:p w14:paraId="1B85609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66D787C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7581A27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09432ED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Fam11 #III1-Patient (figure1)</w:t>
            </w:r>
          </w:p>
        </w:tc>
        <w:tc>
          <w:tcPr>
            <w:tcW w:w="850" w:type="dxa"/>
            <w:noWrap/>
            <w:vAlign w:val="center"/>
            <w:hideMark/>
          </w:tcPr>
          <w:p w14:paraId="7167AB3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31204C0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Philippe, et al. 2015</w:t>
            </w:r>
          </w:p>
        </w:tc>
      </w:tr>
      <w:tr w:rsidR="00DC2DB2" w:rsidRPr="00B63AB4" w14:paraId="0387CF69" w14:textId="77777777" w:rsidTr="00EB4A43">
        <w:trPr>
          <w:trHeight w:val="315"/>
        </w:trPr>
        <w:tc>
          <w:tcPr>
            <w:tcW w:w="993" w:type="dxa"/>
            <w:noWrap/>
            <w:vAlign w:val="center"/>
            <w:hideMark/>
          </w:tcPr>
          <w:p w14:paraId="1923708F"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PCSK1</w:t>
            </w:r>
          </w:p>
        </w:tc>
        <w:tc>
          <w:tcPr>
            <w:tcW w:w="1465" w:type="dxa"/>
            <w:noWrap/>
            <w:vAlign w:val="center"/>
            <w:hideMark/>
          </w:tcPr>
          <w:p w14:paraId="7FA1DAD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R80X</w:t>
            </w:r>
          </w:p>
        </w:tc>
        <w:tc>
          <w:tcPr>
            <w:tcW w:w="1146" w:type="dxa"/>
            <w:noWrap/>
            <w:vAlign w:val="center"/>
            <w:hideMark/>
          </w:tcPr>
          <w:p w14:paraId="7F5643F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Nonsense</w:t>
            </w:r>
          </w:p>
        </w:tc>
        <w:tc>
          <w:tcPr>
            <w:tcW w:w="1358" w:type="dxa"/>
            <w:noWrap/>
            <w:vAlign w:val="center"/>
            <w:hideMark/>
          </w:tcPr>
          <w:p w14:paraId="2B7A92A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1859F45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4E00040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SO</w:t>
            </w:r>
          </w:p>
        </w:tc>
        <w:tc>
          <w:tcPr>
            <w:tcW w:w="2552" w:type="dxa"/>
            <w:gridSpan w:val="2"/>
            <w:noWrap/>
            <w:vAlign w:val="center"/>
            <w:hideMark/>
          </w:tcPr>
          <w:p w14:paraId="71A83B0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Fam11 #II1-Father (figure1)</w:t>
            </w:r>
          </w:p>
        </w:tc>
        <w:tc>
          <w:tcPr>
            <w:tcW w:w="850" w:type="dxa"/>
            <w:noWrap/>
            <w:vAlign w:val="center"/>
            <w:hideMark/>
          </w:tcPr>
          <w:p w14:paraId="5DECEF8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65AEF20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Philippe, et al. 2015</w:t>
            </w:r>
          </w:p>
        </w:tc>
      </w:tr>
      <w:tr w:rsidR="00DC2DB2" w:rsidRPr="00B63AB4" w14:paraId="72FFADD7" w14:textId="77777777" w:rsidTr="00EB4A43">
        <w:trPr>
          <w:trHeight w:val="315"/>
        </w:trPr>
        <w:tc>
          <w:tcPr>
            <w:tcW w:w="993" w:type="dxa"/>
            <w:noWrap/>
            <w:vAlign w:val="center"/>
            <w:hideMark/>
          </w:tcPr>
          <w:p w14:paraId="0C2CB2F5" w14:textId="77777777" w:rsidR="00DC2DB2" w:rsidRPr="00B63AB4" w:rsidRDefault="00DC2DB2" w:rsidP="00EB4A43">
            <w:pPr>
              <w:spacing w:before="100" w:beforeAutospacing="1" w:after="100" w:afterAutospacing="1"/>
              <w:jc w:val="center"/>
              <w:rPr>
                <w:i/>
                <w:iCs/>
                <w:sz w:val="20"/>
                <w:szCs w:val="20"/>
                <w:lang w:val="en-US"/>
              </w:rPr>
            </w:pPr>
            <w:r w:rsidRPr="005D6D92">
              <w:rPr>
                <w:i/>
                <w:iCs/>
                <w:color w:val="000000" w:themeColor="text1"/>
                <w:sz w:val="20"/>
                <w:szCs w:val="20"/>
                <w:lang w:val="en-US"/>
              </w:rPr>
              <w:t>CADM2</w:t>
            </w:r>
          </w:p>
        </w:tc>
        <w:tc>
          <w:tcPr>
            <w:tcW w:w="1465" w:type="dxa"/>
            <w:noWrap/>
            <w:vAlign w:val="center"/>
            <w:hideMark/>
          </w:tcPr>
          <w:p w14:paraId="29DA233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R81H</w:t>
            </w:r>
          </w:p>
        </w:tc>
        <w:tc>
          <w:tcPr>
            <w:tcW w:w="1146" w:type="dxa"/>
            <w:noWrap/>
            <w:vAlign w:val="center"/>
            <w:hideMark/>
          </w:tcPr>
          <w:p w14:paraId="3086CAE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3E21ECE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368A71F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78423FC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2096BB7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Fam9-Patient (figureS1)</w:t>
            </w:r>
          </w:p>
        </w:tc>
        <w:tc>
          <w:tcPr>
            <w:tcW w:w="850" w:type="dxa"/>
            <w:noWrap/>
            <w:vAlign w:val="center"/>
            <w:hideMark/>
          </w:tcPr>
          <w:p w14:paraId="51A1D6C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48B8C23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Philippe, et al. 2015</w:t>
            </w:r>
          </w:p>
        </w:tc>
      </w:tr>
      <w:tr w:rsidR="00DC2DB2" w:rsidRPr="00B63AB4" w14:paraId="73214C0B" w14:textId="77777777" w:rsidTr="00EB4A43">
        <w:trPr>
          <w:trHeight w:val="315"/>
        </w:trPr>
        <w:tc>
          <w:tcPr>
            <w:tcW w:w="993" w:type="dxa"/>
            <w:noWrap/>
            <w:vAlign w:val="center"/>
            <w:hideMark/>
          </w:tcPr>
          <w:p w14:paraId="55BD0698"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4FB2C7D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L211fs (</w:t>
            </w:r>
            <w:proofErr w:type="spellStart"/>
            <w:r w:rsidRPr="00B63AB4">
              <w:rPr>
                <w:sz w:val="20"/>
                <w:szCs w:val="20"/>
                <w:lang w:val="en-US"/>
              </w:rPr>
              <w:t>CTCTdel</w:t>
            </w:r>
            <w:proofErr w:type="spellEnd"/>
            <w:r w:rsidRPr="00B63AB4">
              <w:rPr>
                <w:sz w:val="20"/>
                <w:szCs w:val="20"/>
                <w:lang w:val="en-US"/>
              </w:rPr>
              <w:t>)</w:t>
            </w:r>
          </w:p>
        </w:tc>
        <w:tc>
          <w:tcPr>
            <w:tcW w:w="1146" w:type="dxa"/>
            <w:noWrap/>
            <w:vAlign w:val="center"/>
            <w:hideMark/>
          </w:tcPr>
          <w:p w14:paraId="18AA508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Frameshift</w:t>
            </w:r>
          </w:p>
        </w:tc>
        <w:tc>
          <w:tcPr>
            <w:tcW w:w="1358" w:type="dxa"/>
            <w:noWrap/>
            <w:vAlign w:val="center"/>
            <w:hideMark/>
          </w:tcPr>
          <w:p w14:paraId="58E07D2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372DEB6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77AD9F8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SO</w:t>
            </w:r>
          </w:p>
        </w:tc>
        <w:tc>
          <w:tcPr>
            <w:tcW w:w="2552" w:type="dxa"/>
            <w:gridSpan w:val="2"/>
            <w:noWrap/>
            <w:vAlign w:val="center"/>
            <w:hideMark/>
          </w:tcPr>
          <w:p w14:paraId="5ACD92D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Patient II.1 (figure1)</w:t>
            </w:r>
          </w:p>
        </w:tc>
        <w:tc>
          <w:tcPr>
            <w:tcW w:w="850" w:type="dxa"/>
            <w:noWrap/>
            <w:vAlign w:val="center"/>
            <w:hideMark/>
          </w:tcPr>
          <w:p w14:paraId="1B88620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5A25B1C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Yeo, et al. 1998</w:t>
            </w:r>
          </w:p>
        </w:tc>
      </w:tr>
      <w:tr w:rsidR="00DC2DB2" w:rsidRPr="00B63AB4" w14:paraId="32784F3F" w14:textId="77777777" w:rsidTr="00EB4A43">
        <w:trPr>
          <w:trHeight w:val="315"/>
        </w:trPr>
        <w:tc>
          <w:tcPr>
            <w:tcW w:w="993" w:type="dxa"/>
            <w:noWrap/>
            <w:vAlign w:val="center"/>
            <w:hideMark/>
          </w:tcPr>
          <w:p w14:paraId="5F6F49C4"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4B6DC32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A244fs (</w:t>
            </w:r>
            <w:proofErr w:type="spellStart"/>
            <w:r w:rsidRPr="00B63AB4">
              <w:rPr>
                <w:sz w:val="20"/>
                <w:szCs w:val="20"/>
                <w:lang w:val="en-US"/>
              </w:rPr>
              <w:t>GATTins</w:t>
            </w:r>
            <w:proofErr w:type="spellEnd"/>
            <w:r w:rsidRPr="00B63AB4">
              <w:rPr>
                <w:sz w:val="20"/>
                <w:szCs w:val="20"/>
                <w:lang w:val="en-US"/>
              </w:rPr>
              <w:t>)</w:t>
            </w:r>
          </w:p>
        </w:tc>
        <w:tc>
          <w:tcPr>
            <w:tcW w:w="1146" w:type="dxa"/>
            <w:noWrap/>
            <w:vAlign w:val="center"/>
            <w:hideMark/>
          </w:tcPr>
          <w:p w14:paraId="4CE3F4E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Frameshift</w:t>
            </w:r>
          </w:p>
        </w:tc>
        <w:tc>
          <w:tcPr>
            <w:tcW w:w="1358" w:type="dxa"/>
            <w:noWrap/>
            <w:vAlign w:val="center"/>
            <w:hideMark/>
          </w:tcPr>
          <w:p w14:paraId="6036031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1320D79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6DFC17C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SO</w:t>
            </w:r>
          </w:p>
        </w:tc>
        <w:tc>
          <w:tcPr>
            <w:tcW w:w="2552" w:type="dxa"/>
            <w:gridSpan w:val="2"/>
            <w:noWrap/>
            <w:vAlign w:val="center"/>
            <w:hideMark/>
          </w:tcPr>
          <w:p w14:paraId="7B28BED3"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FamDZ</w:t>
            </w:r>
            <w:proofErr w:type="spellEnd"/>
            <w:r w:rsidRPr="00B63AB4">
              <w:rPr>
                <w:sz w:val="20"/>
                <w:szCs w:val="20"/>
                <w:lang w:val="en-US"/>
              </w:rPr>
              <w:t xml:space="preserve"> #III1-Proband (figure2)</w:t>
            </w:r>
          </w:p>
        </w:tc>
        <w:tc>
          <w:tcPr>
            <w:tcW w:w="850" w:type="dxa"/>
            <w:noWrap/>
            <w:vAlign w:val="center"/>
            <w:hideMark/>
          </w:tcPr>
          <w:p w14:paraId="652D91F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2045D7E6"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Vaisse</w:t>
            </w:r>
            <w:proofErr w:type="spellEnd"/>
            <w:r w:rsidRPr="00B63AB4">
              <w:rPr>
                <w:sz w:val="20"/>
                <w:szCs w:val="20"/>
                <w:lang w:val="en-US"/>
              </w:rPr>
              <w:t>, et al. 1998</w:t>
            </w:r>
          </w:p>
        </w:tc>
      </w:tr>
      <w:tr w:rsidR="00DC2DB2" w:rsidRPr="00B63AB4" w14:paraId="744ABD0D" w14:textId="77777777" w:rsidTr="00EB4A43">
        <w:trPr>
          <w:trHeight w:val="315"/>
        </w:trPr>
        <w:tc>
          <w:tcPr>
            <w:tcW w:w="993" w:type="dxa"/>
            <w:noWrap/>
            <w:vAlign w:val="center"/>
            <w:hideMark/>
          </w:tcPr>
          <w:p w14:paraId="4C8502AC"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25C451B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A244fs (</w:t>
            </w:r>
            <w:proofErr w:type="spellStart"/>
            <w:r w:rsidRPr="00B63AB4">
              <w:rPr>
                <w:sz w:val="20"/>
                <w:szCs w:val="20"/>
                <w:lang w:val="en-US"/>
              </w:rPr>
              <w:t>GATTins</w:t>
            </w:r>
            <w:proofErr w:type="spellEnd"/>
            <w:r w:rsidRPr="00B63AB4">
              <w:rPr>
                <w:sz w:val="20"/>
                <w:szCs w:val="20"/>
                <w:lang w:val="en-US"/>
              </w:rPr>
              <w:t>)</w:t>
            </w:r>
          </w:p>
        </w:tc>
        <w:tc>
          <w:tcPr>
            <w:tcW w:w="1146" w:type="dxa"/>
            <w:noWrap/>
            <w:vAlign w:val="center"/>
            <w:hideMark/>
          </w:tcPr>
          <w:p w14:paraId="777F62B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Frameshift</w:t>
            </w:r>
          </w:p>
        </w:tc>
        <w:tc>
          <w:tcPr>
            <w:tcW w:w="1358" w:type="dxa"/>
            <w:noWrap/>
            <w:vAlign w:val="center"/>
            <w:hideMark/>
          </w:tcPr>
          <w:p w14:paraId="6CFA2D9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54B4D00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379E71D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SO</w:t>
            </w:r>
          </w:p>
        </w:tc>
        <w:tc>
          <w:tcPr>
            <w:tcW w:w="2552" w:type="dxa"/>
            <w:gridSpan w:val="2"/>
            <w:noWrap/>
            <w:vAlign w:val="center"/>
            <w:hideMark/>
          </w:tcPr>
          <w:p w14:paraId="54822D41"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FamDZ</w:t>
            </w:r>
            <w:proofErr w:type="spellEnd"/>
            <w:r w:rsidRPr="00B63AB4">
              <w:rPr>
                <w:sz w:val="20"/>
                <w:szCs w:val="20"/>
                <w:lang w:val="en-US"/>
              </w:rPr>
              <w:t xml:space="preserve"> #IV1-Niece (figure2)</w:t>
            </w:r>
          </w:p>
        </w:tc>
        <w:tc>
          <w:tcPr>
            <w:tcW w:w="850" w:type="dxa"/>
            <w:noWrap/>
            <w:vAlign w:val="center"/>
            <w:hideMark/>
          </w:tcPr>
          <w:p w14:paraId="210F02E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57EE83FF"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Vaisse</w:t>
            </w:r>
            <w:proofErr w:type="spellEnd"/>
            <w:r w:rsidRPr="00B63AB4">
              <w:rPr>
                <w:sz w:val="20"/>
                <w:szCs w:val="20"/>
                <w:lang w:val="en-US"/>
              </w:rPr>
              <w:t>, et al. 1998</w:t>
            </w:r>
          </w:p>
        </w:tc>
      </w:tr>
      <w:tr w:rsidR="00DC2DB2" w:rsidRPr="00B63AB4" w14:paraId="167ECE0F" w14:textId="77777777" w:rsidTr="00EB4A43">
        <w:trPr>
          <w:trHeight w:val="315"/>
        </w:trPr>
        <w:tc>
          <w:tcPr>
            <w:tcW w:w="993" w:type="dxa"/>
            <w:noWrap/>
            <w:vAlign w:val="center"/>
            <w:hideMark/>
          </w:tcPr>
          <w:p w14:paraId="72439FBE"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27543E5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L211fs (</w:t>
            </w:r>
            <w:proofErr w:type="spellStart"/>
            <w:r w:rsidRPr="00B63AB4">
              <w:rPr>
                <w:sz w:val="20"/>
                <w:szCs w:val="20"/>
                <w:lang w:val="en-US"/>
              </w:rPr>
              <w:t>CTCTdel</w:t>
            </w:r>
            <w:proofErr w:type="spellEnd"/>
            <w:r w:rsidRPr="00B63AB4">
              <w:rPr>
                <w:sz w:val="20"/>
                <w:szCs w:val="20"/>
                <w:lang w:val="en-US"/>
              </w:rPr>
              <w:t>)</w:t>
            </w:r>
          </w:p>
        </w:tc>
        <w:tc>
          <w:tcPr>
            <w:tcW w:w="1146" w:type="dxa"/>
            <w:noWrap/>
            <w:vAlign w:val="center"/>
            <w:hideMark/>
          </w:tcPr>
          <w:p w14:paraId="65E7CB3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Frameshift</w:t>
            </w:r>
          </w:p>
        </w:tc>
        <w:tc>
          <w:tcPr>
            <w:tcW w:w="1358" w:type="dxa"/>
            <w:noWrap/>
            <w:vAlign w:val="center"/>
            <w:hideMark/>
          </w:tcPr>
          <w:p w14:paraId="086B1D3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104CE84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7178AE9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3DCE777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Index A (text)</w:t>
            </w:r>
          </w:p>
        </w:tc>
        <w:tc>
          <w:tcPr>
            <w:tcW w:w="850" w:type="dxa"/>
            <w:noWrap/>
            <w:vAlign w:val="center"/>
            <w:hideMark/>
          </w:tcPr>
          <w:p w14:paraId="34C9513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2A3D8E0A"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Hinney</w:t>
            </w:r>
            <w:proofErr w:type="spellEnd"/>
            <w:r w:rsidRPr="00B63AB4">
              <w:rPr>
                <w:sz w:val="20"/>
                <w:szCs w:val="20"/>
                <w:lang w:val="en-US"/>
              </w:rPr>
              <w:t>, et al. 1999</w:t>
            </w:r>
          </w:p>
        </w:tc>
      </w:tr>
      <w:tr w:rsidR="00DC2DB2" w:rsidRPr="00B63AB4" w14:paraId="77664DB9" w14:textId="77777777" w:rsidTr="00EB4A43">
        <w:trPr>
          <w:trHeight w:val="315"/>
        </w:trPr>
        <w:tc>
          <w:tcPr>
            <w:tcW w:w="993" w:type="dxa"/>
            <w:noWrap/>
            <w:vAlign w:val="center"/>
            <w:hideMark/>
          </w:tcPr>
          <w:p w14:paraId="19B3C050"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1FE56CA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Y35X</w:t>
            </w:r>
          </w:p>
        </w:tc>
        <w:tc>
          <w:tcPr>
            <w:tcW w:w="1146" w:type="dxa"/>
            <w:noWrap/>
            <w:vAlign w:val="center"/>
            <w:hideMark/>
          </w:tcPr>
          <w:p w14:paraId="3F85B68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Nonsense</w:t>
            </w:r>
          </w:p>
        </w:tc>
        <w:tc>
          <w:tcPr>
            <w:tcW w:w="1358" w:type="dxa"/>
            <w:noWrap/>
            <w:vAlign w:val="center"/>
            <w:hideMark/>
          </w:tcPr>
          <w:p w14:paraId="07B848E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43D1F3C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6880F62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SO</w:t>
            </w:r>
          </w:p>
        </w:tc>
        <w:tc>
          <w:tcPr>
            <w:tcW w:w="2552" w:type="dxa"/>
            <w:gridSpan w:val="2"/>
            <w:noWrap/>
            <w:vAlign w:val="center"/>
            <w:hideMark/>
          </w:tcPr>
          <w:p w14:paraId="3670E5A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Index B (text)</w:t>
            </w:r>
          </w:p>
        </w:tc>
        <w:tc>
          <w:tcPr>
            <w:tcW w:w="850" w:type="dxa"/>
            <w:noWrap/>
            <w:vAlign w:val="center"/>
            <w:hideMark/>
          </w:tcPr>
          <w:p w14:paraId="24261DB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654DDEB9"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Hinney</w:t>
            </w:r>
            <w:proofErr w:type="spellEnd"/>
            <w:r w:rsidRPr="00B63AB4">
              <w:rPr>
                <w:sz w:val="20"/>
                <w:szCs w:val="20"/>
                <w:lang w:val="en-US"/>
              </w:rPr>
              <w:t>, et al. 1999</w:t>
            </w:r>
          </w:p>
        </w:tc>
      </w:tr>
      <w:tr w:rsidR="00DC2DB2" w:rsidRPr="00B63AB4" w14:paraId="44ECD60D" w14:textId="77777777" w:rsidTr="00EB4A43">
        <w:trPr>
          <w:trHeight w:val="315"/>
        </w:trPr>
        <w:tc>
          <w:tcPr>
            <w:tcW w:w="993" w:type="dxa"/>
            <w:noWrap/>
            <w:vAlign w:val="center"/>
            <w:hideMark/>
          </w:tcPr>
          <w:p w14:paraId="2AC0AF57"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3D135D4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Y35X</w:t>
            </w:r>
          </w:p>
        </w:tc>
        <w:tc>
          <w:tcPr>
            <w:tcW w:w="1146" w:type="dxa"/>
            <w:noWrap/>
            <w:vAlign w:val="center"/>
            <w:hideMark/>
          </w:tcPr>
          <w:p w14:paraId="2AEDF08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Nonsense</w:t>
            </w:r>
          </w:p>
        </w:tc>
        <w:tc>
          <w:tcPr>
            <w:tcW w:w="1358" w:type="dxa"/>
            <w:noWrap/>
            <w:vAlign w:val="center"/>
            <w:hideMark/>
          </w:tcPr>
          <w:p w14:paraId="0531BB1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5FE457B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560533C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20A083F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Index C (text)</w:t>
            </w:r>
          </w:p>
        </w:tc>
        <w:tc>
          <w:tcPr>
            <w:tcW w:w="850" w:type="dxa"/>
            <w:noWrap/>
            <w:vAlign w:val="center"/>
            <w:hideMark/>
          </w:tcPr>
          <w:p w14:paraId="48F4057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54831C98"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Hinney</w:t>
            </w:r>
            <w:proofErr w:type="spellEnd"/>
            <w:r w:rsidRPr="00B63AB4">
              <w:rPr>
                <w:sz w:val="20"/>
                <w:szCs w:val="20"/>
                <w:lang w:val="en-US"/>
              </w:rPr>
              <w:t>, et al. 1999</w:t>
            </w:r>
          </w:p>
        </w:tc>
      </w:tr>
      <w:tr w:rsidR="00DC2DB2" w:rsidRPr="00B63AB4" w14:paraId="790F0885" w14:textId="77777777" w:rsidTr="00EB4A43">
        <w:trPr>
          <w:trHeight w:val="315"/>
        </w:trPr>
        <w:tc>
          <w:tcPr>
            <w:tcW w:w="993" w:type="dxa"/>
            <w:noWrap/>
            <w:vAlign w:val="center"/>
            <w:hideMark/>
          </w:tcPr>
          <w:p w14:paraId="4CDC7A9A"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lastRenderedPageBreak/>
              <w:t>MC4R</w:t>
            </w:r>
          </w:p>
        </w:tc>
        <w:tc>
          <w:tcPr>
            <w:tcW w:w="1465" w:type="dxa"/>
            <w:noWrap/>
            <w:vAlign w:val="center"/>
            <w:hideMark/>
          </w:tcPr>
          <w:p w14:paraId="4158438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C279fs (</w:t>
            </w:r>
            <w:proofErr w:type="spellStart"/>
            <w:r w:rsidRPr="00B63AB4">
              <w:rPr>
                <w:sz w:val="20"/>
                <w:szCs w:val="20"/>
                <w:lang w:val="en-US"/>
              </w:rPr>
              <w:t>GTins</w:t>
            </w:r>
            <w:proofErr w:type="spellEnd"/>
            <w:r w:rsidRPr="00B63AB4">
              <w:rPr>
                <w:sz w:val="20"/>
                <w:szCs w:val="20"/>
                <w:lang w:val="en-US"/>
              </w:rPr>
              <w:t>)</w:t>
            </w:r>
          </w:p>
        </w:tc>
        <w:tc>
          <w:tcPr>
            <w:tcW w:w="1146" w:type="dxa"/>
            <w:noWrap/>
            <w:vAlign w:val="center"/>
            <w:hideMark/>
          </w:tcPr>
          <w:p w14:paraId="72238D3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Frameshift</w:t>
            </w:r>
          </w:p>
        </w:tc>
        <w:tc>
          <w:tcPr>
            <w:tcW w:w="1358" w:type="dxa"/>
            <w:noWrap/>
            <w:vAlign w:val="center"/>
            <w:hideMark/>
          </w:tcPr>
          <w:p w14:paraId="58EDB53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324E2CB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7C17311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SO</w:t>
            </w:r>
          </w:p>
        </w:tc>
        <w:tc>
          <w:tcPr>
            <w:tcW w:w="2552" w:type="dxa"/>
            <w:gridSpan w:val="2"/>
            <w:noWrap/>
            <w:vAlign w:val="center"/>
            <w:hideMark/>
          </w:tcPr>
          <w:p w14:paraId="20C4194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ID6 (figure2)</w:t>
            </w:r>
          </w:p>
        </w:tc>
        <w:tc>
          <w:tcPr>
            <w:tcW w:w="850" w:type="dxa"/>
            <w:noWrap/>
            <w:vAlign w:val="center"/>
            <w:hideMark/>
          </w:tcPr>
          <w:p w14:paraId="1E0B6AE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370FED4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Farooqi, et al. 2000</w:t>
            </w:r>
          </w:p>
        </w:tc>
      </w:tr>
      <w:tr w:rsidR="00DC2DB2" w:rsidRPr="00B63AB4" w14:paraId="4AF4E16E" w14:textId="77777777" w:rsidTr="00EB4A43">
        <w:trPr>
          <w:trHeight w:val="315"/>
        </w:trPr>
        <w:tc>
          <w:tcPr>
            <w:tcW w:w="993" w:type="dxa"/>
            <w:noWrap/>
            <w:vAlign w:val="center"/>
            <w:hideMark/>
          </w:tcPr>
          <w:p w14:paraId="50C6D1F3"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7671260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C271Y</w:t>
            </w:r>
          </w:p>
        </w:tc>
        <w:tc>
          <w:tcPr>
            <w:tcW w:w="1146" w:type="dxa"/>
            <w:noWrap/>
            <w:vAlign w:val="center"/>
            <w:hideMark/>
          </w:tcPr>
          <w:p w14:paraId="6DCCB0B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60A40BC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106402F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67D3AB3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3E5CD1E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ID20 (figure2)</w:t>
            </w:r>
          </w:p>
        </w:tc>
        <w:tc>
          <w:tcPr>
            <w:tcW w:w="850" w:type="dxa"/>
            <w:noWrap/>
            <w:vAlign w:val="center"/>
            <w:hideMark/>
          </w:tcPr>
          <w:p w14:paraId="09EE1C4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0EBEDB6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Farooqi, et al. 2000</w:t>
            </w:r>
          </w:p>
        </w:tc>
      </w:tr>
      <w:tr w:rsidR="00DC2DB2" w:rsidRPr="00B63AB4" w14:paraId="10F514A5" w14:textId="77777777" w:rsidTr="00EB4A43">
        <w:trPr>
          <w:trHeight w:val="315"/>
        </w:trPr>
        <w:tc>
          <w:tcPr>
            <w:tcW w:w="993" w:type="dxa"/>
            <w:noWrap/>
            <w:vAlign w:val="center"/>
            <w:hideMark/>
          </w:tcPr>
          <w:p w14:paraId="2F7903F7"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5099EDC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R165W</w:t>
            </w:r>
          </w:p>
        </w:tc>
        <w:tc>
          <w:tcPr>
            <w:tcW w:w="1146" w:type="dxa"/>
            <w:noWrap/>
            <w:vAlign w:val="center"/>
            <w:hideMark/>
          </w:tcPr>
          <w:p w14:paraId="3C42C27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682BB97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70768FF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0F7F295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EOO</w:t>
            </w:r>
          </w:p>
        </w:tc>
        <w:tc>
          <w:tcPr>
            <w:tcW w:w="2552" w:type="dxa"/>
            <w:gridSpan w:val="2"/>
            <w:noWrap/>
            <w:vAlign w:val="center"/>
            <w:hideMark/>
          </w:tcPr>
          <w:p w14:paraId="1C60CFA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Fam1143 #III.3-Proband (figure2)</w:t>
            </w:r>
          </w:p>
        </w:tc>
        <w:tc>
          <w:tcPr>
            <w:tcW w:w="850" w:type="dxa"/>
            <w:noWrap/>
            <w:vAlign w:val="center"/>
            <w:hideMark/>
          </w:tcPr>
          <w:p w14:paraId="490C3C7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7577D361"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Vaisse</w:t>
            </w:r>
            <w:proofErr w:type="spellEnd"/>
            <w:r w:rsidRPr="00B63AB4">
              <w:rPr>
                <w:sz w:val="20"/>
                <w:szCs w:val="20"/>
                <w:lang w:val="en-US"/>
              </w:rPr>
              <w:t>, et al. 2000</w:t>
            </w:r>
          </w:p>
        </w:tc>
      </w:tr>
      <w:tr w:rsidR="00DC2DB2" w:rsidRPr="00B63AB4" w14:paraId="48DD6EE8" w14:textId="77777777" w:rsidTr="00EB4A43">
        <w:trPr>
          <w:trHeight w:val="315"/>
        </w:trPr>
        <w:tc>
          <w:tcPr>
            <w:tcW w:w="993" w:type="dxa"/>
            <w:noWrap/>
            <w:vAlign w:val="center"/>
            <w:hideMark/>
          </w:tcPr>
          <w:p w14:paraId="2525C0B4"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345E8D2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R165W</w:t>
            </w:r>
          </w:p>
        </w:tc>
        <w:tc>
          <w:tcPr>
            <w:tcW w:w="1146" w:type="dxa"/>
            <w:noWrap/>
            <w:vAlign w:val="center"/>
            <w:hideMark/>
          </w:tcPr>
          <w:p w14:paraId="2A5A3A9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6286340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5187D35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62C319F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NA</w:t>
            </w:r>
          </w:p>
        </w:tc>
        <w:tc>
          <w:tcPr>
            <w:tcW w:w="2552" w:type="dxa"/>
            <w:gridSpan w:val="2"/>
            <w:noWrap/>
            <w:vAlign w:val="center"/>
            <w:hideMark/>
          </w:tcPr>
          <w:p w14:paraId="71C86B3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Fam1143 #III.6-Cousin(figure2)</w:t>
            </w:r>
          </w:p>
        </w:tc>
        <w:tc>
          <w:tcPr>
            <w:tcW w:w="850" w:type="dxa"/>
            <w:noWrap/>
            <w:vAlign w:val="center"/>
            <w:hideMark/>
          </w:tcPr>
          <w:p w14:paraId="30C58C7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25ABBF7A"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Vaisse</w:t>
            </w:r>
            <w:proofErr w:type="spellEnd"/>
            <w:r w:rsidRPr="00B63AB4">
              <w:rPr>
                <w:sz w:val="20"/>
                <w:szCs w:val="20"/>
                <w:lang w:val="en-US"/>
              </w:rPr>
              <w:t>, et al. 2000</w:t>
            </w:r>
          </w:p>
        </w:tc>
      </w:tr>
      <w:tr w:rsidR="00DC2DB2" w:rsidRPr="00B63AB4" w14:paraId="69AA90D4" w14:textId="77777777" w:rsidTr="00EB4A43">
        <w:trPr>
          <w:trHeight w:val="315"/>
        </w:trPr>
        <w:tc>
          <w:tcPr>
            <w:tcW w:w="993" w:type="dxa"/>
            <w:noWrap/>
            <w:vAlign w:val="center"/>
            <w:hideMark/>
          </w:tcPr>
          <w:p w14:paraId="71F48DF9"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4DF7858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I170V</w:t>
            </w:r>
          </w:p>
        </w:tc>
        <w:tc>
          <w:tcPr>
            <w:tcW w:w="1146" w:type="dxa"/>
            <w:noWrap/>
            <w:vAlign w:val="center"/>
            <w:hideMark/>
          </w:tcPr>
          <w:p w14:paraId="2BCAD12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1EC7A79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6C74B8B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54E06B6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4084229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Fam1261 (figure2)</w:t>
            </w:r>
          </w:p>
        </w:tc>
        <w:tc>
          <w:tcPr>
            <w:tcW w:w="850" w:type="dxa"/>
            <w:noWrap/>
            <w:vAlign w:val="center"/>
            <w:hideMark/>
          </w:tcPr>
          <w:p w14:paraId="2830814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67DB787F"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Vaisse</w:t>
            </w:r>
            <w:proofErr w:type="spellEnd"/>
            <w:r w:rsidRPr="00B63AB4">
              <w:rPr>
                <w:sz w:val="20"/>
                <w:szCs w:val="20"/>
                <w:lang w:val="en-US"/>
              </w:rPr>
              <w:t>, et al. 2000</w:t>
            </w:r>
          </w:p>
        </w:tc>
      </w:tr>
      <w:tr w:rsidR="00DC2DB2" w:rsidRPr="00B63AB4" w14:paraId="57096B67" w14:textId="77777777" w:rsidTr="00EB4A43">
        <w:trPr>
          <w:trHeight w:val="315"/>
        </w:trPr>
        <w:tc>
          <w:tcPr>
            <w:tcW w:w="993" w:type="dxa"/>
            <w:noWrap/>
            <w:vAlign w:val="center"/>
            <w:hideMark/>
          </w:tcPr>
          <w:p w14:paraId="4F82F60C"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6E260CD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I301T</w:t>
            </w:r>
          </w:p>
        </w:tc>
        <w:tc>
          <w:tcPr>
            <w:tcW w:w="1146" w:type="dxa"/>
            <w:noWrap/>
            <w:vAlign w:val="center"/>
            <w:hideMark/>
          </w:tcPr>
          <w:p w14:paraId="44C67B5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0D76116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05870FC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29756AA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1889AAA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Fam1283 (figure2)</w:t>
            </w:r>
          </w:p>
        </w:tc>
        <w:tc>
          <w:tcPr>
            <w:tcW w:w="850" w:type="dxa"/>
            <w:noWrap/>
            <w:vAlign w:val="center"/>
            <w:hideMark/>
          </w:tcPr>
          <w:p w14:paraId="74650A5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634B33A7"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Vaisse</w:t>
            </w:r>
            <w:proofErr w:type="spellEnd"/>
            <w:r w:rsidRPr="00B63AB4">
              <w:rPr>
                <w:sz w:val="20"/>
                <w:szCs w:val="20"/>
                <w:lang w:val="en-US"/>
              </w:rPr>
              <w:t>, et al. 2000</w:t>
            </w:r>
          </w:p>
        </w:tc>
      </w:tr>
      <w:tr w:rsidR="00DC2DB2" w:rsidRPr="00B63AB4" w14:paraId="1EC37C63" w14:textId="77777777" w:rsidTr="00EB4A43">
        <w:trPr>
          <w:trHeight w:val="315"/>
        </w:trPr>
        <w:tc>
          <w:tcPr>
            <w:tcW w:w="993" w:type="dxa"/>
            <w:noWrap/>
            <w:vAlign w:val="center"/>
            <w:hideMark/>
          </w:tcPr>
          <w:p w14:paraId="1F6A312D"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47ED4E4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 xml:space="preserve">W16fs  </w:t>
            </w:r>
            <w:proofErr w:type="gramStart"/>
            <w:r w:rsidRPr="00B63AB4">
              <w:rPr>
                <w:sz w:val="20"/>
                <w:szCs w:val="20"/>
                <w:lang w:val="en-US"/>
              </w:rPr>
              <w:t xml:space="preserve">   (</w:t>
            </w:r>
            <w:proofErr w:type="gramEnd"/>
            <w:r w:rsidRPr="00B63AB4">
              <w:rPr>
                <w:sz w:val="20"/>
                <w:szCs w:val="20"/>
                <w:lang w:val="en-US"/>
              </w:rPr>
              <w:t>Gins47-48)</w:t>
            </w:r>
          </w:p>
        </w:tc>
        <w:tc>
          <w:tcPr>
            <w:tcW w:w="1146" w:type="dxa"/>
            <w:noWrap/>
            <w:vAlign w:val="center"/>
            <w:hideMark/>
          </w:tcPr>
          <w:p w14:paraId="75E01BA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Frameshift</w:t>
            </w:r>
          </w:p>
        </w:tc>
        <w:tc>
          <w:tcPr>
            <w:tcW w:w="1358" w:type="dxa"/>
            <w:noWrap/>
            <w:vAlign w:val="center"/>
            <w:hideMark/>
          </w:tcPr>
          <w:p w14:paraId="3192DD0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6A35D79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2E9BABD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251C52F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Fam1417 (figure2)</w:t>
            </w:r>
          </w:p>
        </w:tc>
        <w:tc>
          <w:tcPr>
            <w:tcW w:w="850" w:type="dxa"/>
            <w:noWrap/>
            <w:vAlign w:val="center"/>
            <w:hideMark/>
          </w:tcPr>
          <w:p w14:paraId="4AA78AD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18876F3F"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Vaisse</w:t>
            </w:r>
            <w:proofErr w:type="spellEnd"/>
            <w:r w:rsidRPr="00B63AB4">
              <w:rPr>
                <w:sz w:val="20"/>
                <w:szCs w:val="20"/>
                <w:lang w:val="en-US"/>
              </w:rPr>
              <w:t>, et al. 2000</w:t>
            </w:r>
          </w:p>
        </w:tc>
      </w:tr>
      <w:tr w:rsidR="00DC2DB2" w:rsidRPr="00B63AB4" w14:paraId="2865A9C3" w14:textId="77777777" w:rsidTr="00EB4A43">
        <w:trPr>
          <w:trHeight w:val="315"/>
        </w:trPr>
        <w:tc>
          <w:tcPr>
            <w:tcW w:w="993" w:type="dxa"/>
            <w:noWrap/>
            <w:vAlign w:val="center"/>
            <w:hideMark/>
          </w:tcPr>
          <w:p w14:paraId="4C8793CB"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083DA49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S58C</w:t>
            </w:r>
          </w:p>
        </w:tc>
        <w:tc>
          <w:tcPr>
            <w:tcW w:w="1146" w:type="dxa"/>
            <w:noWrap/>
            <w:vAlign w:val="center"/>
            <w:hideMark/>
          </w:tcPr>
          <w:p w14:paraId="3FDF360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71278A5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14F344D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53A48AC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6A6BCCC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Fam1 (figure)</w:t>
            </w:r>
          </w:p>
        </w:tc>
        <w:tc>
          <w:tcPr>
            <w:tcW w:w="850" w:type="dxa"/>
            <w:noWrap/>
            <w:vAlign w:val="center"/>
            <w:hideMark/>
          </w:tcPr>
          <w:p w14:paraId="449ADC4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0400A925"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Dubern</w:t>
            </w:r>
            <w:proofErr w:type="spellEnd"/>
            <w:r w:rsidRPr="00B63AB4">
              <w:rPr>
                <w:sz w:val="20"/>
                <w:szCs w:val="20"/>
                <w:lang w:val="en-US"/>
              </w:rPr>
              <w:t>, et al. 2001</w:t>
            </w:r>
          </w:p>
        </w:tc>
      </w:tr>
      <w:tr w:rsidR="00DC2DB2" w:rsidRPr="00B63AB4" w14:paraId="61B58FDA" w14:textId="77777777" w:rsidTr="00EB4A43">
        <w:trPr>
          <w:trHeight w:val="315"/>
        </w:trPr>
        <w:tc>
          <w:tcPr>
            <w:tcW w:w="993" w:type="dxa"/>
            <w:noWrap/>
            <w:vAlign w:val="center"/>
            <w:hideMark/>
          </w:tcPr>
          <w:p w14:paraId="5F2E75F4"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147002D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V50M</w:t>
            </w:r>
          </w:p>
        </w:tc>
        <w:tc>
          <w:tcPr>
            <w:tcW w:w="1146" w:type="dxa"/>
            <w:noWrap/>
            <w:vAlign w:val="center"/>
            <w:hideMark/>
          </w:tcPr>
          <w:p w14:paraId="282A770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00244D5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0BB7AC4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2058863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7F22E30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Fam2 (figure)</w:t>
            </w:r>
          </w:p>
        </w:tc>
        <w:tc>
          <w:tcPr>
            <w:tcW w:w="850" w:type="dxa"/>
            <w:noWrap/>
            <w:vAlign w:val="center"/>
            <w:hideMark/>
          </w:tcPr>
          <w:p w14:paraId="786DB2A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236B2D4C"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Dubern</w:t>
            </w:r>
            <w:proofErr w:type="spellEnd"/>
            <w:r w:rsidRPr="00B63AB4">
              <w:rPr>
                <w:sz w:val="20"/>
                <w:szCs w:val="20"/>
                <w:lang w:val="en-US"/>
              </w:rPr>
              <w:t>, et al. 2001</w:t>
            </w:r>
          </w:p>
        </w:tc>
      </w:tr>
      <w:tr w:rsidR="00DC2DB2" w:rsidRPr="00B63AB4" w14:paraId="6AD03F33" w14:textId="77777777" w:rsidTr="00EB4A43">
        <w:trPr>
          <w:trHeight w:val="315"/>
        </w:trPr>
        <w:tc>
          <w:tcPr>
            <w:tcW w:w="993" w:type="dxa"/>
            <w:noWrap/>
            <w:vAlign w:val="center"/>
            <w:hideMark/>
          </w:tcPr>
          <w:p w14:paraId="0D5C96D5"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34132DC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I102S</w:t>
            </w:r>
          </w:p>
        </w:tc>
        <w:tc>
          <w:tcPr>
            <w:tcW w:w="1146" w:type="dxa"/>
            <w:noWrap/>
            <w:vAlign w:val="center"/>
            <w:hideMark/>
          </w:tcPr>
          <w:p w14:paraId="5ED0720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7DB25F1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3EF7B1B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3F691C0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3E65505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Fam3 (figure)</w:t>
            </w:r>
          </w:p>
        </w:tc>
        <w:tc>
          <w:tcPr>
            <w:tcW w:w="850" w:type="dxa"/>
            <w:noWrap/>
            <w:vAlign w:val="center"/>
            <w:hideMark/>
          </w:tcPr>
          <w:p w14:paraId="4FC8405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50586966"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Dubern</w:t>
            </w:r>
            <w:proofErr w:type="spellEnd"/>
            <w:r w:rsidRPr="00B63AB4">
              <w:rPr>
                <w:sz w:val="20"/>
                <w:szCs w:val="20"/>
                <w:lang w:val="en-US"/>
              </w:rPr>
              <w:t>, et al. 2001</w:t>
            </w:r>
          </w:p>
        </w:tc>
      </w:tr>
      <w:tr w:rsidR="00DC2DB2" w:rsidRPr="00B63AB4" w14:paraId="224F57E4" w14:textId="77777777" w:rsidTr="00EB4A43">
        <w:trPr>
          <w:trHeight w:val="315"/>
        </w:trPr>
        <w:tc>
          <w:tcPr>
            <w:tcW w:w="993" w:type="dxa"/>
            <w:noWrap/>
            <w:vAlign w:val="center"/>
            <w:hideMark/>
          </w:tcPr>
          <w:p w14:paraId="52157CDD"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1D64158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I170V</w:t>
            </w:r>
          </w:p>
        </w:tc>
        <w:tc>
          <w:tcPr>
            <w:tcW w:w="1146" w:type="dxa"/>
            <w:noWrap/>
            <w:vAlign w:val="center"/>
            <w:hideMark/>
          </w:tcPr>
          <w:p w14:paraId="2399F34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641760A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6FE2FF4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7267BA6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1067E90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Fam4 (figure)</w:t>
            </w:r>
          </w:p>
        </w:tc>
        <w:tc>
          <w:tcPr>
            <w:tcW w:w="850" w:type="dxa"/>
            <w:noWrap/>
            <w:vAlign w:val="center"/>
            <w:hideMark/>
          </w:tcPr>
          <w:p w14:paraId="7D62732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44E863F4"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Dubern</w:t>
            </w:r>
            <w:proofErr w:type="spellEnd"/>
            <w:r w:rsidRPr="00B63AB4">
              <w:rPr>
                <w:sz w:val="20"/>
                <w:szCs w:val="20"/>
                <w:lang w:val="en-US"/>
              </w:rPr>
              <w:t>, et al. 2001</w:t>
            </w:r>
          </w:p>
        </w:tc>
      </w:tr>
      <w:tr w:rsidR="00DC2DB2" w:rsidRPr="00B95999" w14:paraId="457BD4E8" w14:textId="77777777" w:rsidTr="00EB4A43">
        <w:trPr>
          <w:trHeight w:val="315"/>
        </w:trPr>
        <w:tc>
          <w:tcPr>
            <w:tcW w:w="993" w:type="dxa"/>
            <w:noWrap/>
            <w:vAlign w:val="center"/>
            <w:hideMark/>
          </w:tcPr>
          <w:p w14:paraId="58EB8DE8"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5FAFF37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P48S</w:t>
            </w:r>
          </w:p>
        </w:tc>
        <w:tc>
          <w:tcPr>
            <w:tcW w:w="1146" w:type="dxa"/>
            <w:noWrap/>
            <w:vAlign w:val="center"/>
            <w:hideMark/>
          </w:tcPr>
          <w:p w14:paraId="7C1B210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37CFB1E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35E813E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2351495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0078153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Proband (figure2)</w:t>
            </w:r>
          </w:p>
        </w:tc>
        <w:tc>
          <w:tcPr>
            <w:tcW w:w="850" w:type="dxa"/>
            <w:noWrap/>
            <w:vAlign w:val="center"/>
            <w:hideMark/>
          </w:tcPr>
          <w:p w14:paraId="19D344D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59059040" w14:textId="77777777" w:rsidR="00DC2DB2" w:rsidRPr="004508F6" w:rsidRDefault="00DC2DB2" w:rsidP="00EB4A43">
            <w:pPr>
              <w:spacing w:before="100" w:beforeAutospacing="1" w:after="100" w:afterAutospacing="1"/>
              <w:jc w:val="center"/>
              <w:rPr>
                <w:sz w:val="20"/>
                <w:szCs w:val="20"/>
                <w:lang w:val="it-IT"/>
              </w:rPr>
            </w:pPr>
            <w:r w:rsidRPr="004508F6">
              <w:rPr>
                <w:sz w:val="20"/>
                <w:szCs w:val="20"/>
                <w:lang w:val="it-IT"/>
              </w:rPr>
              <w:t>Miraglia Del Giudice, et al. 2002</w:t>
            </w:r>
          </w:p>
        </w:tc>
      </w:tr>
      <w:tr w:rsidR="00DC2DB2" w:rsidRPr="00B95999" w14:paraId="1D42325D" w14:textId="77777777" w:rsidTr="00EB4A43">
        <w:trPr>
          <w:trHeight w:val="315"/>
        </w:trPr>
        <w:tc>
          <w:tcPr>
            <w:tcW w:w="993" w:type="dxa"/>
            <w:noWrap/>
            <w:vAlign w:val="center"/>
            <w:hideMark/>
          </w:tcPr>
          <w:p w14:paraId="3AA3AEC9"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34751B1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P48S</w:t>
            </w:r>
          </w:p>
        </w:tc>
        <w:tc>
          <w:tcPr>
            <w:tcW w:w="1146" w:type="dxa"/>
            <w:noWrap/>
            <w:vAlign w:val="center"/>
            <w:hideMark/>
          </w:tcPr>
          <w:p w14:paraId="0B9CA1B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12F5907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71B4505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2D7BFAE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0854E77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Father (figure2)</w:t>
            </w:r>
          </w:p>
        </w:tc>
        <w:tc>
          <w:tcPr>
            <w:tcW w:w="850" w:type="dxa"/>
            <w:noWrap/>
            <w:vAlign w:val="center"/>
            <w:hideMark/>
          </w:tcPr>
          <w:p w14:paraId="3C4012D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011EFFA6" w14:textId="77777777" w:rsidR="00DC2DB2" w:rsidRPr="004508F6" w:rsidRDefault="00DC2DB2" w:rsidP="00EB4A43">
            <w:pPr>
              <w:spacing w:before="100" w:beforeAutospacing="1" w:after="100" w:afterAutospacing="1"/>
              <w:jc w:val="center"/>
              <w:rPr>
                <w:sz w:val="20"/>
                <w:szCs w:val="20"/>
                <w:lang w:val="it-IT"/>
              </w:rPr>
            </w:pPr>
            <w:r w:rsidRPr="004508F6">
              <w:rPr>
                <w:sz w:val="20"/>
                <w:szCs w:val="20"/>
                <w:lang w:val="it-IT"/>
              </w:rPr>
              <w:t>Miraglia Del Giudice, et al. 2002</w:t>
            </w:r>
          </w:p>
        </w:tc>
      </w:tr>
      <w:tr w:rsidR="00DC2DB2" w:rsidRPr="00B95999" w14:paraId="2436CB7C" w14:textId="77777777" w:rsidTr="00EB4A43">
        <w:trPr>
          <w:trHeight w:val="315"/>
        </w:trPr>
        <w:tc>
          <w:tcPr>
            <w:tcW w:w="993" w:type="dxa"/>
            <w:noWrap/>
            <w:vAlign w:val="center"/>
            <w:hideMark/>
          </w:tcPr>
          <w:p w14:paraId="0F92CFF6"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0E40DBD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P48S</w:t>
            </w:r>
          </w:p>
        </w:tc>
        <w:tc>
          <w:tcPr>
            <w:tcW w:w="1146" w:type="dxa"/>
            <w:noWrap/>
            <w:vAlign w:val="center"/>
            <w:hideMark/>
          </w:tcPr>
          <w:p w14:paraId="693F4DB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3C945B6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228437C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455C4BD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00D7728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Cousin (figure2)</w:t>
            </w:r>
          </w:p>
        </w:tc>
        <w:tc>
          <w:tcPr>
            <w:tcW w:w="850" w:type="dxa"/>
            <w:noWrap/>
            <w:vAlign w:val="center"/>
            <w:hideMark/>
          </w:tcPr>
          <w:p w14:paraId="645211B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3B7F784C" w14:textId="77777777" w:rsidR="00DC2DB2" w:rsidRPr="004508F6" w:rsidRDefault="00DC2DB2" w:rsidP="00EB4A43">
            <w:pPr>
              <w:spacing w:before="100" w:beforeAutospacing="1" w:after="100" w:afterAutospacing="1"/>
              <w:jc w:val="center"/>
              <w:rPr>
                <w:sz w:val="20"/>
                <w:szCs w:val="20"/>
                <w:lang w:val="it-IT"/>
              </w:rPr>
            </w:pPr>
            <w:r w:rsidRPr="004508F6">
              <w:rPr>
                <w:sz w:val="20"/>
                <w:szCs w:val="20"/>
                <w:lang w:val="it-IT"/>
              </w:rPr>
              <w:t>Miraglia Del Giudice, et al. 2002</w:t>
            </w:r>
          </w:p>
        </w:tc>
      </w:tr>
      <w:tr w:rsidR="00DC2DB2" w:rsidRPr="00B95999" w14:paraId="21739C9F" w14:textId="77777777" w:rsidTr="00EB4A43">
        <w:trPr>
          <w:trHeight w:val="315"/>
        </w:trPr>
        <w:tc>
          <w:tcPr>
            <w:tcW w:w="993" w:type="dxa"/>
            <w:noWrap/>
            <w:vAlign w:val="center"/>
            <w:hideMark/>
          </w:tcPr>
          <w:p w14:paraId="65291FA6"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75B007B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P48S</w:t>
            </w:r>
          </w:p>
        </w:tc>
        <w:tc>
          <w:tcPr>
            <w:tcW w:w="1146" w:type="dxa"/>
            <w:noWrap/>
            <w:vAlign w:val="center"/>
            <w:hideMark/>
          </w:tcPr>
          <w:p w14:paraId="7D2493E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7F49F29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52EC21D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47DBC5C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553EF00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Uncle (figure2)</w:t>
            </w:r>
          </w:p>
        </w:tc>
        <w:tc>
          <w:tcPr>
            <w:tcW w:w="850" w:type="dxa"/>
            <w:noWrap/>
            <w:vAlign w:val="center"/>
            <w:hideMark/>
          </w:tcPr>
          <w:p w14:paraId="6A8B381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79F40513" w14:textId="77777777" w:rsidR="00DC2DB2" w:rsidRPr="004508F6" w:rsidRDefault="00DC2DB2" w:rsidP="00EB4A43">
            <w:pPr>
              <w:spacing w:before="100" w:beforeAutospacing="1" w:after="100" w:afterAutospacing="1"/>
              <w:jc w:val="center"/>
              <w:rPr>
                <w:sz w:val="20"/>
                <w:szCs w:val="20"/>
                <w:lang w:val="it-IT"/>
              </w:rPr>
            </w:pPr>
            <w:r w:rsidRPr="004508F6">
              <w:rPr>
                <w:sz w:val="20"/>
                <w:szCs w:val="20"/>
                <w:lang w:val="it-IT"/>
              </w:rPr>
              <w:t>Miraglia Del Giudice, et al. 2002</w:t>
            </w:r>
          </w:p>
        </w:tc>
      </w:tr>
      <w:tr w:rsidR="00DC2DB2" w:rsidRPr="00B63AB4" w14:paraId="6740C7F0" w14:textId="77777777" w:rsidTr="00EB4A43">
        <w:trPr>
          <w:trHeight w:val="315"/>
        </w:trPr>
        <w:tc>
          <w:tcPr>
            <w:tcW w:w="993" w:type="dxa"/>
            <w:noWrap/>
            <w:vAlign w:val="center"/>
            <w:hideMark/>
          </w:tcPr>
          <w:p w14:paraId="6B4C36D5"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65E0769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S127L</w:t>
            </w:r>
          </w:p>
        </w:tc>
        <w:tc>
          <w:tcPr>
            <w:tcW w:w="1146" w:type="dxa"/>
            <w:noWrap/>
            <w:vAlign w:val="center"/>
            <w:hideMark/>
          </w:tcPr>
          <w:p w14:paraId="6F33ABA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2C4DAD4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3AFCE42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12C91C2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SO</w:t>
            </w:r>
          </w:p>
        </w:tc>
        <w:tc>
          <w:tcPr>
            <w:tcW w:w="2552" w:type="dxa"/>
            <w:gridSpan w:val="2"/>
            <w:noWrap/>
            <w:vAlign w:val="center"/>
            <w:hideMark/>
          </w:tcPr>
          <w:p w14:paraId="4849232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Fam1 (figure2A)</w:t>
            </w:r>
          </w:p>
        </w:tc>
        <w:tc>
          <w:tcPr>
            <w:tcW w:w="850" w:type="dxa"/>
            <w:noWrap/>
            <w:vAlign w:val="center"/>
            <w:hideMark/>
          </w:tcPr>
          <w:p w14:paraId="38D5C6F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7C3DBB20"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Lubrano-Berthelier</w:t>
            </w:r>
            <w:proofErr w:type="spellEnd"/>
            <w:r w:rsidRPr="00B63AB4">
              <w:rPr>
                <w:sz w:val="20"/>
                <w:szCs w:val="20"/>
                <w:lang w:val="en-US"/>
              </w:rPr>
              <w:t>, et al. 2003</w:t>
            </w:r>
          </w:p>
        </w:tc>
      </w:tr>
      <w:tr w:rsidR="00DC2DB2" w:rsidRPr="00B63AB4" w14:paraId="353898D1" w14:textId="77777777" w:rsidTr="00EB4A43">
        <w:trPr>
          <w:trHeight w:val="315"/>
        </w:trPr>
        <w:tc>
          <w:tcPr>
            <w:tcW w:w="993" w:type="dxa"/>
            <w:noWrap/>
            <w:vAlign w:val="center"/>
            <w:hideMark/>
          </w:tcPr>
          <w:p w14:paraId="3B433235"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1BE9E3F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S127L</w:t>
            </w:r>
          </w:p>
        </w:tc>
        <w:tc>
          <w:tcPr>
            <w:tcW w:w="1146" w:type="dxa"/>
            <w:noWrap/>
            <w:vAlign w:val="center"/>
            <w:hideMark/>
          </w:tcPr>
          <w:p w14:paraId="76DA290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2A63FBC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58BE06A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0D1167C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6FC7A2A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Fam1m (figure2A)</w:t>
            </w:r>
          </w:p>
        </w:tc>
        <w:tc>
          <w:tcPr>
            <w:tcW w:w="850" w:type="dxa"/>
            <w:noWrap/>
            <w:vAlign w:val="center"/>
            <w:hideMark/>
          </w:tcPr>
          <w:p w14:paraId="58B7943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15BE00FD"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Lubrano-Berthelier</w:t>
            </w:r>
            <w:proofErr w:type="spellEnd"/>
            <w:r w:rsidRPr="00B63AB4">
              <w:rPr>
                <w:sz w:val="20"/>
                <w:szCs w:val="20"/>
                <w:lang w:val="en-US"/>
              </w:rPr>
              <w:t>, et al. 2003</w:t>
            </w:r>
          </w:p>
        </w:tc>
      </w:tr>
      <w:tr w:rsidR="00DC2DB2" w:rsidRPr="00B63AB4" w14:paraId="4211DD35" w14:textId="77777777" w:rsidTr="00EB4A43">
        <w:trPr>
          <w:trHeight w:val="315"/>
        </w:trPr>
        <w:tc>
          <w:tcPr>
            <w:tcW w:w="993" w:type="dxa"/>
            <w:noWrap/>
            <w:vAlign w:val="center"/>
            <w:hideMark/>
          </w:tcPr>
          <w:p w14:paraId="574B5886"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008FFB4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A244E</w:t>
            </w:r>
          </w:p>
        </w:tc>
        <w:tc>
          <w:tcPr>
            <w:tcW w:w="1146" w:type="dxa"/>
            <w:noWrap/>
            <w:vAlign w:val="center"/>
            <w:hideMark/>
          </w:tcPr>
          <w:p w14:paraId="2EA78A2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6C6C500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124677D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347149C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79273D3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Fam2 (figure2B)</w:t>
            </w:r>
          </w:p>
        </w:tc>
        <w:tc>
          <w:tcPr>
            <w:tcW w:w="850" w:type="dxa"/>
            <w:noWrap/>
            <w:vAlign w:val="center"/>
            <w:hideMark/>
          </w:tcPr>
          <w:p w14:paraId="71653BF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53BAD889"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Lubrano-Berthelier</w:t>
            </w:r>
            <w:proofErr w:type="spellEnd"/>
            <w:r w:rsidRPr="00B63AB4">
              <w:rPr>
                <w:sz w:val="20"/>
                <w:szCs w:val="20"/>
                <w:lang w:val="en-US"/>
              </w:rPr>
              <w:t>, et al. 2003</w:t>
            </w:r>
          </w:p>
        </w:tc>
      </w:tr>
      <w:tr w:rsidR="00DC2DB2" w:rsidRPr="00B63AB4" w14:paraId="79C5501D" w14:textId="77777777" w:rsidTr="00EB4A43">
        <w:trPr>
          <w:trHeight w:val="315"/>
        </w:trPr>
        <w:tc>
          <w:tcPr>
            <w:tcW w:w="993" w:type="dxa"/>
            <w:noWrap/>
            <w:vAlign w:val="center"/>
            <w:hideMark/>
          </w:tcPr>
          <w:p w14:paraId="42600123"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78186F1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P299H</w:t>
            </w:r>
          </w:p>
        </w:tc>
        <w:tc>
          <w:tcPr>
            <w:tcW w:w="1146" w:type="dxa"/>
            <w:noWrap/>
            <w:vAlign w:val="center"/>
            <w:hideMark/>
          </w:tcPr>
          <w:p w14:paraId="5C6B656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1F1D1CC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3AE585F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12500FE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247E978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Fam3a (figure2C)</w:t>
            </w:r>
          </w:p>
        </w:tc>
        <w:tc>
          <w:tcPr>
            <w:tcW w:w="850" w:type="dxa"/>
            <w:noWrap/>
            <w:vAlign w:val="center"/>
            <w:hideMark/>
          </w:tcPr>
          <w:p w14:paraId="278755D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0DF48CAC"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Lubrano-Berthelier</w:t>
            </w:r>
            <w:proofErr w:type="spellEnd"/>
            <w:r w:rsidRPr="00B63AB4">
              <w:rPr>
                <w:sz w:val="20"/>
                <w:szCs w:val="20"/>
                <w:lang w:val="en-US"/>
              </w:rPr>
              <w:t>, et al. 2003</w:t>
            </w:r>
          </w:p>
        </w:tc>
      </w:tr>
      <w:tr w:rsidR="00DC2DB2" w:rsidRPr="00B63AB4" w14:paraId="07C07092" w14:textId="77777777" w:rsidTr="00EB4A43">
        <w:trPr>
          <w:trHeight w:val="315"/>
        </w:trPr>
        <w:tc>
          <w:tcPr>
            <w:tcW w:w="993" w:type="dxa"/>
            <w:noWrap/>
            <w:vAlign w:val="center"/>
            <w:hideMark/>
          </w:tcPr>
          <w:p w14:paraId="219F5A21"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7951658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P299H</w:t>
            </w:r>
          </w:p>
        </w:tc>
        <w:tc>
          <w:tcPr>
            <w:tcW w:w="1146" w:type="dxa"/>
            <w:noWrap/>
            <w:vAlign w:val="center"/>
            <w:hideMark/>
          </w:tcPr>
          <w:p w14:paraId="42B1A99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34C3D7E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583E8EC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72F8950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457914F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Fam3b (figure2C)</w:t>
            </w:r>
          </w:p>
        </w:tc>
        <w:tc>
          <w:tcPr>
            <w:tcW w:w="850" w:type="dxa"/>
            <w:noWrap/>
            <w:vAlign w:val="center"/>
            <w:hideMark/>
          </w:tcPr>
          <w:p w14:paraId="51270EA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62699686"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Lubrano-Berthelier</w:t>
            </w:r>
            <w:proofErr w:type="spellEnd"/>
            <w:r w:rsidRPr="00B63AB4">
              <w:rPr>
                <w:sz w:val="20"/>
                <w:szCs w:val="20"/>
                <w:lang w:val="en-US"/>
              </w:rPr>
              <w:t>, et al. 2003</w:t>
            </w:r>
          </w:p>
        </w:tc>
      </w:tr>
      <w:tr w:rsidR="00DC2DB2" w:rsidRPr="00B63AB4" w14:paraId="436E7FB8" w14:textId="77777777" w:rsidTr="00EB4A43">
        <w:trPr>
          <w:trHeight w:val="315"/>
        </w:trPr>
        <w:tc>
          <w:tcPr>
            <w:tcW w:w="993" w:type="dxa"/>
            <w:noWrap/>
            <w:vAlign w:val="center"/>
            <w:hideMark/>
          </w:tcPr>
          <w:p w14:paraId="7CAB3500"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4F1D486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W16X</w:t>
            </w:r>
          </w:p>
        </w:tc>
        <w:tc>
          <w:tcPr>
            <w:tcW w:w="1146" w:type="dxa"/>
            <w:noWrap/>
            <w:vAlign w:val="center"/>
            <w:hideMark/>
          </w:tcPr>
          <w:p w14:paraId="316F2D3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Nonsense</w:t>
            </w:r>
          </w:p>
        </w:tc>
        <w:tc>
          <w:tcPr>
            <w:tcW w:w="1358" w:type="dxa"/>
            <w:noWrap/>
            <w:vAlign w:val="center"/>
            <w:hideMark/>
          </w:tcPr>
          <w:p w14:paraId="1126B81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15709EF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1C8F89C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49A5708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Fam1 (figure1A)</w:t>
            </w:r>
          </w:p>
        </w:tc>
        <w:tc>
          <w:tcPr>
            <w:tcW w:w="850" w:type="dxa"/>
            <w:noWrap/>
            <w:vAlign w:val="center"/>
            <w:hideMark/>
          </w:tcPr>
          <w:p w14:paraId="6ADAF80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6D6B2B7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Marti, et al. 2003</w:t>
            </w:r>
          </w:p>
        </w:tc>
      </w:tr>
      <w:tr w:rsidR="00DC2DB2" w:rsidRPr="00B63AB4" w14:paraId="61F48769" w14:textId="77777777" w:rsidTr="00EB4A43">
        <w:trPr>
          <w:trHeight w:val="315"/>
        </w:trPr>
        <w:tc>
          <w:tcPr>
            <w:tcW w:w="993" w:type="dxa"/>
            <w:noWrap/>
            <w:vAlign w:val="center"/>
            <w:hideMark/>
          </w:tcPr>
          <w:p w14:paraId="01267E74"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3CCDDBF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112fs (</w:t>
            </w:r>
            <w:proofErr w:type="spellStart"/>
            <w:r w:rsidRPr="00B63AB4">
              <w:rPr>
                <w:sz w:val="20"/>
                <w:szCs w:val="20"/>
                <w:lang w:val="en-US"/>
              </w:rPr>
              <w:t>Ains</w:t>
            </w:r>
            <w:proofErr w:type="spellEnd"/>
            <w:r w:rsidRPr="00B63AB4">
              <w:rPr>
                <w:sz w:val="20"/>
                <w:szCs w:val="20"/>
                <w:lang w:val="en-US"/>
              </w:rPr>
              <w:t>)</w:t>
            </w:r>
          </w:p>
        </w:tc>
        <w:tc>
          <w:tcPr>
            <w:tcW w:w="1146" w:type="dxa"/>
            <w:noWrap/>
            <w:vAlign w:val="center"/>
            <w:hideMark/>
          </w:tcPr>
          <w:p w14:paraId="407D6D6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Frameshift</w:t>
            </w:r>
          </w:p>
        </w:tc>
        <w:tc>
          <w:tcPr>
            <w:tcW w:w="1358" w:type="dxa"/>
            <w:noWrap/>
            <w:vAlign w:val="center"/>
            <w:hideMark/>
          </w:tcPr>
          <w:p w14:paraId="26DBBED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573552E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33BAAAC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EOO</w:t>
            </w:r>
          </w:p>
        </w:tc>
        <w:tc>
          <w:tcPr>
            <w:tcW w:w="2552" w:type="dxa"/>
            <w:gridSpan w:val="2"/>
            <w:noWrap/>
            <w:vAlign w:val="center"/>
            <w:hideMark/>
          </w:tcPr>
          <w:p w14:paraId="1B378BD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Fam1 (figure2A)</w:t>
            </w:r>
          </w:p>
        </w:tc>
        <w:tc>
          <w:tcPr>
            <w:tcW w:w="850" w:type="dxa"/>
            <w:noWrap/>
            <w:vAlign w:val="center"/>
            <w:hideMark/>
          </w:tcPr>
          <w:p w14:paraId="3CFC52E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370550A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Farooqi, et al. 2003</w:t>
            </w:r>
          </w:p>
        </w:tc>
      </w:tr>
      <w:tr w:rsidR="00DC2DB2" w:rsidRPr="00B63AB4" w14:paraId="03323D74" w14:textId="77777777" w:rsidTr="00EB4A43">
        <w:trPr>
          <w:trHeight w:val="315"/>
        </w:trPr>
        <w:tc>
          <w:tcPr>
            <w:tcW w:w="993" w:type="dxa"/>
            <w:noWrap/>
            <w:vAlign w:val="center"/>
            <w:hideMark/>
          </w:tcPr>
          <w:p w14:paraId="7CFBB86F"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lastRenderedPageBreak/>
              <w:t>MC4R</w:t>
            </w:r>
          </w:p>
        </w:tc>
        <w:tc>
          <w:tcPr>
            <w:tcW w:w="1465" w:type="dxa"/>
            <w:noWrap/>
            <w:vAlign w:val="center"/>
            <w:hideMark/>
          </w:tcPr>
          <w:p w14:paraId="5FDF6CB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112fs (</w:t>
            </w:r>
            <w:proofErr w:type="spellStart"/>
            <w:r w:rsidRPr="00B63AB4">
              <w:rPr>
                <w:sz w:val="20"/>
                <w:szCs w:val="20"/>
                <w:lang w:val="en-US"/>
              </w:rPr>
              <w:t>Ains</w:t>
            </w:r>
            <w:proofErr w:type="spellEnd"/>
            <w:r w:rsidRPr="00B63AB4">
              <w:rPr>
                <w:sz w:val="20"/>
                <w:szCs w:val="20"/>
                <w:lang w:val="en-US"/>
              </w:rPr>
              <w:t>)</w:t>
            </w:r>
          </w:p>
        </w:tc>
        <w:tc>
          <w:tcPr>
            <w:tcW w:w="1146" w:type="dxa"/>
            <w:noWrap/>
            <w:vAlign w:val="center"/>
            <w:hideMark/>
          </w:tcPr>
          <w:p w14:paraId="195B769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Frameshift</w:t>
            </w:r>
          </w:p>
        </w:tc>
        <w:tc>
          <w:tcPr>
            <w:tcW w:w="1358" w:type="dxa"/>
            <w:noWrap/>
            <w:vAlign w:val="center"/>
            <w:hideMark/>
          </w:tcPr>
          <w:p w14:paraId="64E12FD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2DF5DCD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4C252C3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EOO</w:t>
            </w:r>
          </w:p>
        </w:tc>
        <w:tc>
          <w:tcPr>
            <w:tcW w:w="2552" w:type="dxa"/>
            <w:gridSpan w:val="2"/>
            <w:noWrap/>
            <w:vAlign w:val="center"/>
            <w:hideMark/>
          </w:tcPr>
          <w:p w14:paraId="491E489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Fam1-sister (figure2A)</w:t>
            </w:r>
          </w:p>
        </w:tc>
        <w:tc>
          <w:tcPr>
            <w:tcW w:w="850" w:type="dxa"/>
            <w:noWrap/>
            <w:vAlign w:val="center"/>
            <w:hideMark/>
          </w:tcPr>
          <w:p w14:paraId="29D2D5E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186559C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Farooqi, et al. 2003</w:t>
            </w:r>
          </w:p>
        </w:tc>
      </w:tr>
      <w:tr w:rsidR="00DC2DB2" w:rsidRPr="00B63AB4" w14:paraId="65AC491E" w14:textId="77777777" w:rsidTr="00EB4A43">
        <w:trPr>
          <w:trHeight w:val="315"/>
        </w:trPr>
        <w:tc>
          <w:tcPr>
            <w:tcW w:w="993" w:type="dxa"/>
            <w:noWrap/>
            <w:vAlign w:val="center"/>
            <w:hideMark/>
          </w:tcPr>
          <w:p w14:paraId="396C3EEB"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08B6848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L211fs (</w:t>
            </w:r>
            <w:proofErr w:type="spellStart"/>
            <w:r w:rsidRPr="00B63AB4">
              <w:rPr>
                <w:sz w:val="20"/>
                <w:szCs w:val="20"/>
                <w:lang w:val="en-US"/>
              </w:rPr>
              <w:t>CTCTdel</w:t>
            </w:r>
            <w:proofErr w:type="spellEnd"/>
            <w:r w:rsidRPr="00B63AB4">
              <w:rPr>
                <w:sz w:val="20"/>
                <w:szCs w:val="20"/>
                <w:lang w:val="en-US"/>
              </w:rPr>
              <w:t>)</w:t>
            </w:r>
          </w:p>
        </w:tc>
        <w:tc>
          <w:tcPr>
            <w:tcW w:w="1146" w:type="dxa"/>
            <w:noWrap/>
            <w:vAlign w:val="center"/>
            <w:hideMark/>
          </w:tcPr>
          <w:p w14:paraId="5D081B7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Frameshift</w:t>
            </w:r>
          </w:p>
        </w:tc>
        <w:tc>
          <w:tcPr>
            <w:tcW w:w="1358" w:type="dxa"/>
            <w:noWrap/>
            <w:vAlign w:val="center"/>
            <w:hideMark/>
          </w:tcPr>
          <w:p w14:paraId="1B139DC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5A99599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480F2F2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EOO</w:t>
            </w:r>
          </w:p>
        </w:tc>
        <w:tc>
          <w:tcPr>
            <w:tcW w:w="2552" w:type="dxa"/>
            <w:gridSpan w:val="2"/>
            <w:noWrap/>
            <w:vAlign w:val="center"/>
            <w:hideMark/>
          </w:tcPr>
          <w:p w14:paraId="0990CC9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Fam2 (figure2A)</w:t>
            </w:r>
          </w:p>
        </w:tc>
        <w:tc>
          <w:tcPr>
            <w:tcW w:w="850" w:type="dxa"/>
            <w:noWrap/>
            <w:vAlign w:val="center"/>
            <w:hideMark/>
          </w:tcPr>
          <w:p w14:paraId="1305025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42377C6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Farooqi, et al. 2003</w:t>
            </w:r>
          </w:p>
        </w:tc>
      </w:tr>
      <w:tr w:rsidR="00DC2DB2" w:rsidRPr="00B63AB4" w14:paraId="7D2C72AB" w14:textId="77777777" w:rsidTr="00EB4A43">
        <w:trPr>
          <w:trHeight w:val="315"/>
        </w:trPr>
        <w:tc>
          <w:tcPr>
            <w:tcW w:w="993" w:type="dxa"/>
            <w:noWrap/>
            <w:vAlign w:val="center"/>
            <w:hideMark/>
          </w:tcPr>
          <w:p w14:paraId="1D7DEB9A"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02C4356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C279fs (</w:t>
            </w:r>
            <w:proofErr w:type="spellStart"/>
            <w:r w:rsidRPr="00B63AB4">
              <w:rPr>
                <w:sz w:val="20"/>
                <w:szCs w:val="20"/>
                <w:lang w:val="en-US"/>
              </w:rPr>
              <w:t>GTins</w:t>
            </w:r>
            <w:proofErr w:type="spellEnd"/>
            <w:r w:rsidRPr="00B63AB4">
              <w:rPr>
                <w:sz w:val="20"/>
                <w:szCs w:val="20"/>
                <w:lang w:val="en-US"/>
              </w:rPr>
              <w:t>)</w:t>
            </w:r>
          </w:p>
        </w:tc>
        <w:tc>
          <w:tcPr>
            <w:tcW w:w="1146" w:type="dxa"/>
            <w:noWrap/>
            <w:vAlign w:val="center"/>
            <w:hideMark/>
          </w:tcPr>
          <w:p w14:paraId="3C41B50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Frameshift</w:t>
            </w:r>
          </w:p>
        </w:tc>
        <w:tc>
          <w:tcPr>
            <w:tcW w:w="1358" w:type="dxa"/>
            <w:noWrap/>
            <w:vAlign w:val="center"/>
            <w:hideMark/>
          </w:tcPr>
          <w:p w14:paraId="3FCB2DC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70A91B4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2287DAF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EOO</w:t>
            </w:r>
          </w:p>
        </w:tc>
        <w:tc>
          <w:tcPr>
            <w:tcW w:w="2552" w:type="dxa"/>
            <w:gridSpan w:val="2"/>
            <w:noWrap/>
            <w:vAlign w:val="center"/>
            <w:hideMark/>
          </w:tcPr>
          <w:p w14:paraId="50E818D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Fam3 (figure2A)</w:t>
            </w:r>
          </w:p>
        </w:tc>
        <w:tc>
          <w:tcPr>
            <w:tcW w:w="850" w:type="dxa"/>
            <w:noWrap/>
            <w:vAlign w:val="center"/>
            <w:hideMark/>
          </w:tcPr>
          <w:p w14:paraId="730E95A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1190DAF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Farooqi, et al. 2003</w:t>
            </w:r>
          </w:p>
        </w:tc>
      </w:tr>
      <w:tr w:rsidR="00DC2DB2" w:rsidRPr="00B63AB4" w14:paraId="709438DB" w14:textId="77777777" w:rsidTr="00EB4A43">
        <w:trPr>
          <w:trHeight w:val="315"/>
        </w:trPr>
        <w:tc>
          <w:tcPr>
            <w:tcW w:w="993" w:type="dxa"/>
            <w:noWrap/>
            <w:vAlign w:val="center"/>
            <w:hideMark/>
          </w:tcPr>
          <w:p w14:paraId="2D37F485"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56AC697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C279fs (</w:t>
            </w:r>
            <w:proofErr w:type="spellStart"/>
            <w:r w:rsidRPr="00B63AB4">
              <w:rPr>
                <w:sz w:val="20"/>
                <w:szCs w:val="20"/>
                <w:lang w:val="en-US"/>
              </w:rPr>
              <w:t>GTins</w:t>
            </w:r>
            <w:proofErr w:type="spellEnd"/>
            <w:r w:rsidRPr="00B63AB4">
              <w:rPr>
                <w:sz w:val="20"/>
                <w:szCs w:val="20"/>
                <w:lang w:val="en-US"/>
              </w:rPr>
              <w:t>)</w:t>
            </w:r>
          </w:p>
        </w:tc>
        <w:tc>
          <w:tcPr>
            <w:tcW w:w="1146" w:type="dxa"/>
            <w:noWrap/>
            <w:vAlign w:val="center"/>
            <w:hideMark/>
          </w:tcPr>
          <w:p w14:paraId="2F5690D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Frameshift</w:t>
            </w:r>
          </w:p>
        </w:tc>
        <w:tc>
          <w:tcPr>
            <w:tcW w:w="1358" w:type="dxa"/>
            <w:noWrap/>
            <w:vAlign w:val="center"/>
            <w:hideMark/>
          </w:tcPr>
          <w:p w14:paraId="27001C3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4A47511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2CFE6A1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EOO</w:t>
            </w:r>
          </w:p>
        </w:tc>
        <w:tc>
          <w:tcPr>
            <w:tcW w:w="2552" w:type="dxa"/>
            <w:gridSpan w:val="2"/>
            <w:noWrap/>
            <w:vAlign w:val="center"/>
            <w:hideMark/>
          </w:tcPr>
          <w:p w14:paraId="37380D6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Fam4 (figure2A)</w:t>
            </w:r>
          </w:p>
        </w:tc>
        <w:tc>
          <w:tcPr>
            <w:tcW w:w="850" w:type="dxa"/>
            <w:noWrap/>
            <w:vAlign w:val="center"/>
            <w:hideMark/>
          </w:tcPr>
          <w:p w14:paraId="7C67129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1941137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Farooqi, et al. 2003</w:t>
            </w:r>
          </w:p>
        </w:tc>
      </w:tr>
      <w:tr w:rsidR="00DC2DB2" w:rsidRPr="00B63AB4" w14:paraId="59413574" w14:textId="77777777" w:rsidTr="00EB4A43">
        <w:trPr>
          <w:trHeight w:val="315"/>
        </w:trPr>
        <w:tc>
          <w:tcPr>
            <w:tcW w:w="993" w:type="dxa"/>
            <w:noWrap/>
            <w:vAlign w:val="center"/>
            <w:hideMark/>
          </w:tcPr>
          <w:p w14:paraId="01562319"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608D1B2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I125K</w:t>
            </w:r>
          </w:p>
        </w:tc>
        <w:tc>
          <w:tcPr>
            <w:tcW w:w="1146" w:type="dxa"/>
            <w:noWrap/>
            <w:vAlign w:val="center"/>
            <w:hideMark/>
          </w:tcPr>
          <w:p w14:paraId="20583D7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743A619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7EBF68A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101F87F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EOO</w:t>
            </w:r>
          </w:p>
        </w:tc>
        <w:tc>
          <w:tcPr>
            <w:tcW w:w="2552" w:type="dxa"/>
            <w:gridSpan w:val="2"/>
            <w:noWrap/>
            <w:vAlign w:val="center"/>
            <w:hideMark/>
          </w:tcPr>
          <w:p w14:paraId="24AF135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Fam5 (figure2A)</w:t>
            </w:r>
          </w:p>
        </w:tc>
        <w:tc>
          <w:tcPr>
            <w:tcW w:w="850" w:type="dxa"/>
            <w:noWrap/>
            <w:vAlign w:val="center"/>
            <w:hideMark/>
          </w:tcPr>
          <w:p w14:paraId="6B852AC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6EC6BCA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Farooqi, et al. 2003</w:t>
            </w:r>
          </w:p>
        </w:tc>
      </w:tr>
      <w:tr w:rsidR="00DC2DB2" w:rsidRPr="00B63AB4" w14:paraId="5D16C4C1" w14:textId="77777777" w:rsidTr="00EB4A43">
        <w:trPr>
          <w:trHeight w:val="315"/>
        </w:trPr>
        <w:tc>
          <w:tcPr>
            <w:tcW w:w="993" w:type="dxa"/>
            <w:noWrap/>
            <w:vAlign w:val="center"/>
            <w:hideMark/>
          </w:tcPr>
          <w:p w14:paraId="35AC7FAE"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35AAF63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I125K</w:t>
            </w:r>
          </w:p>
        </w:tc>
        <w:tc>
          <w:tcPr>
            <w:tcW w:w="1146" w:type="dxa"/>
            <w:noWrap/>
            <w:vAlign w:val="center"/>
            <w:hideMark/>
          </w:tcPr>
          <w:p w14:paraId="7AB3E10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61CC0BC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6BED9DE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15CF660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EOO</w:t>
            </w:r>
          </w:p>
        </w:tc>
        <w:tc>
          <w:tcPr>
            <w:tcW w:w="2552" w:type="dxa"/>
            <w:gridSpan w:val="2"/>
            <w:noWrap/>
            <w:vAlign w:val="center"/>
            <w:hideMark/>
          </w:tcPr>
          <w:p w14:paraId="5089327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Fam6 (figure2A)</w:t>
            </w:r>
          </w:p>
        </w:tc>
        <w:tc>
          <w:tcPr>
            <w:tcW w:w="850" w:type="dxa"/>
            <w:noWrap/>
            <w:vAlign w:val="center"/>
            <w:hideMark/>
          </w:tcPr>
          <w:p w14:paraId="3A61F3F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5AD94AC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Farooqi, et al. 2003</w:t>
            </w:r>
          </w:p>
        </w:tc>
      </w:tr>
      <w:tr w:rsidR="00DC2DB2" w:rsidRPr="00B63AB4" w14:paraId="47365242" w14:textId="77777777" w:rsidTr="00EB4A43">
        <w:trPr>
          <w:trHeight w:val="315"/>
        </w:trPr>
        <w:tc>
          <w:tcPr>
            <w:tcW w:w="993" w:type="dxa"/>
            <w:noWrap/>
            <w:vAlign w:val="center"/>
            <w:hideMark/>
          </w:tcPr>
          <w:p w14:paraId="4D8701BF"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4F5AC9D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C271Y</w:t>
            </w:r>
          </w:p>
        </w:tc>
        <w:tc>
          <w:tcPr>
            <w:tcW w:w="1146" w:type="dxa"/>
            <w:noWrap/>
            <w:vAlign w:val="center"/>
            <w:hideMark/>
          </w:tcPr>
          <w:p w14:paraId="68FEF61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1833527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03EF094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0443BA2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EOO</w:t>
            </w:r>
          </w:p>
        </w:tc>
        <w:tc>
          <w:tcPr>
            <w:tcW w:w="2552" w:type="dxa"/>
            <w:gridSpan w:val="2"/>
            <w:noWrap/>
            <w:vAlign w:val="center"/>
            <w:hideMark/>
          </w:tcPr>
          <w:p w14:paraId="3549C12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Fam7 (figure2A)</w:t>
            </w:r>
          </w:p>
        </w:tc>
        <w:tc>
          <w:tcPr>
            <w:tcW w:w="850" w:type="dxa"/>
            <w:noWrap/>
            <w:vAlign w:val="center"/>
            <w:hideMark/>
          </w:tcPr>
          <w:p w14:paraId="69833A6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6A6531D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Farooqi, et al. 2003</w:t>
            </w:r>
          </w:p>
        </w:tc>
      </w:tr>
      <w:tr w:rsidR="00DC2DB2" w:rsidRPr="00B63AB4" w14:paraId="2A01F097" w14:textId="77777777" w:rsidTr="00EB4A43">
        <w:trPr>
          <w:trHeight w:val="315"/>
        </w:trPr>
        <w:tc>
          <w:tcPr>
            <w:tcW w:w="993" w:type="dxa"/>
            <w:noWrap/>
            <w:vAlign w:val="center"/>
            <w:hideMark/>
          </w:tcPr>
          <w:p w14:paraId="09FE948F"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0695D89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C271Y</w:t>
            </w:r>
          </w:p>
        </w:tc>
        <w:tc>
          <w:tcPr>
            <w:tcW w:w="1146" w:type="dxa"/>
            <w:noWrap/>
            <w:vAlign w:val="center"/>
            <w:hideMark/>
          </w:tcPr>
          <w:p w14:paraId="3DA3CE6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50316D2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13354C0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7EB39B9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EOO</w:t>
            </w:r>
          </w:p>
        </w:tc>
        <w:tc>
          <w:tcPr>
            <w:tcW w:w="2552" w:type="dxa"/>
            <w:gridSpan w:val="2"/>
            <w:noWrap/>
            <w:vAlign w:val="center"/>
            <w:hideMark/>
          </w:tcPr>
          <w:p w14:paraId="4B64B5E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Fam7-cousin1 (figure2A)</w:t>
            </w:r>
          </w:p>
        </w:tc>
        <w:tc>
          <w:tcPr>
            <w:tcW w:w="850" w:type="dxa"/>
            <w:noWrap/>
            <w:vAlign w:val="center"/>
            <w:hideMark/>
          </w:tcPr>
          <w:p w14:paraId="71A3A58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2E13005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Farooqi, et al. 2003</w:t>
            </w:r>
          </w:p>
        </w:tc>
      </w:tr>
      <w:tr w:rsidR="00DC2DB2" w:rsidRPr="00B63AB4" w14:paraId="37BB5574" w14:textId="77777777" w:rsidTr="00EB4A43">
        <w:trPr>
          <w:trHeight w:val="315"/>
        </w:trPr>
        <w:tc>
          <w:tcPr>
            <w:tcW w:w="993" w:type="dxa"/>
            <w:noWrap/>
            <w:vAlign w:val="center"/>
            <w:hideMark/>
          </w:tcPr>
          <w:p w14:paraId="27778D8D"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307E12A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C271Y</w:t>
            </w:r>
          </w:p>
        </w:tc>
        <w:tc>
          <w:tcPr>
            <w:tcW w:w="1146" w:type="dxa"/>
            <w:noWrap/>
            <w:vAlign w:val="center"/>
            <w:hideMark/>
          </w:tcPr>
          <w:p w14:paraId="6F9E152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1E9EC23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4B8D058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7C1AE90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EOO</w:t>
            </w:r>
          </w:p>
        </w:tc>
        <w:tc>
          <w:tcPr>
            <w:tcW w:w="2552" w:type="dxa"/>
            <w:gridSpan w:val="2"/>
            <w:noWrap/>
            <w:vAlign w:val="center"/>
            <w:hideMark/>
          </w:tcPr>
          <w:p w14:paraId="2F6BC17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Fam7-cousin2 (figure2A)</w:t>
            </w:r>
          </w:p>
        </w:tc>
        <w:tc>
          <w:tcPr>
            <w:tcW w:w="850" w:type="dxa"/>
            <w:noWrap/>
            <w:vAlign w:val="center"/>
            <w:hideMark/>
          </w:tcPr>
          <w:p w14:paraId="53E8A93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1FAFD64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Farooqi, et al. 2003</w:t>
            </w:r>
          </w:p>
        </w:tc>
      </w:tr>
      <w:tr w:rsidR="00DC2DB2" w:rsidRPr="00B63AB4" w14:paraId="3376736A" w14:textId="77777777" w:rsidTr="00EB4A43">
        <w:trPr>
          <w:trHeight w:val="315"/>
        </w:trPr>
        <w:tc>
          <w:tcPr>
            <w:tcW w:w="993" w:type="dxa"/>
            <w:noWrap/>
            <w:vAlign w:val="center"/>
            <w:hideMark/>
          </w:tcPr>
          <w:p w14:paraId="28CA14D0"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6B8D48F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C271Y</w:t>
            </w:r>
          </w:p>
        </w:tc>
        <w:tc>
          <w:tcPr>
            <w:tcW w:w="1146" w:type="dxa"/>
            <w:noWrap/>
            <w:vAlign w:val="center"/>
            <w:hideMark/>
          </w:tcPr>
          <w:p w14:paraId="263486D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4826BE6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1163416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27D0A09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EOO</w:t>
            </w:r>
          </w:p>
        </w:tc>
        <w:tc>
          <w:tcPr>
            <w:tcW w:w="2552" w:type="dxa"/>
            <w:gridSpan w:val="2"/>
            <w:noWrap/>
            <w:vAlign w:val="center"/>
            <w:hideMark/>
          </w:tcPr>
          <w:p w14:paraId="09ACFBE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Fam7-cousin3 (figure2A)</w:t>
            </w:r>
          </w:p>
        </w:tc>
        <w:tc>
          <w:tcPr>
            <w:tcW w:w="850" w:type="dxa"/>
            <w:noWrap/>
            <w:vAlign w:val="center"/>
            <w:hideMark/>
          </w:tcPr>
          <w:p w14:paraId="4C49626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364FEE5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Farooqi, et al. 2003</w:t>
            </w:r>
          </w:p>
        </w:tc>
      </w:tr>
      <w:tr w:rsidR="00DC2DB2" w:rsidRPr="00B63AB4" w14:paraId="1EF5A386" w14:textId="77777777" w:rsidTr="00EB4A43">
        <w:trPr>
          <w:trHeight w:val="315"/>
        </w:trPr>
        <w:tc>
          <w:tcPr>
            <w:tcW w:w="993" w:type="dxa"/>
            <w:noWrap/>
            <w:vAlign w:val="center"/>
            <w:hideMark/>
          </w:tcPr>
          <w:p w14:paraId="6236891D"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6137150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C271Y</w:t>
            </w:r>
          </w:p>
        </w:tc>
        <w:tc>
          <w:tcPr>
            <w:tcW w:w="1146" w:type="dxa"/>
            <w:noWrap/>
            <w:vAlign w:val="center"/>
            <w:hideMark/>
          </w:tcPr>
          <w:p w14:paraId="192F3C5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442A73F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2BAF20C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78890A3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EOO</w:t>
            </w:r>
          </w:p>
        </w:tc>
        <w:tc>
          <w:tcPr>
            <w:tcW w:w="2552" w:type="dxa"/>
            <w:gridSpan w:val="2"/>
            <w:noWrap/>
            <w:vAlign w:val="center"/>
            <w:hideMark/>
          </w:tcPr>
          <w:p w14:paraId="3C58F7D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Fam7-mother (figure2A)</w:t>
            </w:r>
          </w:p>
        </w:tc>
        <w:tc>
          <w:tcPr>
            <w:tcW w:w="850" w:type="dxa"/>
            <w:noWrap/>
            <w:vAlign w:val="center"/>
            <w:hideMark/>
          </w:tcPr>
          <w:p w14:paraId="3C286DF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760E559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Farooqi, et al. 2003</w:t>
            </w:r>
          </w:p>
        </w:tc>
      </w:tr>
      <w:tr w:rsidR="00DC2DB2" w:rsidRPr="00B63AB4" w14:paraId="59401039" w14:textId="77777777" w:rsidTr="00EB4A43">
        <w:trPr>
          <w:trHeight w:val="315"/>
        </w:trPr>
        <w:tc>
          <w:tcPr>
            <w:tcW w:w="993" w:type="dxa"/>
            <w:noWrap/>
            <w:vAlign w:val="center"/>
            <w:hideMark/>
          </w:tcPr>
          <w:p w14:paraId="508F0B4B"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1AB11E4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C271Y</w:t>
            </w:r>
          </w:p>
        </w:tc>
        <w:tc>
          <w:tcPr>
            <w:tcW w:w="1146" w:type="dxa"/>
            <w:noWrap/>
            <w:vAlign w:val="center"/>
            <w:hideMark/>
          </w:tcPr>
          <w:p w14:paraId="17E26D9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6492383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5884002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5B05E3E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EOO</w:t>
            </w:r>
          </w:p>
        </w:tc>
        <w:tc>
          <w:tcPr>
            <w:tcW w:w="2552" w:type="dxa"/>
            <w:gridSpan w:val="2"/>
            <w:noWrap/>
            <w:vAlign w:val="center"/>
            <w:hideMark/>
          </w:tcPr>
          <w:p w14:paraId="0C040C2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Fam7-aunt1 (figure2A)</w:t>
            </w:r>
          </w:p>
        </w:tc>
        <w:tc>
          <w:tcPr>
            <w:tcW w:w="850" w:type="dxa"/>
            <w:noWrap/>
            <w:vAlign w:val="center"/>
            <w:hideMark/>
          </w:tcPr>
          <w:p w14:paraId="1253E13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36F467D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Farooqi, et al. 2003</w:t>
            </w:r>
          </w:p>
        </w:tc>
      </w:tr>
      <w:tr w:rsidR="00DC2DB2" w:rsidRPr="00B63AB4" w14:paraId="276B8457" w14:textId="77777777" w:rsidTr="00EB4A43">
        <w:trPr>
          <w:trHeight w:val="315"/>
        </w:trPr>
        <w:tc>
          <w:tcPr>
            <w:tcW w:w="993" w:type="dxa"/>
            <w:noWrap/>
            <w:vAlign w:val="center"/>
            <w:hideMark/>
          </w:tcPr>
          <w:p w14:paraId="09BB3D3E"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6F29218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C271Y</w:t>
            </w:r>
          </w:p>
        </w:tc>
        <w:tc>
          <w:tcPr>
            <w:tcW w:w="1146" w:type="dxa"/>
            <w:noWrap/>
            <w:vAlign w:val="center"/>
            <w:hideMark/>
          </w:tcPr>
          <w:p w14:paraId="17F8261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25DAF9E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5CB2FFA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5A0725A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EOO</w:t>
            </w:r>
          </w:p>
        </w:tc>
        <w:tc>
          <w:tcPr>
            <w:tcW w:w="2552" w:type="dxa"/>
            <w:gridSpan w:val="2"/>
            <w:noWrap/>
            <w:vAlign w:val="center"/>
            <w:hideMark/>
          </w:tcPr>
          <w:p w14:paraId="5F3C4C0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Fam7-aunt2 (figure2A)</w:t>
            </w:r>
          </w:p>
        </w:tc>
        <w:tc>
          <w:tcPr>
            <w:tcW w:w="850" w:type="dxa"/>
            <w:noWrap/>
            <w:vAlign w:val="center"/>
            <w:hideMark/>
          </w:tcPr>
          <w:p w14:paraId="273DE35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0C4753E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Farooqi, et al. 2003</w:t>
            </w:r>
          </w:p>
        </w:tc>
      </w:tr>
      <w:tr w:rsidR="00DC2DB2" w:rsidRPr="00B63AB4" w14:paraId="691387F6" w14:textId="77777777" w:rsidTr="00EB4A43">
        <w:trPr>
          <w:trHeight w:val="315"/>
        </w:trPr>
        <w:tc>
          <w:tcPr>
            <w:tcW w:w="993" w:type="dxa"/>
            <w:noWrap/>
            <w:vAlign w:val="center"/>
            <w:hideMark/>
          </w:tcPr>
          <w:p w14:paraId="62C0BDE4"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1741CE3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T11A</w:t>
            </w:r>
          </w:p>
        </w:tc>
        <w:tc>
          <w:tcPr>
            <w:tcW w:w="1146" w:type="dxa"/>
            <w:noWrap/>
            <w:vAlign w:val="center"/>
            <w:hideMark/>
          </w:tcPr>
          <w:p w14:paraId="528FD2A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7291ABA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59742FF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5960029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EOO</w:t>
            </w:r>
          </w:p>
        </w:tc>
        <w:tc>
          <w:tcPr>
            <w:tcW w:w="2552" w:type="dxa"/>
            <w:gridSpan w:val="2"/>
            <w:noWrap/>
            <w:vAlign w:val="center"/>
            <w:hideMark/>
          </w:tcPr>
          <w:p w14:paraId="53507D7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Fam8 (figure2A)</w:t>
            </w:r>
          </w:p>
        </w:tc>
        <w:tc>
          <w:tcPr>
            <w:tcW w:w="850" w:type="dxa"/>
            <w:noWrap/>
            <w:vAlign w:val="center"/>
            <w:hideMark/>
          </w:tcPr>
          <w:p w14:paraId="51E984C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0696FA7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Farooqi, et al. 2003</w:t>
            </w:r>
          </w:p>
        </w:tc>
      </w:tr>
      <w:tr w:rsidR="00DC2DB2" w:rsidRPr="00B63AB4" w14:paraId="1D8CFC86" w14:textId="77777777" w:rsidTr="00EB4A43">
        <w:trPr>
          <w:trHeight w:val="315"/>
        </w:trPr>
        <w:tc>
          <w:tcPr>
            <w:tcW w:w="993" w:type="dxa"/>
            <w:noWrap/>
            <w:vAlign w:val="center"/>
            <w:hideMark/>
          </w:tcPr>
          <w:p w14:paraId="2D53D550"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042B3BF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T11A</w:t>
            </w:r>
          </w:p>
        </w:tc>
        <w:tc>
          <w:tcPr>
            <w:tcW w:w="1146" w:type="dxa"/>
            <w:noWrap/>
            <w:vAlign w:val="center"/>
            <w:hideMark/>
          </w:tcPr>
          <w:p w14:paraId="09A7A39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7F3C525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482FB61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6968515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EOO</w:t>
            </w:r>
          </w:p>
        </w:tc>
        <w:tc>
          <w:tcPr>
            <w:tcW w:w="2552" w:type="dxa"/>
            <w:gridSpan w:val="2"/>
            <w:noWrap/>
            <w:vAlign w:val="center"/>
            <w:hideMark/>
          </w:tcPr>
          <w:p w14:paraId="6206368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Fam8-sister (figure2A)</w:t>
            </w:r>
          </w:p>
        </w:tc>
        <w:tc>
          <w:tcPr>
            <w:tcW w:w="850" w:type="dxa"/>
            <w:noWrap/>
            <w:vAlign w:val="center"/>
            <w:hideMark/>
          </w:tcPr>
          <w:p w14:paraId="236789E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5623269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Farooqi, et al. 2003</w:t>
            </w:r>
          </w:p>
        </w:tc>
      </w:tr>
      <w:tr w:rsidR="00DC2DB2" w:rsidRPr="00B63AB4" w14:paraId="1A822F53" w14:textId="77777777" w:rsidTr="00EB4A43">
        <w:trPr>
          <w:trHeight w:val="315"/>
        </w:trPr>
        <w:tc>
          <w:tcPr>
            <w:tcW w:w="993" w:type="dxa"/>
            <w:noWrap/>
            <w:vAlign w:val="center"/>
            <w:hideMark/>
          </w:tcPr>
          <w:p w14:paraId="44C06FF4"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2593C43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R165Q</w:t>
            </w:r>
          </w:p>
        </w:tc>
        <w:tc>
          <w:tcPr>
            <w:tcW w:w="1146" w:type="dxa"/>
            <w:noWrap/>
            <w:vAlign w:val="center"/>
            <w:hideMark/>
          </w:tcPr>
          <w:p w14:paraId="30DB9DB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743E5B9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174D394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089A347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EOO</w:t>
            </w:r>
          </w:p>
        </w:tc>
        <w:tc>
          <w:tcPr>
            <w:tcW w:w="2552" w:type="dxa"/>
            <w:gridSpan w:val="2"/>
            <w:noWrap/>
            <w:vAlign w:val="center"/>
            <w:hideMark/>
          </w:tcPr>
          <w:p w14:paraId="1EDBF93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Fam9 (figure2A)</w:t>
            </w:r>
          </w:p>
        </w:tc>
        <w:tc>
          <w:tcPr>
            <w:tcW w:w="850" w:type="dxa"/>
            <w:noWrap/>
            <w:vAlign w:val="center"/>
            <w:hideMark/>
          </w:tcPr>
          <w:p w14:paraId="77F3DAF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612318F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Farooqi, et al. 2003</w:t>
            </w:r>
          </w:p>
        </w:tc>
      </w:tr>
      <w:tr w:rsidR="00DC2DB2" w:rsidRPr="00B63AB4" w14:paraId="2108AA53" w14:textId="77777777" w:rsidTr="00EB4A43">
        <w:trPr>
          <w:trHeight w:val="315"/>
        </w:trPr>
        <w:tc>
          <w:tcPr>
            <w:tcW w:w="993" w:type="dxa"/>
            <w:noWrap/>
            <w:vAlign w:val="center"/>
            <w:hideMark/>
          </w:tcPr>
          <w:p w14:paraId="0F5E4A56"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2F568E2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A175T</w:t>
            </w:r>
          </w:p>
        </w:tc>
        <w:tc>
          <w:tcPr>
            <w:tcW w:w="1146" w:type="dxa"/>
            <w:noWrap/>
            <w:vAlign w:val="center"/>
            <w:hideMark/>
          </w:tcPr>
          <w:p w14:paraId="2698178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33CB7A1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2016F13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2B2F807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EOO</w:t>
            </w:r>
          </w:p>
        </w:tc>
        <w:tc>
          <w:tcPr>
            <w:tcW w:w="2552" w:type="dxa"/>
            <w:gridSpan w:val="2"/>
            <w:noWrap/>
            <w:vAlign w:val="center"/>
            <w:hideMark/>
          </w:tcPr>
          <w:p w14:paraId="585F969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Fam10 (figure2A)</w:t>
            </w:r>
          </w:p>
        </w:tc>
        <w:tc>
          <w:tcPr>
            <w:tcW w:w="850" w:type="dxa"/>
            <w:noWrap/>
            <w:vAlign w:val="center"/>
            <w:hideMark/>
          </w:tcPr>
          <w:p w14:paraId="6620FE6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1ACC0C8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Farooqi, et al. 2003</w:t>
            </w:r>
          </w:p>
        </w:tc>
      </w:tr>
      <w:tr w:rsidR="00DC2DB2" w:rsidRPr="00B63AB4" w14:paraId="2A51C342" w14:textId="77777777" w:rsidTr="00EB4A43">
        <w:trPr>
          <w:trHeight w:val="315"/>
        </w:trPr>
        <w:tc>
          <w:tcPr>
            <w:tcW w:w="993" w:type="dxa"/>
            <w:noWrap/>
            <w:vAlign w:val="center"/>
            <w:hideMark/>
          </w:tcPr>
          <w:p w14:paraId="647AF67C"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5C4EE60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I316S</w:t>
            </w:r>
          </w:p>
        </w:tc>
        <w:tc>
          <w:tcPr>
            <w:tcW w:w="1146" w:type="dxa"/>
            <w:noWrap/>
            <w:vAlign w:val="center"/>
            <w:hideMark/>
          </w:tcPr>
          <w:p w14:paraId="59DCC6A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05BEFD5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0B0AD82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3A13950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EOO</w:t>
            </w:r>
          </w:p>
        </w:tc>
        <w:tc>
          <w:tcPr>
            <w:tcW w:w="2552" w:type="dxa"/>
            <w:gridSpan w:val="2"/>
            <w:noWrap/>
            <w:vAlign w:val="center"/>
            <w:hideMark/>
          </w:tcPr>
          <w:p w14:paraId="1C4827B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Fam11 (figure2A)</w:t>
            </w:r>
          </w:p>
        </w:tc>
        <w:tc>
          <w:tcPr>
            <w:tcW w:w="850" w:type="dxa"/>
            <w:noWrap/>
            <w:vAlign w:val="center"/>
            <w:hideMark/>
          </w:tcPr>
          <w:p w14:paraId="1728AE5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0EB3FF3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Farooqi, et al. 2003</w:t>
            </w:r>
          </w:p>
        </w:tc>
      </w:tr>
      <w:tr w:rsidR="00DC2DB2" w:rsidRPr="00B63AB4" w14:paraId="5BE284AD" w14:textId="77777777" w:rsidTr="00EB4A43">
        <w:trPr>
          <w:trHeight w:val="315"/>
        </w:trPr>
        <w:tc>
          <w:tcPr>
            <w:tcW w:w="993" w:type="dxa"/>
            <w:noWrap/>
            <w:vAlign w:val="center"/>
            <w:hideMark/>
          </w:tcPr>
          <w:p w14:paraId="1DBC8742"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649D9F0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I316S</w:t>
            </w:r>
          </w:p>
        </w:tc>
        <w:tc>
          <w:tcPr>
            <w:tcW w:w="1146" w:type="dxa"/>
            <w:noWrap/>
            <w:vAlign w:val="center"/>
            <w:hideMark/>
          </w:tcPr>
          <w:p w14:paraId="0DE9D3C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5E6DB6F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32119E8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68FBE86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EOO</w:t>
            </w:r>
          </w:p>
        </w:tc>
        <w:tc>
          <w:tcPr>
            <w:tcW w:w="2552" w:type="dxa"/>
            <w:gridSpan w:val="2"/>
            <w:noWrap/>
            <w:vAlign w:val="center"/>
            <w:hideMark/>
          </w:tcPr>
          <w:p w14:paraId="231084B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Fam11-uncle (figure2A)</w:t>
            </w:r>
          </w:p>
        </w:tc>
        <w:tc>
          <w:tcPr>
            <w:tcW w:w="850" w:type="dxa"/>
            <w:noWrap/>
            <w:vAlign w:val="center"/>
            <w:hideMark/>
          </w:tcPr>
          <w:p w14:paraId="4BBF9E7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112F3A7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Farooqi, et al. 2003</w:t>
            </w:r>
          </w:p>
        </w:tc>
      </w:tr>
      <w:tr w:rsidR="00DC2DB2" w:rsidRPr="00B63AB4" w14:paraId="5EF13623" w14:textId="77777777" w:rsidTr="00EB4A43">
        <w:trPr>
          <w:trHeight w:val="315"/>
        </w:trPr>
        <w:tc>
          <w:tcPr>
            <w:tcW w:w="993" w:type="dxa"/>
            <w:noWrap/>
            <w:vAlign w:val="center"/>
            <w:hideMark/>
          </w:tcPr>
          <w:p w14:paraId="1C08C973"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18250A2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T112M</w:t>
            </w:r>
          </w:p>
        </w:tc>
        <w:tc>
          <w:tcPr>
            <w:tcW w:w="1146" w:type="dxa"/>
            <w:noWrap/>
            <w:vAlign w:val="center"/>
            <w:hideMark/>
          </w:tcPr>
          <w:p w14:paraId="60028D8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5CFC18F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4E57441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04DB868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SO</w:t>
            </w:r>
          </w:p>
        </w:tc>
        <w:tc>
          <w:tcPr>
            <w:tcW w:w="2552" w:type="dxa"/>
            <w:gridSpan w:val="2"/>
            <w:noWrap/>
            <w:vAlign w:val="center"/>
            <w:hideMark/>
          </w:tcPr>
          <w:p w14:paraId="74C421D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Fam2 (figure1)</w:t>
            </w:r>
          </w:p>
        </w:tc>
        <w:tc>
          <w:tcPr>
            <w:tcW w:w="850" w:type="dxa"/>
            <w:noWrap/>
            <w:vAlign w:val="center"/>
            <w:hideMark/>
          </w:tcPr>
          <w:p w14:paraId="2353DFB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63B9835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Valli-</w:t>
            </w:r>
            <w:proofErr w:type="spellStart"/>
            <w:r w:rsidRPr="00B63AB4">
              <w:rPr>
                <w:sz w:val="20"/>
                <w:szCs w:val="20"/>
                <w:lang w:val="en-US"/>
              </w:rPr>
              <w:t>Jaakola</w:t>
            </w:r>
            <w:proofErr w:type="spellEnd"/>
            <w:r w:rsidRPr="00B63AB4">
              <w:rPr>
                <w:sz w:val="20"/>
                <w:szCs w:val="20"/>
                <w:lang w:val="en-US"/>
              </w:rPr>
              <w:t>, et al. 2004</w:t>
            </w:r>
          </w:p>
        </w:tc>
      </w:tr>
      <w:tr w:rsidR="00DC2DB2" w:rsidRPr="00B63AB4" w14:paraId="628ED18D" w14:textId="77777777" w:rsidTr="00EB4A43">
        <w:trPr>
          <w:trHeight w:val="315"/>
        </w:trPr>
        <w:tc>
          <w:tcPr>
            <w:tcW w:w="993" w:type="dxa"/>
            <w:noWrap/>
            <w:vAlign w:val="center"/>
            <w:hideMark/>
          </w:tcPr>
          <w:p w14:paraId="66B6D51F"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0F1B027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S127L</w:t>
            </w:r>
          </w:p>
        </w:tc>
        <w:tc>
          <w:tcPr>
            <w:tcW w:w="1146" w:type="dxa"/>
            <w:noWrap/>
            <w:vAlign w:val="center"/>
            <w:hideMark/>
          </w:tcPr>
          <w:p w14:paraId="1A3B7BC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77078F1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7809B92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2811E05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50D95B1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Fam4 (figure1)</w:t>
            </w:r>
          </w:p>
        </w:tc>
        <w:tc>
          <w:tcPr>
            <w:tcW w:w="850" w:type="dxa"/>
            <w:noWrap/>
            <w:vAlign w:val="center"/>
            <w:hideMark/>
          </w:tcPr>
          <w:p w14:paraId="3D87DB7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1FFA5B5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Valli-</w:t>
            </w:r>
            <w:proofErr w:type="spellStart"/>
            <w:r w:rsidRPr="00B63AB4">
              <w:rPr>
                <w:sz w:val="20"/>
                <w:szCs w:val="20"/>
                <w:lang w:val="en-US"/>
              </w:rPr>
              <w:t>Jaakola</w:t>
            </w:r>
            <w:proofErr w:type="spellEnd"/>
            <w:r w:rsidRPr="00B63AB4">
              <w:rPr>
                <w:sz w:val="20"/>
                <w:szCs w:val="20"/>
                <w:lang w:val="en-US"/>
              </w:rPr>
              <w:t>, et al. 2004</w:t>
            </w:r>
          </w:p>
        </w:tc>
      </w:tr>
      <w:tr w:rsidR="00DC2DB2" w:rsidRPr="00B63AB4" w14:paraId="38AA2745" w14:textId="77777777" w:rsidTr="00EB4A43">
        <w:trPr>
          <w:trHeight w:val="315"/>
        </w:trPr>
        <w:tc>
          <w:tcPr>
            <w:tcW w:w="993" w:type="dxa"/>
            <w:noWrap/>
            <w:vAlign w:val="center"/>
            <w:hideMark/>
          </w:tcPr>
          <w:p w14:paraId="1C09E9DD"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435D7C6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I226T</w:t>
            </w:r>
          </w:p>
        </w:tc>
        <w:tc>
          <w:tcPr>
            <w:tcW w:w="1146" w:type="dxa"/>
            <w:noWrap/>
            <w:vAlign w:val="center"/>
            <w:hideMark/>
          </w:tcPr>
          <w:p w14:paraId="74797EC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7402C8C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29DD649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2D69D1A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4F9C956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Fam5 (figure1)</w:t>
            </w:r>
          </w:p>
        </w:tc>
        <w:tc>
          <w:tcPr>
            <w:tcW w:w="850" w:type="dxa"/>
            <w:noWrap/>
            <w:vAlign w:val="center"/>
            <w:hideMark/>
          </w:tcPr>
          <w:p w14:paraId="451BC6C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55A511D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Valli-</w:t>
            </w:r>
            <w:proofErr w:type="spellStart"/>
            <w:r w:rsidRPr="00B63AB4">
              <w:rPr>
                <w:sz w:val="20"/>
                <w:szCs w:val="20"/>
                <w:lang w:val="en-US"/>
              </w:rPr>
              <w:t>Jaakola</w:t>
            </w:r>
            <w:proofErr w:type="spellEnd"/>
            <w:r w:rsidRPr="00B63AB4">
              <w:rPr>
                <w:sz w:val="20"/>
                <w:szCs w:val="20"/>
                <w:lang w:val="en-US"/>
              </w:rPr>
              <w:t>, et al. 2004</w:t>
            </w:r>
          </w:p>
        </w:tc>
      </w:tr>
      <w:tr w:rsidR="00DC2DB2" w:rsidRPr="00B63AB4" w14:paraId="7994A113" w14:textId="77777777" w:rsidTr="00EB4A43">
        <w:trPr>
          <w:trHeight w:val="315"/>
        </w:trPr>
        <w:tc>
          <w:tcPr>
            <w:tcW w:w="993" w:type="dxa"/>
            <w:noWrap/>
            <w:vAlign w:val="center"/>
            <w:hideMark/>
          </w:tcPr>
          <w:p w14:paraId="72B14473"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159BED6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S30F</w:t>
            </w:r>
          </w:p>
        </w:tc>
        <w:tc>
          <w:tcPr>
            <w:tcW w:w="1146" w:type="dxa"/>
            <w:noWrap/>
            <w:vAlign w:val="center"/>
            <w:hideMark/>
          </w:tcPr>
          <w:p w14:paraId="19F0865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3B5E178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23B9C68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2900ED4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239B68EE"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FamA</w:t>
            </w:r>
            <w:proofErr w:type="spellEnd"/>
            <w:r w:rsidRPr="00B63AB4">
              <w:rPr>
                <w:sz w:val="20"/>
                <w:szCs w:val="20"/>
                <w:lang w:val="en-US"/>
              </w:rPr>
              <w:t xml:space="preserve"> (figure1)</w:t>
            </w:r>
          </w:p>
        </w:tc>
        <w:tc>
          <w:tcPr>
            <w:tcW w:w="850" w:type="dxa"/>
            <w:noWrap/>
            <w:vAlign w:val="center"/>
            <w:hideMark/>
          </w:tcPr>
          <w:p w14:paraId="1C15256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72491AC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Ochoa, et al. 2007</w:t>
            </w:r>
          </w:p>
        </w:tc>
      </w:tr>
      <w:tr w:rsidR="00DC2DB2" w:rsidRPr="00B63AB4" w14:paraId="0F4E6731" w14:textId="77777777" w:rsidTr="00EB4A43">
        <w:trPr>
          <w:trHeight w:val="315"/>
        </w:trPr>
        <w:tc>
          <w:tcPr>
            <w:tcW w:w="993" w:type="dxa"/>
            <w:noWrap/>
            <w:vAlign w:val="center"/>
            <w:hideMark/>
          </w:tcPr>
          <w:p w14:paraId="55F44804"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177BB3D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T150I</w:t>
            </w:r>
          </w:p>
        </w:tc>
        <w:tc>
          <w:tcPr>
            <w:tcW w:w="1146" w:type="dxa"/>
            <w:noWrap/>
            <w:vAlign w:val="center"/>
            <w:hideMark/>
          </w:tcPr>
          <w:p w14:paraId="7FB0337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25B485E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19819EA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1CB014D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2A1BF0A5"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FamB</w:t>
            </w:r>
            <w:proofErr w:type="spellEnd"/>
            <w:r w:rsidRPr="00B63AB4">
              <w:rPr>
                <w:sz w:val="20"/>
                <w:szCs w:val="20"/>
                <w:lang w:val="en-US"/>
              </w:rPr>
              <w:t xml:space="preserve"> (figure1)</w:t>
            </w:r>
          </w:p>
        </w:tc>
        <w:tc>
          <w:tcPr>
            <w:tcW w:w="850" w:type="dxa"/>
            <w:noWrap/>
            <w:vAlign w:val="center"/>
            <w:hideMark/>
          </w:tcPr>
          <w:p w14:paraId="0CEBA57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473675B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Ochoa, et al. 2007</w:t>
            </w:r>
          </w:p>
        </w:tc>
      </w:tr>
      <w:tr w:rsidR="00DC2DB2" w:rsidRPr="00B63AB4" w14:paraId="6B7ECE96" w14:textId="77777777" w:rsidTr="00EB4A43">
        <w:trPr>
          <w:trHeight w:val="315"/>
        </w:trPr>
        <w:tc>
          <w:tcPr>
            <w:tcW w:w="993" w:type="dxa"/>
            <w:noWrap/>
            <w:vAlign w:val="center"/>
            <w:hideMark/>
          </w:tcPr>
          <w:p w14:paraId="4DD96C63"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291FE48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T162R</w:t>
            </w:r>
          </w:p>
        </w:tc>
        <w:tc>
          <w:tcPr>
            <w:tcW w:w="1146" w:type="dxa"/>
            <w:noWrap/>
            <w:vAlign w:val="center"/>
            <w:hideMark/>
          </w:tcPr>
          <w:p w14:paraId="478F3C0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5CFFA83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56E562F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3912191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065930CB"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FamC</w:t>
            </w:r>
            <w:proofErr w:type="spellEnd"/>
            <w:r w:rsidRPr="00B63AB4">
              <w:rPr>
                <w:sz w:val="20"/>
                <w:szCs w:val="20"/>
                <w:lang w:val="en-US"/>
              </w:rPr>
              <w:t xml:space="preserve"> (figure1)</w:t>
            </w:r>
          </w:p>
        </w:tc>
        <w:tc>
          <w:tcPr>
            <w:tcW w:w="850" w:type="dxa"/>
            <w:noWrap/>
            <w:vAlign w:val="center"/>
            <w:hideMark/>
          </w:tcPr>
          <w:p w14:paraId="26B1A06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076291C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Ochoa, et al. 2007</w:t>
            </w:r>
          </w:p>
        </w:tc>
      </w:tr>
      <w:tr w:rsidR="00DC2DB2" w:rsidRPr="00B63AB4" w14:paraId="4C4D964D" w14:textId="77777777" w:rsidTr="00EB4A43">
        <w:trPr>
          <w:trHeight w:val="315"/>
        </w:trPr>
        <w:tc>
          <w:tcPr>
            <w:tcW w:w="993" w:type="dxa"/>
            <w:noWrap/>
            <w:vAlign w:val="center"/>
            <w:hideMark/>
          </w:tcPr>
          <w:p w14:paraId="7AC84E25"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lastRenderedPageBreak/>
              <w:t>MC4R</w:t>
            </w:r>
          </w:p>
        </w:tc>
        <w:tc>
          <w:tcPr>
            <w:tcW w:w="1465" w:type="dxa"/>
            <w:noWrap/>
            <w:vAlign w:val="center"/>
            <w:hideMark/>
          </w:tcPr>
          <w:p w14:paraId="716AD2C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A244E</w:t>
            </w:r>
          </w:p>
        </w:tc>
        <w:tc>
          <w:tcPr>
            <w:tcW w:w="1146" w:type="dxa"/>
            <w:noWrap/>
            <w:vAlign w:val="center"/>
            <w:hideMark/>
          </w:tcPr>
          <w:p w14:paraId="2A26224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13FE820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25CECD7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09AC107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28FF6EDB"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FamD</w:t>
            </w:r>
            <w:proofErr w:type="spellEnd"/>
            <w:r w:rsidRPr="00B63AB4">
              <w:rPr>
                <w:sz w:val="20"/>
                <w:szCs w:val="20"/>
                <w:lang w:val="en-US"/>
              </w:rPr>
              <w:t xml:space="preserve"> (figure1)</w:t>
            </w:r>
          </w:p>
        </w:tc>
        <w:tc>
          <w:tcPr>
            <w:tcW w:w="850" w:type="dxa"/>
            <w:noWrap/>
            <w:vAlign w:val="center"/>
            <w:hideMark/>
          </w:tcPr>
          <w:p w14:paraId="6A4C9D0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1831DF3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Ochoa, et al. 2007</w:t>
            </w:r>
          </w:p>
        </w:tc>
      </w:tr>
      <w:tr w:rsidR="00DC2DB2" w:rsidRPr="00B63AB4" w14:paraId="3DF59B17" w14:textId="77777777" w:rsidTr="00EB4A43">
        <w:trPr>
          <w:trHeight w:val="315"/>
        </w:trPr>
        <w:tc>
          <w:tcPr>
            <w:tcW w:w="993" w:type="dxa"/>
            <w:noWrap/>
            <w:vAlign w:val="center"/>
            <w:hideMark/>
          </w:tcPr>
          <w:p w14:paraId="578BE6D5"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2D23519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S19fs (</w:t>
            </w:r>
            <w:proofErr w:type="spellStart"/>
            <w:r w:rsidRPr="00B63AB4">
              <w:rPr>
                <w:sz w:val="20"/>
                <w:szCs w:val="20"/>
                <w:lang w:val="en-US"/>
              </w:rPr>
              <w:t>delA</w:t>
            </w:r>
            <w:proofErr w:type="spellEnd"/>
            <w:r w:rsidRPr="00B63AB4">
              <w:rPr>
                <w:sz w:val="20"/>
                <w:szCs w:val="20"/>
                <w:lang w:val="en-US"/>
              </w:rPr>
              <w:t>)</w:t>
            </w:r>
          </w:p>
        </w:tc>
        <w:tc>
          <w:tcPr>
            <w:tcW w:w="1146" w:type="dxa"/>
            <w:noWrap/>
            <w:vAlign w:val="center"/>
            <w:hideMark/>
          </w:tcPr>
          <w:p w14:paraId="3EFD1FD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Frameshift</w:t>
            </w:r>
          </w:p>
        </w:tc>
        <w:tc>
          <w:tcPr>
            <w:tcW w:w="1358" w:type="dxa"/>
            <w:noWrap/>
            <w:vAlign w:val="center"/>
            <w:hideMark/>
          </w:tcPr>
          <w:p w14:paraId="0FBC224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3F7AB73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61D4454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27735FE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Fam1a (figure1)</w:t>
            </w:r>
          </w:p>
        </w:tc>
        <w:tc>
          <w:tcPr>
            <w:tcW w:w="850" w:type="dxa"/>
            <w:noWrap/>
            <w:vAlign w:val="center"/>
            <w:hideMark/>
          </w:tcPr>
          <w:p w14:paraId="1033255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152B6CB2"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Hainerová</w:t>
            </w:r>
            <w:proofErr w:type="spellEnd"/>
            <w:r w:rsidRPr="00B63AB4">
              <w:rPr>
                <w:sz w:val="20"/>
                <w:szCs w:val="20"/>
                <w:lang w:val="en-US"/>
              </w:rPr>
              <w:t>, et al. 2007</w:t>
            </w:r>
          </w:p>
        </w:tc>
      </w:tr>
      <w:tr w:rsidR="00DC2DB2" w:rsidRPr="00B63AB4" w14:paraId="2C5403C6" w14:textId="77777777" w:rsidTr="00EB4A43">
        <w:trPr>
          <w:trHeight w:val="315"/>
        </w:trPr>
        <w:tc>
          <w:tcPr>
            <w:tcW w:w="993" w:type="dxa"/>
            <w:noWrap/>
            <w:vAlign w:val="center"/>
            <w:hideMark/>
          </w:tcPr>
          <w:p w14:paraId="124BA490"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7AF4EEA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S19fs (</w:t>
            </w:r>
            <w:proofErr w:type="spellStart"/>
            <w:r w:rsidRPr="00B63AB4">
              <w:rPr>
                <w:sz w:val="20"/>
                <w:szCs w:val="20"/>
                <w:lang w:val="en-US"/>
              </w:rPr>
              <w:t>delA</w:t>
            </w:r>
            <w:proofErr w:type="spellEnd"/>
            <w:r w:rsidRPr="00B63AB4">
              <w:rPr>
                <w:sz w:val="20"/>
                <w:szCs w:val="20"/>
                <w:lang w:val="en-US"/>
              </w:rPr>
              <w:t>)</w:t>
            </w:r>
          </w:p>
        </w:tc>
        <w:tc>
          <w:tcPr>
            <w:tcW w:w="1146" w:type="dxa"/>
            <w:noWrap/>
            <w:vAlign w:val="center"/>
            <w:hideMark/>
          </w:tcPr>
          <w:p w14:paraId="2175057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Frameshift</w:t>
            </w:r>
          </w:p>
        </w:tc>
        <w:tc>
          <w:tcPr>
            <w:tcW w:w="1358" w:type="dxa"/>
            <w:noWrap/>
            <w:vAlign w:val="center"/>
            <w:hideMark/>
          </w:tcPr>
          <w:p w14:paraId="215F7D1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674E096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37CAD96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7C0243D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Fam1b (figure1)</w:t>
            </w:r>
          </w:p>
        </w:tc>
        <w:tc>
          <w:tcPr>
            <w:tcW w:w="850" w:type="dxa"/>
            <w:noWrap/>
            <w:vAlign w:val="center"/>
            <w:hideMark/>
          </w:tcPr>
          <w:p w14:paraId="7DF174A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3314497D"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Hainerová</w:t>
            </w:r>
            <w:proofErr w:type="spellEnd"/>
            <w:r w:rsidRPr="00B63AB4">
              <w:rPr>
                <w:sz w:val="20"/>
                <w:szCs w:val="20"/>
                <w:lang w:val="en-US"/>
              </w:rPr>
              <w:t>, et al. 2007</w:t>
            </w:r>
          </w:p>
        </w:tc>
      </w:tr>
      <w:tr w:rsidR="00DC2DB2" w:rsidRPr="00B63AB4" w14:paraId="45E0813E" w14:textId="77777777" w:rsidTr="00EB4A43">
        <w:trPr>
          <w:trHeight w:val="315"/>
        </w:trPr>
        <w:tc>
          <w:tcPr>
            <w:tcW w:w="993" w:type="dxa"/>
            <w:noWrap/>
            <w:vAlign w:val="center"/>
            <w:hideMark/>
          </w:tcPr>
          <w:p w14:paraId="2E2181B9"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567A51E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S19fs (</w:t>
            </w:r>
            <w:proofErr w:type="spellStart"/>
            <w:r w:rsidRPr="00B63AB4">
              <w:rPr>
                <w:sz w:val="20"/>
                <w:szCs w:val="20"/>
                <w:lang w:val="en-US"/>
              </w:rPr>
              <w:t>delA</w:t>
            </w:r>
            <w:proofErr w:type="spellEnd"/>
            <w:r w:rsidRPr="00B63AB4">
              <w:rPr>
                <w:sz w:val="20"/>
                <w:szCs w:val="20"/>
                <w:lang w:val="en-US"/>
              </w:rPr>
              <w:t>)</w:t>
            </w:r>
          </w:p>
        </w:tc>
        <w:tc>
          <w:tcPr>
            <w:tcW w:w="1146" w:type="dxa"/>
            <w:noWrap/>
            <w:vAlign w:val="center"/>
            <w:hideMark/>
          </w:tcPr>
          <w:p w14:paraId="2DA5C20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Frameshift</w:t>
            </w:r>
          </w:p>
        </w:tc>
        <w:tc>
          <w:tcPr>
            <w:tcW w:w="1358" w:type="dxa"/>
            <w:noWrap/>
            <w:vAlign w:val="center"/>
            <w:hideMark/>
          </w:tcPr>
          <w:p w14:paraId="4B111A4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6A28DA5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3C4C6A2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5A916FB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Fam2 (figure1)</w:t>
            </w:r>
          </w:p>
        </w:tc>
        <w:tc>
          <w:tcPr>
            <w:tcW w:w="850" w:type="dxa"/>
            <w:noWrap/>
            <w:vAlign w:val="center"/>
            <w:hideMark/>
          </w:tcPr>
          <w:p w14:paraId="1877FB5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4DF1874D"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Hainerová</w:t>
            </w:r>
            <w:proofErr w:type="spellEnd"/>
            <w:r w:rsidRPr="00B63AB4">
              <w:rPr>
                <w:sz w:val="20"/>
                <w:szCs w:val="20"/>
                <w:lang w:val="en-US"/>
              </w:rPr>
              <w:t>, et al. 2007</w:t>
            </w:r>
          </w:p>
        </w:tc>
      </w:tr>
      <w:tr w:rsidR="00DC2DB2" w:rsidRPr="00B63AB4" w14:paraId="12448972" w14:textId="77777777" w:rsidTr="00EB4A43">
        <w:trPr>
          <w:trHeight w:val="315"/>
        </w:trPr>
        <w:tc>
          <w:tcPr>
            <w:tcW w:w="993" w:type="dxa"/>
            <w:noWrap/>
            <w:vAlign w:val="center"/>
            <w:hideMark/>
          </w:tcPr>
          <w:p w14:paraId="50CB136B"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19B4DF4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S19fs (</w:t>
            </w:r>
            <w:proofErr w:type="spellStart"/>
            <w:r w:rsidRPr="00B63AB4">
              <w:rPr>
                <w:sz w:val="20"/>
                <w:szCs w:val="20"/>
                <w:lang w:val="en-US"/>
              </w:rPr>
              <w:t>delA</w:t>
            </w:r>
            <w:proofErr w:type="spellEnd"/>
            <w:r w:rsidRPr="00B63AB4">
              <w:rPr>
                <w:sz w:val="20"/>
                <w:szCs w:val="20"/>
                <w:lang w:val="en-US"/>
              </w:rPr>
              <w:t>)</w:t>
            </w:r>
          </w:p>
        </w:tc>
        <w:tc>
          <w:tcPr>
            <w:tcW w:w="1146" w:type="dxa"/>
            <w:noWrap/>
            <w:vAlign w:val="center"/>
            <w:hideMark/>
          </w:tcPr>
          <w:p w14:paraId="4AE6F78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Frameshift</w:t>
            </w:r>
          </w:p>
        </w:tc>
        <w:tc>
          <w:tcPr>
            <w:tcW w:w="1358" w:type="dxa"/>
            <w:noWrap/>
            <w:vAlign w:val="center"/>
            <w:hideMark/>
          </w:tcPr>
          <w:p w14:paraId="19B36B4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1327968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70C7808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309B9F8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Fam2m (figure1)</w:t>
            </w:r>
          </w:p>
        </w:tc>
        <w:tc>
          <w:tcPr>
            <w:tcW w:w="850" w:type="dxa"/>
            <w:noWrap/>
            <w:vAlign w:val="center"/>
            <w:hideMark/>
          </w:tcPr>
          <w:p w14:paraId="5D44C7A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32AC2CEF"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Hainerová</w:t>
            </w:r>
            <w:proofErr w:type="spellEnd"/>
            <w:r w:rsidRPr="00B63AB4">
              <w:rPr>
                <w:sz w:val="20"/>
                <w:szCs w:val="20"/>
                <w:lang w:val="en-US"/>
              </w:rPr>
              <w:t>, et al. 2007</w:t>
            </w:r>
          </w:p>
        </w:tc>
      </w:tr>
      <w:tr w:rsidR="00DC2DB2" w:rsidRPr="00B63AB4" w14:paraId="47B56C2B" w14:textId="77777777" w:rsidTr="00EB4A43">
        <w:trPr>
          <w:trHeight w:val="315"/>
        </w:trPr>
        <w:tc>
          <w:tcPr>
            <w:tcW w:w="993" w:type="dxa"/>
            <w:noWrap/>
            <w:vAlign w:val="center"/>
            <w:hideMark/>
          </w:tcPr>
          <w:p w14:paraId="6A598BDD"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085798F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C84R</w:t>
            </w:r>
          </w:p>
        </w:tc>
        <w:tc>
          <w:tcPr>
            <w:tcW w:w="1146" w:type="dxa"/>
            <w:noWrap/>
            <w:vAlign w:val="center"/>
            <w:hideMark/>
          </w:tcPr>
          <w:p w14:paraId="23951DD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2AA6AB9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57112AE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48A6B29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3E1EDF5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Fam3 (figure1)</w:t>
            </w:r>
          </w:p>
        </w:tc>
        <w:tc>
          <w:tcPr>
            <w:tcW w:w="850" w:type="dxa"/>
            <w:noWrap/>
            <w:vAlign w:val="center"/>
            <w:hideMark/>
          </w:tcPr>
          <w:p w14:paraId="416AF02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3E8D2446"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Hainerová</w:t>
            </w:r>
            <w:proofErr w:type="spellEnd"/>
            <w:r w:rsidRPr="00B63AB4">
              <w:rPr>
                <w:sz w:val="20"/>
                <w:szCs w:val="20"/>
                <w:lang w:val="en-US"/>
              </w:rPr>
              <w:t>, et al. 2007</w:t>
            </w:r>
          </w:p>
        </w:tc>
      </w:tr>
      <w:tr w:rsidR="00DC2DB2" w:rsidRPr="00B63AB4" w14:paraId="628383D1" w14:textId="77777777" w:rsidTr="00EB4A43">
        <w:trPr>
          <w:trHeight w:val="315"/>
        </w:trPr>
        <w:tc>
          <w:tcPr>
            <w:tcW w:w="993" w:type="dxa"/>
            <w:noWrap/>
            <w:vAlign w:val="center"/>
            <w:hideMark/>
          </w:tcPr>
          <w:p w14:paraId="16038630"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203FADB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C84R</w:t>
            </w:r>
          </w:p>
        </w:tc>
        <w:tc>
          <w:tcPr>
            <w:tcW w:w="1146" w:type="dxa"/>
            <w:noWrap/>
            <w:vAlign w:val="center"/>
            <w:hideMark/>
          </w:tcPr>
          <w:p w14:paraId="45F8FE6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7C43BD7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4DC812C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0F8493F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6C2E1FE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Fam3p (figure1)</w:t>
            </w:r>
          </w:p>
        </w:tc>
        <w:tc>
          <w:tcPr>
            <w:tcW w:w="850" w:type="dxa"/>
            <w:noWrap/>
            <w:vAlign w:val="center"/>
            <w:hideMark/>
          </w:tcPr>
          <w:p w14:paraId="408A0C2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0B01E38E"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Hainerová</w:t>
            </w:r>
            <w:proofErr w:type="spellEnd"/>
            <w:r w:rsidRPr="00B63AB4">
              <w:rPr>
                <w:sz w:val="20"/>
                <w:szCs w:val="20"/>
                <w:lang w:val="en-US"/>
              </w:rPr>
              <w:t>, et al. 2007</w:t>
            </w:r>
          </w:p>
        </w:tc>
      </w:tr>
      <w:tr w:rsidR="00DC2DB2" w:rsidRPr="00B63AB4" w14:paraId="7DDBA9ED" w14:textId="77777777" w:rsidTr="00EB4A43">
        <w:trPr>
          <w:trHeight w:val="315"/>
        </w:trPr>
        <w:tc>
          <w:tcPr>
            <w:tcW w:w="993" w:type="dxa"/>
            <w:noWrap/>
            <w:vAlign w:val="center"/>
            <w:hideMark/>
          </w:tcPr>
          <w:p w14:paraId="6A64E2D5"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3B5EF38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R7C</w:t>
            </w:r>
          </w:p>
        </w:tc>
        <w:tc>
          <w:tcPr>
            <w:tcW w:w="1146" w:type="dxa"/>
            <w:noWrap/>
            <w:vAlign w:val="center"/>
            <w:hideMark/>
          </w:tcPr>
          <w:p w14:paraId="44B135F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5D70403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365C3EA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0BDC106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146E8F7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Fam4 (figure1)</w:t>
            </w:r>
          </w:p>
        </w:tc>
        <w:tc>
          <w:tcPr>
            <w:tcW w:w="850" w:type="dxa"/>
            <w:noWrap/>
            <w:vAlign w:val="center"/>
            <w:hideMark/>
          </w:tcPr>
          <w:p w14:paraId="7083BE9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0932D32A"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Hainerová</w:t>
            </w:r>
            <w:proofErr w:type="spellEnd"/>
            <w:r w:rsidRPr="00B63AB4">
              <w:rPr>
                <w:sz w:val="20"/>
                <w:szCs w:val="20"/>
                <w:lang w:val="en-US"/>
              </w:rPr>
              <w:t>, et al. 2007</w:t>
            </w:r>
          </w:p>
        </w:tc>
      </w:tr>
      <w:tr w:rsidR="00DC2DB2" w:rsidRPr="00B63AB4" w14:paraId="54B6698D" w14:textId="77777777" w:rsidTr="00EB4A43">
        <w:trPr>
          <w:trHeight w:val="315"/>
        </w:trPr>
        <w:tc>
          <w:tcPr>
            <w:tcW w:w="993" w:type="dxa"/>
            <w:noWrap/>
            <w:vAlign w:val="center"/>
            <w:hideMark/>
          </w:tcPr>
          <w:p w14:paraId="6F12E7B9"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4350A38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R7C</w:t>
            </w:r>
          </w:p>
        </w:tc>
        <w:tc>
          <w:tcPr>
            <w:tcW w:w="1146" w:type="dxa"/>
            <w:noWrap/>
            <w:vAlign w:val="center"/>
            <w:hideMark/>
          </w:tcPr>
          <w:p w14:paraId="079DA37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4594117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5C70211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54B2FF3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71F4FAB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Fam4p (figure1)</w:t>
            </w:r>
          </w:p>
        </w:tc>
        <w:tc>
          <w:tcPr>
            <w:tcW w:w="850" w:type="dxa"/>
            <w:noWrap/>
            <w:vAlign w:val="center"/>
            <w:hideMark/>
          </w:tcPr>
          <w:p w14:paraId="5E42A78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3E22B63F"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Hainerová</w:t>
            </w:r>
            <w:proofErr w:type="spellEnd"/>
            <w:r w:rsidRPr="00B63AB4">
              <w:rPr>
                <w:sz w:val="20"/>
                <w:szCs w:val="20"/>
                <w:lang w:val="en-US"/>
              </w:rPr>
              <w:t>, et al. 2007</w:t>
            </w:r>
          </w:p>
        </w:tc>
      </w:tr>
      <w:tr w:rsidR="00DC2DB2" w:rsidRPr="00B63AB4" w14:paraId="14875FF0" w14:textId="77777777" w:rsidTr="00EB4A43">
        <w:trPr>
          <w:trHeight w:val="315"/>
        </w:trPr>
        <w:tc>
          <w:tcPr>
            <w:tcW w:w="993" w:type="dxa"/>
            <w:noWrap/>
            <w:vAlign w:val="center"/>
            <w:hideMark/>
          </w:tcPr>
          <w:p w14:paraId="74FC17D1"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062AA5B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 xml:space="preserve">W16fs          </w:t>
            </w:r>
            <w:proofErr w:type="gramStart"/>
            <w:r w:rsidRPr="00B63AB4">
              <w:rPr>
                <w:sz w:val="20"/>
                <w:szCs w:val="20"/>
                <w:lang w:val="en-US"/>
              </w:rPr>
              <w:t xml:space="preserve">   (</w:t>
            </w:r>
            <w:proofErr w:type="gramEnd"/>
            <w:r w:rsidRPr="00B63AB4">
              <w:rPr>
                <w:sz w:val="20"/>
                <w:szCs w:val="20"/>
                <w:lang w:val="en-US"/>
              </w:rPr>
              <w:t>47-48insG)</w:t>
            </w:r>
          </w:p>
        </w:tc>
        <w:tc>
          <w:tcPr>
            <w:tcW w:w="1146" w:type="dxa"/>
            <w:noWrap/>
            <w:vAlign w:val="center"/>
            <w:hideMark/>
          </w:tcPr>
          <w:p w14:paraId="2D24097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Frameshift</w:t>
            </w:r>
          </w:p>
        </w:tc>
        <w:tc>
          <w:tcPr>
            <w:tcW w:w="1358" w:type="dxa"/>
            <w:noWrap/>
            <w:vAlign w:val="center"/>
            <w:hideMark/>
          </w:tcPr>
          <w:p w14:paraId="5A8BE59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43F4612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1140A41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77E498D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Case1 (figureS1)</w:t>
            </w:r>
          </w:p>
        </w:tc>
        <w:tc>
          <w:tcPr>
            <w:tcW w:w="850" w:type="dxa"/>
            <w:noWrap/>
            <w:vAlign w:val="center"/>
            <w:hideMark/>
          </w:tcPr>
          <w:p w14:paraId="17C7712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594DB0E0"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Stutzmann</w:t>
            </w:r>
            <w:proofErr w:type="spellEnd"/>
            <w:r w:rsidRPr="00B63AB4">
              <w:rPr>
                <w:sz w:val="20"/>
                <w:szCs w:val="20"/>
                <w:lang w:val="en-US"/>
              </w:rPr>
              <w:t>, et al. 2008</w:t>
            </w:r>
          </w:p>
        </w:tc>
      </w:tr>
      <w:tr w:rsidR="00DC2DB2" w:rsidRPr="00B63AB4" w14:paraId="6307D0C8" w14:textId="77777777" w:rsidTr="00EB4A43">
        <w:trPr>
          <w:trHeight w:val="315"/>
        </w:trPr>
        <w:tc>
          <w:tcPr>
            <w:tcW w:w="993" w:type="dxa"/>
            <w:noWrap/>
            <w:vAlign w:val="center"/>
            <w:hideMark/>
          </w:tcPr>
          <w:p w14:paraId="28783682"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26CFD52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I102T</w:t>
            </w:r>
          </w:p>
        </w:tc>
        <w:tc>
          <w:tcPr>
            <w:tcW w:w="1146" w:type="dxa"/>
            <w:noWrap/>
            <w:vAlign w:val="center"/>
            <w:hideMark/>
          </w:tcPr>
          <w:p w14:paraId="0E31B87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247DE7D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0D34420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28D5EA5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SO</w:t>
            </w:r>
          </w:p>
        </w:tc>
        <w:tc>
          <w:tcPr>
            <w:tcW w:w="2552" w:type="dxa"/>
            <w:gridSpan w:val="2"/>
            <w:noWrap/>
            <w:vAlign w:val="center"/>
            <w:hideMark/>
          </w:tcPr>
          <w:p w14:paraId="318C301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Case2 (figureS1)</w:t>
            </w:r>
          </w:p>
        </w:tc>
        <w:tc>
          <w:tcPr>
            <w:tcW w:w="850" w:type="dxa"/>
            <w:noWrap/>
            <w:vAlign w:val="center"/>
            <w:hideMark/>
          </w:tcPr>
          <w:p w14:paraId="6A1D174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7912D87B"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Stutzmann</w:t>
            </w:r>
            <w:proofErr w:type="spellEnd"/>
            <w:r w:rsidRPr="00B63AB4">
              <w:rPr>
                <w:sz w:val="20"/>
                <w:szCs w:val="20"/>
                <w:lang w:val="en-US"/>
              </w:rPr>
              <w:t>, et al. 2008</w:t>
            </w:r>
          </w:p>
        </w:tc>
      </w:tr>
      <w:tr w:rsidR="00DC2DB2" w:rsidRPr="00B63AB4" w14:paraId="313F8689" w14:textId="77777777" w:rsidTr="00EB4A43">
        <w:trPr>
          <w:trHeight w:val="315"/>
        </w:trPr>
        <w:tc>
          <w:tcPr>
            <w:tcW w:w="993" w:type="dxa"/>
            <w:noWrap/>
            <w:vAlign w:val="center"/>
            <w:hideMark/>
          </w:tcPr>
          <w:p w14:paraId="3DE16A4A"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0BB7665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T112M</w:t>
            </w:r>
          </w:p>
        </w:tc>
        <w:tc>
          <w:tcPr>
            <w:tcW w:w="1146" w:type="dxa"/>
            <w:noWrap/>
            <w:vAlign w:val="center"/>
            <w:hideMark/>
          </w:tcPr>
          <w:p w14:paraId="15DEAA3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1A34F52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7CAE4FC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463696D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3745E6D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Case3 (figureS1)</w:t>
            </w:r>
          </w:p>
        </w:tc>
        <w:tc>
          <w:tcPr>
            <w:tcW w:w="850" w:type="dxa"/>
            <w:noWrap/>
            <w:vAlign w:val="center"/>
            <w:hideMark/>
          </w:tcPr>
          <w:p w14:paraId="0FB6729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65560D0D"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Stutzmann</w:t>
            </w:r>
            <w:proofErr w:type="spellEnd"/>
            <w:r w:rsidRPr="00B63AB4">
              <w:rPr>
                <w:sz w:val="20"/>
                <w:szCs w:val="20"/>
                <w:lang w:val="en-US"/>
              </w:rPr>
              <w:t>, et al. 2008</w:t>
            </w:r>
          </w:p>
        </w:tc>
      </w:tr>
      <w:tr w:rsidR="00DC2DB2" w:rsidRPr="00B63AB4" w14:paraId="650DAF2E" w14:textId="77777777" w:rsidTr="00EB4A43">
        <w:trPr>
          <w:trHeight w:val="315"/>
        </w:trPr>
        <w:tc>
          <w:tcPr>
            <w:tcW w:w="993" w:type="dxa"/>
            <w:noWrap/>
            <w:vAlign w:val="center"/>
            <w:hideMark/>
          </w:tcPr>
          <w:p w14:paraId="6D19154D"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76531B8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T112M</w:t>
            </w:r>
          </w:p>
        </w:tc>
        <w:tc>
          <w:tcPr>
            <w:tcW w:w="1146" w:type="dxa"/>
            <w:noWrap/>
            <w:vAlign w:val="center"/>
            <w:hideMark/>
          </w:tcPr>
          <w:p w14:paraId="6D536A3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341DF8E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7CE174D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704BBF7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24FDC33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Case3p (figureS1)</w:t>
            </w:r>
          </w:p>
        </w:tc>
        <w:tc>
          <w:tcPr>
            <w:tcW w:w="850" w:type="dxa"/>
            <w:noWrap/>
            <w:vAlign w:val="center"/>
            <w:hideMark/>
          </w:tcPr>
          <w:p w14:paraId="36365C8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5E89BC67"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Stutzmann</w:t>
            </w:r>
            <w:proofErr w:type="spellEnd"/>
            <w:r w:rsidRPr="00B63AB4">
              <w:rPr>
                <w:sz w:val="20"/>
                <w:szCs w:val="20"/>
                <w:lang w:val="en-US"/>
              </w:rPr>
              <w:t>, et al. 2008</w:t>
            </w:r>
          </w:p>
        </w:tc>
      </w:tr>
      <w:tr w:rsidR="00DC2DB2" w:rsidRPr="00B63AB4" w14:paraId="44DFB7F0" w14:textId="77777777" w:rsidTr="00EB4A43">
        <w:trPr>
          <w:trHeight w:val="315"/>
        </w:trPr>
        <w:tc>
          <w:tcPr>
            <w:tcW w:w="993" w:type="dxa"/>
            <w:noWrap/>
            <w:vAlign w:val="center"/>
            <w:hideMark/>
          </w:tcPr>
          <w:p w14:paraId="590669E7"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661995D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T112M</w:t>
            </w:r>
          </w:p>
        </w:tc>
        <w:tc>
          <w:tcPr>
            <w:tcW w:w="1146" w:type="dxa"/>
            <w:noWrap/>
            <w:vAlign w:val="center"/>
            <w:hideMark/>
          </w:tcPr>
          <w:p w14:paraId="7E971C0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061BCD4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739E08C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10C4D10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6992EB1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Case4 (figureS1)</w:t>
            </w:r>
          </w:p>
        </w:tc>
        <w:tc>
          <w:tcPr>
            <w:tcW w:w="850" w:type="dxa"/>
            <w:noWrap/>
            <w:vAlign w:val="center"/>
            <w:hideMark/>
          </w:tcPr>
          <w:p w14:paraId="4452392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216899C4"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Stutzmann</w:t>
            </w:r>
            <w:proofErr w:type="spellEnd"/>
            <w:r w:rsidRPr="00B63AB4">
              <w:rPr>
                <w:sz w:val="20"/>
                <w:szCs w:val="20"/>
                <w:lang w:val="en-US"/>
              </w:rPr>
              <w:t>, et al. 2008</w:t>
            </w:r>
          </w:p>
        </w:tc>
      </w:tr>
      <w:tr w:rsidR="00DC2DB2" w:rsidRPr="00B63AB4" w14:paraId="6701E9F6" w14:textId="77777777" w:rsidTr="00EB4A43">
        <w:trPr>
          <w:trHeight w:val="315"/>
        </w:trPr>
        <w:tc>
          <w:tcPr>
            <w:tcW w:w="993" w:type="dxa"/>
            <w:noWrap/>
            <w:vAlign w:val="center"/>
            <w:hideMark/>
          </w:tcPr>
          <w:p w14:paraId="55A053D1"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02BC6CC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T112M</w:t>
            </w:r>
          </w:p>
        </w:tc>
        <w:tc>
          <w:tcPr>
            <w:tcW w:w="1146" w:type="dxa"/>
            <w:noWrap/>
            <w:vAlign w:val="center"/>
            <w:hideMark/>
          </w:tcPr>
          <w:p w14:paraId="11A56E0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1279C4D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6480C6C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3B57220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18C2316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Case5 (figureS1)</w:t>
            </w:r>
          </w:p>
        </w:tc>
        <w:tc>
          <w:tcPr>
            <w:tcW w:w="850" w:type="dxa"/>
            <w:noWrap/>
            <w:vAlign w:val="center"/>
            <w:hideMark/>
          </w:tcPr>
          <w:p w14:paraId="6CEF013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280F1E16"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Stutzmann</w:t>
            </w:r>
            <w:proofErr w:type="spellEnd"/>
            <w:r w:rsidRPr="00B63AB4">
              <w:rPr>
                <w:sz w:val="20"/>
                <w:szCs w:val="20"/>
                <w:lang w:val="en-US"/>
              </w:rPr>
              <w:t>, et al. 2008</w:t>
            </w:r>
          </w:p>
        </w:tc>
      </w:tr>
      <w:tr w:rsidR="00DC2DB2" w:rsidRPr="00B63AB4" w14:paraId="616CD397" w14:textId="77777777" w:rsidTr="00EB4A43">
        <w:trPr>
          <w:trHeight w:val="315"/>
        </w:trPr>
        <w:tc>
          <w:tcPr>
            <w:tcW w:w="993" w:type="dxa"/>
            <w:noWrap/>
            <w:vAlign w:val="center"/>
            <w:hideMark/>
          </w:tcPr>
          <w:p w14:paraId="4F797681"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01C4218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T112M</w:t>
            </w:r>
          </w:p>
        </w:tc>
        <w:tc>
          <w:tcPr>
            <w:tcW w:w="1146" w:type="dxa"/>
            <w:noWrap/>
            <w:vAlign w:val="center"/>
            <w:hideMark/>
          </w:tcPr>
          <w:p w14:paraId="5C47431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34E667C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06294A7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791B728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2D058C1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Case5m (figureS1)</w:t>
            </w:r>
          </w:p>
        </w:tc>
        <w:tc>
          <w:tcPr>
            <w:tcW w:w="850" w:type="dxa"/>
            <w:noWrap/>
            <w:vAlign w:val="center"/>
            <w:hideMark/>
          </w:tcPr>
          <w:p w14:paraId="48DB5F1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22DBB2F3"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Stutzmann</w:t>
            </w:r>
            <w:proofErr w:type="spellEnd"/>
            <w:r w:rsidRPr="00B63AB4">
              <w:rPr>
                <w:sz w:val="20"/>
                <w:szCs w:val="20"/>
                <w:lang w:val="en-US"/>
              </w:rPr>
              <w:t>, et al. 2008</w:t>
            </w:r>
          </w:p>
        </w:tc>
      </w:tr>
      <w:tr w:rsidR="00DC2DB2" w:rsidRPr="00B63AB4" w14:paraId="33B1B4D6" w14:textId="77777777" w:rsidTr="00EB4A43">
        <w:trPr>
          <w:trHeight w:val="315"/>
        </w:trPr>
        <w:tc>
          <w:tcPr>
            <w:tcW w:w="993" w:type="dxa"/>
            <w:noWrap/>
            <w:vAlign w:val="center"/>
            <w:hideMark/>
          </w:tcPr>
          <w:p w14:paraId="26FE345A"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012B3B2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T112M</w:t>
            </w:r>
          </w:p>
        </w:tc>
        <w:tc>
          <w:tcPr>
            <w:tcW w:w="1146" w:type="dxa"/>
            <w:noWrap/>
            <w:vAlign w:val="center"/>
            <w:hideMark/>
          </w:tcPr>
          <w:p w14:paraId="72886A6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7666F69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670DF58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1D907E8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4B52D60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Case6 (figureS1)</w:t>
            </w:r>
          </w:p>
        </w:tc>
        <w:tc>
          <w:tcPr>
            <w:tcW w:w="850" w:type="dxa"/>
            <w:noWrap/>
            <w:vAlign w:val="center"/>
            <w:hideMark/>
          </w:tcPr>
          <w:p w14:paraId="43E90A2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5E385F6D"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Stutzmann</w:t>
            </w:r>
            <w:proofErr w:type="spellEnd"/>
            <w:r w:rsidRPr="00B63AB4">
              <w:rPr>
                <w:sz w:val="20"/>
                <w:szCs w:val="20"/>
                <w:lang w:val="en-US"/>
              </w:rPr>
              <w:t>, et al. 2008</w:t>
            </w:r>
          </w:p>
        </w:tc>
      </w:tr>
      <w:tr w:rsidR="00DC2DB2" w:rsidRPr="00B63AB4" w14:paraId="176684F0" w14:textId="77777777" w:rsidTr="00EB4A43">
        <w:trPr>
          <w:trHeight w:val="315"/>
        </w:trPr>
        <w:tc>
          <w:tcPr>
            <w:tcW w:w="993" w:type="dxa"/>
            <w:noWrap/>
            <w:vAlign w:val="center"/>
            <w:hideMark/>
          </w:tcPr>
          <w:p w14:paraId="43734039"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3773935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S127L</w:t>
            </w:r>
          </w:p>
        </w:tc>
        <w:tc>
          <w:tcPr>
            <w:tcW w:w="1146" w:type="dxa"/>
            <w:noWrap/>
            <w:vAlign w:val="center"/>
            <w:hideMark/>
          </w:tcPr>
          <w:p w14:paraId="67E73E4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2D4CF7F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7CD0C3B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6FF07A2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SO</w:t>
            </w:r>
          </w:p>
        </w:tc>
        <w:tc>
          <w:tcPr>
            <w:tcW w:w="2552" w:type="dxa"/>
            <w:gridSpan w:val="2"/>
            <w:noWrap/>
            <w:vAlign w:val="center"/>
            <w:hideMark/>
          </w:tcPr>
          <w:p w14:paraId="7789FE3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Case7 (figureS1)</w:t>
            </w:r>
          </w:p>
        </w:tc>
        <w:tc>
          <w:tcPr>
            <w:tcW w:w="850" w:type="dxa"/>
            <w:noWrap/>
            <w:vAlign w:val="center"/>
            <w:hideMark/>
          </w:tcPr>
          <w:p w14:paraId="03EA165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4667CE6A"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Stutzmann</w:t>
            </w:r>
            <w:proofErr w:type="spellEnd"/>
            <w:r w:rsidRPr="00B63AB4">
              <w:rPr>
                <w:sz w:val="20"/>
                <w:szCs w:val="20"/>
                <w:lang w:val="en-US"/>
              </w:rPr>
              <w:t>, et al. 2008</w:t>
            </w:r>
          </w:p>
        </w:tc>
      </w:tr>
      <w:tr w:rsidR="00DC2DB2" w:rsidRPr="00B63AB4" w14:paraId="6D90903D" w14:textId="77777777" w:rsidTr="00EB4A43">
        <w:trPr>
          <w:trHeight w:val="315"/>
        </w:trPr>
        <w:tc>
          <w:tcPr>
            <w:tcW w:w="993" w:type="dxa"/>
            <w:noWrap/>
            <w:vAlign w:val="center"/>
            <w:hideMark/>
          </w:tcPr>
          <w:p w14:paraId="5306A927"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41941F5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S127L</w:t>
            </w:r>
          </w:p>
        </w:tc>
        <w:tc>
          <w:tcPr>
            <w:tcW w:w="1146" w:type="dxa"/>
            <w:noWrap/>
            <w:vAlign w:val="center"/>
            <w:hideMark/>
          </w:tcPr>
          <w:p w14:paraId="6A828B0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2D1D014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4CC8052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307A474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5E0DBC7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Case7m (figureS1)</w:t>
            </w:r>
          </w:p>
        </w:tc>
        <w:tc>
          <w:tcPr>
            <w:tcW w:w="850" w:type="dxa"/>
            <w:noWrap/>
            <w:vAlign w:val="center"/>
            <w:hideMark/>
          </w:tcPr>
          <w:p w14:paraId="5004389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4CFBA909"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Stutzmann</w:t>
            </w:r>
            <w:proofErr w:type="spellEnd"/>
            <w:r w:rsidRPr="00B63AB4">
              <w:rPr>
                <w:sz w:val="20"/>
                <w:szCs w:val="20"/>
                <w:lang w:val="en-US"/>
              </w:rPr>
              <w:t>, et al. 2008</w:t>
            </w:r>
          </w:p>
        </w:tc>
      </w:tr>
      <w:tr w:rsidR="00DC2DB2" w:rsidRPr="00B63AB4" w14:paraId="66448658" w14:textId="77777777" w:rsidTr="00EB4A43">
        <w:trPr>
          <w:trHeight w:val="315"/>
        </w:trPr>
        <w:tc>
          <w:tcPr>
            <w:tcW w:w="993" w:type="dxa"/>
            <w:noWrap/>
            <w:vAlign w:val="center"/>
            <w:hideMark/>
          </w:tcPr>
          <w:p w14:paraId="5DFA696C"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6AAB386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S127L</w:t>
            </w:r>
          </w:p>
        </w:tc>
        <w:tc>
          <w:tcPr>
            <w:tcW w:w="1146" w:type="dxa"/>
            <w:noWrap/>
            <w:vAlign w:val="center"/>
            <w:hideMark/>
          </w:tcPr>
          <w:p w14:paraId="45A00EB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2861D5B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4C5035F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3C32AA2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SO</w:t>
            </w:r>
          </w:p>
        </w:tc>
        <w:tc>
          <w:tcPr>
            <w:tcW w:w="2552" w:type="dxa"/>
            <w:gridSpan w:val="2"/>
            <w:noWrap/>
            <w:vAlign w:val="center"/>
            <w:hideMark/>
          </w:tcPr>
          <w:p w14:paraId="7EB5A1A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Case8 (figureS1)</w:t>
            </w:r>
          </w:p>
        </w:tc>
        <w:tc>
          <w:tcPr>
            <w:tcW w:w="850" w:type="dxa"/>
            <w:noWrap/>
            <w:vAlign w:val="center"/>
            <w:hideMark/>
          </w:tcPr>
          <w:p w14:paraId="19088D6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7826096D"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Stutzmann</w:t>
            </w:r>
            <w:proofErr w:type="spellEnd"/>
            <w:r w:rsidRPr="00B63AB4">
              <w:rPr>
                <w:sz w:val="20"/>
                <w:szCs w:val="20"/>
                <w:lang w:val="en-US"/>
              </w:rPr>
              <w:t>, et al. 2008</w:t>
            </w:r>
          </w:p>
        </w:tc>
      </w:tr>
      <w:tr w:rsidR="00DC2DB2" w:rsidRPr="00B63AB4" w14:paraId="0350EDEE" w14:textId="77777777" w:rsidTr="00EB4A43">
        <w:trPr>
          <w:trHeight w:val="315"/>
        </w:trPr>
        <w:tc>
          <w:tcPr>
            <w:tcW w:w="993" w:type="dxa"/>
            <w:noWrap/>
            <w:vAlign w:val="center"/>
            <w:hideMark/>
          </w:tcPr>
          <w:p w14:paraId="6DE2BF99"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2EDD446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S127L</w:t>
            </w:r>
          </w:p>
        </w:tc>
        <w:tc>
          <w:tcPr>
            <w:tcW w:w="1146" w:type="dxa"/>
            <w:noWrap/>
            <w:vAlign w:val="center"/>
            <w:hideMark/>
          </w:tcPr>
          <w:p w14:paraId="7996B62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25D7DF7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65A4FA0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0517B21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7916BE0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Case8m (figureS1)</w:t>
            </w:r>
          </w:p>
        </w:tc>
        <w:tc>
          <w:tcPr>
            <w:tcW w:w="850" w:type="dxa"/>
            <w:noWrap/>
            <w:vAlign w:val="center"/>
            <w:hideMark/>
          </w:tcPr>
          <w:p w14:paraId="7885889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35D68FA1"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Stutzmann</w:t>
            </w:r>
            <w:proofErr w:type="spellEnd"/>
            <w:r w:rsidRPr="00B63AB4">
              <w:rPr>
                <w:sz w:val="20"/>
                <w:szCs w:val="20"/>
                <w:lang w:val="en-US"/>
              </w:rPr>
              <w:t>, et al. 2008</w:t>
            </w:r>
          </w:p>
        </w:tc>
      </w:tr>
      <w:tr w:rsidR="00DC2DB2" w:rsidRPr="00B63AB4" w14:paraId="7BD3992A" w14:textId="77777777" w:rsidTr="00EB4A43">
        <w:trPr>
          <w:trHeight w:val="315"/>
        </w:trPr>
        <w:tc>
          <w:tcPr>
            <w:tcW w:w="993" w:type="dxa"/>
            <w:noWrap/>
            <w:vAlign w:val="center"/>
            <w:hideMark/>
          </w:tcPr>
          <w:p w14:paraId="52C48027"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577536F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T150I</w:t>
            </w:r>
          </w:p>
        </w:tc>
        <w:tc>
          <w:tcPr>
            <w:tcW w:w="1146" w:type="dxa"/>
            <w:noWrap/>
            <w:vAlign w:val="center"/>
            <w:hideMark/>
          </w:tcPr>
          <w:p w14:paraId="46CA16D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51DC0F8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024C6F7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495CA4E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SO</w:t>
            </w:r>
          </w:p>
        </w:tc>
        <w:tc>
          <w:tcPr>
            <w:tcW w:w="2552" w:type="dxa"/>
            <w:gridSpan w:val="2"/>
            <w:noWrap/>
            <w:vAlign w:val="center"/>
            <w:hideMark/>
          </w:tcPr>
          <w:p w14:paraId="02303EF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Case9 (figureS1)</w:t>
            </w:r>
          </w:p>
        </w:tc>
        <w:tc>
          <w:tcPr>
            <w:tcW w:w="850" w:type="dxa"/>
            <w:noWrap/>
            <w:vAlign w:val="center"/>
            <w:hideMark/>
          </w:tcPr>
          <w:p w14:paraId="0FEC67E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7B5B6236"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Stutzmann</w:t>
            </w:r>
            <w:proofErr w:type="spellEnd"/>
            <w:r w:rsidRPr="00B63AB4">
              <w:rPr>
                <w:sz w:val="20"/>
                <w:szCs w:val="20"/>
                <w:lang w:val="en-US"/>
              </w:rPr>
              <w:t>, et al. 2008</w:t>
            </w:r>
          </w:p>
        </w:tc>
      </w:tr>
      <w:tr w:rsidR="00DC2DB2" w:rsidRPr="00B63AB4" w14:paraId="035EC284" w14:textId="77777777" w:rsidTr="00EB4A43">
        <w:trPr>
          <w:trHeight w:val="315"/>
        </w:trPr>
        <w:tc>
          <w:tcPr>
            <w:tcW w:w="993" w:type="dxa"/>
            <w:noWrap/>
            <w:vAlign w:val="center"/>
            <w:hideMark/>
          </w:tcPr>
          <w:p w14:paraId="7FA7E1A8"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6688DE8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T150I</w:t>
            </w:r>
          </w:p>
        </w:tc>
        <w:tc>
          <w:tcPr>
            <w:tcW w:w="1146" w:type="dxa"/>
            <w:noWrap/>
            <w:vAlign w:val="center"/>
            <w:hideMark/>
          </w:tcPr>
          <w:p w14:paraId="2BCE65B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28211AE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1912390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6B22C05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SO</w:t>
            </w:r>
          </w:p>
        </w:tc>
        <w:tc>
          <w:tcPr>
            <w:tcW w:w="2552" w:type="dxa"/>
            <w:gridSpan w:val="2"/>
            <w:noWrap/>
            <w:vAlign w:val="center"/>
            <w:hideMark/>
          </w:tcPr>
          <w:p w14:paraId="2F38F08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Case10 (figureS1)</w:t>
            </w:r>
          </w:p>
        </w:tc>
        <w:tc>
          <w:tcPr>
            <w:tcW w:w="850" w:type="dxa"/>
            <w:noWrap/>
            <w:vAlign w:val="center"/>
            <w:hideMark/>
          </w:tcPr>
          <w:p w14:paraId="366FD2F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7AFE2858"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Stutzmann</w:t>
            </w:r>
            <w:proofErr w:type="spellEnd"/>
            <w:r w:rsidRPr="00B63AB4">
              <w:rPr>
                <w:sz w:val="20"/>
                <w:szCs w:val="20"/>
                <w:lang w:val="en-US"/>
              </w:rPr>
              <w:t>, et al. 2008</w:t>
            </w:r>
          </w:p>
        </w:tc>
      </w:tr>
      <w:tr w:rsidR="00DC2DB2" w:rsidRPr="00B63AB4" w14:paraId="525D866D" w14:textId="77777777" w:rsidTr="00EB4A43">
        <w:trPr>
          <w:trHeight w:val="315"/>
        </w:trPr>
        <w:tc>
          <w:tcPr>
            <w:tcW w:w="993" w:type="dxa"/>
            <w:noWrap/>
            <w:vAlign w:val="center"/>
            <w:hideMark/>
          </w:tcPr>
          <w:p w14:paraId="6558EFE2"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1FF7983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R165W</w:t>
            </w:r>
          </w:p>
        </w:tc>
        <w:tc>
          <w:tcPr>
            <w:tcW w:w="1146" w:type="dxa"/>
            <w:noWrap/>
            <w:vAlign w:val="center"/>
            <w:hideMark/>
          </w:tcPr>
          <w:p w14:paraId="7896DA5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4E42C7B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72F5AE5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562E5C8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4B9FA87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Case11 (figureS1)</w:t>
            </w:r>
          </w:p>
        </w:tc>
        <w:tc>
          <w:tcPr>
            <w:tcW w:w="850" w:type="dxa"/>
            <w:noWrap/>
            <w:vAlign w:val="center"/>
            <w:hideMark/>
          </w:tcPr>
          <w:p w14:paraId="470FA54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3E440416"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Stutzmann</w:t>
            </w:r>
            <w:proofErr w:type="spellEnd"/>
            <w:r w:rsidRPr="00B63AB4">
              <w:rPr>
                <w:sz w:val="20"/>
                <w:szCs w:val="20"/>
                <w:lang w:val="en-US"/>
              </w:rPr>
              <w:t>, et al. 2008</w:t>
            </w:r>
          </w:p>
        </w:tc>
      </w:tr>
      <w:tr w:rsidR="00DC2DB2" w:rsidRPr="00B63AB4" w14:paraId="6329636A" w14:textId="77777777" w:rsidTr="00EB4A43">
        <w:trPr>
          <w:trHeight w:val="315"/>
        </w:trPr>
        <w:tc>
          <w:tcPr>
            <w:tcW w:w="993" w:type="dxa"/>
            <w:noWrap/>
            <w:vAlign w:val="center"/>
            <w:hideMark/>
          </w:tcPr>
          <w:p w14:paraId="68FAD38B"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7992746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I170V</w:t>
            </w:r>
          </w:p>
        </w:tc>
        <w:tc>
          <w:tcPr>
            <w:tcW w:w="1146" w:type="dxa"/>
            <w:noWrap/>
            <w:vAlign w:val="center"/>
            <w:hideMark/>
          </w:tcPr>
          <w:p w14:paraId="0289803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7009B41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3F4EFA4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53E5370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1B7C3C2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Case12 (figureS1)</w:t>
            </w:r>
          </w:p>
        </w:tc>
        <w:tc>
          <w:tcPr>
            <w:tcW w:w="850" w:type="dxa"/>
            <w:noWrap/>
            <w:vAlign w:val="center"/>
            <w:hideMark/>
          </w:tcPr>
          <w:p w14:paraId="081CFB7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5AE6CBE8"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Stutzmann</w:t>
            </w:r>
            <w:proofErr w:type="spellEnd"/>
            <w:r w:rsidRPr="00B63AB4">
              <w:rPr>
                <w:sz w:val="20"/>
                <w:szCs w:val="20"/>
                <w:lang w:val="en-US"/>
              </w:rPr>
              <w:t>, et al. 2008</w:t>
            </w:r>
          </w:p>
        </w:tc>
      </w:tr>
      <w:tr w:rsidR="00DC2DB2" w:rsidRPr="00B63AB4" w14:paraId="7F0AB634" w14:textId="77777777" w:rsidTr="00EB4A43">
        <w:trPr>
          <w:trHeight w:val="315"/>
        </w:trPr>
        <w:tc>
          <w:tcPr>
            <w:tcW w:w="993" w:type="dxa"/>
            <w:noWrap/>
            <w:vAlign w:val="center"/>
            <w:hideMark/>
          </w:tcPr>
          <w:p w14:paraId="45D7B512"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lastRenderedPageBreak/>
              <w:t>MC4R</w:t>
            </w:r>
          </w:p>
        </w:tc>
        <w:tc>
          <w:tcPr>
            <w:tcW w:w="1465" w:type="dxa"/>
            <w:noWrap/>
            <w:vAlign w:val="center"/>
            <w:hideMark/>
          </w:tcPr>
          <w:p w14:paraId="7F4A4C0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Del170V (CATdel170)</w:t>
            </w:r>
          </w:p>
        </w:tc>
        <w:tc>
          <w:tcPr>
            <w:tcW w:w="1146" w:type="dxa"/>
            <w:noWrap/>
            <w:vAlign w:val="center"/>
            <w:hideMark/>
          </w:tcPr>
          <w:p w14:paraId="6053963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Deletion 1 aa</w:t>
            </w:r>
          </w:p>
        </w:tc>
        <w:tc>
          <w:tcPr>
            <w:tcW w:w="1358" w:type="dxa"/>
            <w:noWrap/>
            <w:vAlign w:val="center"/>
            <w:hideMark/>
          </w:tcPr>
          <w:p w14:paraId="01B7790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76A9E2D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6E705D3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67B6367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Case13 (figureS1)</w:t>
            </w:r>
          </w:p>
        </w:tc>
        <w:tc>
          <w:tcPr>
            <w:tcW w:w="850" w:type="dxa"/>
            <w:noWrap/>
            <w:vAlign w:val="center"/>
            <w:hideMark/>
          </w:tcPr>
          <w:p w14:paraId="54555C4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69C3290D"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Stutzmann</w:t>
            </w:r>
            <w:proofErr w:type="spellEnd"/>
            <w:r w:rsidRPr="00B63AB4">
              <w:rPr>
                <w:sz w:val="20"/>
                <w:szCs w:val="20"/>
                <w:lang w:val="en-US"/>
              </w:rPr>
              <w:t>, et al. 2008</w:t>
            </w:r>
          </w:p>
        </w:tc>
      </w:tr>
      <w:tr w:rsidR="00DC2DB2" w:rsidRPr="00B63AB4" w14:paraId="70AADDBC" w14:textId="77777777" w:rsidTr="00EB4A43">
        <w:trPr>
          <w:trHeight w:val="315"/>
        </w:trPr>
        <w:tc>
          <w:tcPr>
            <w:tcW w:w="993" w:type="dxa"/>
            <w:noWrap/>
            <w:vAlign w:val="center"/>
            <w:hideMark/>
          </w:tcPr>
          <w:p w14:paraId="58FCEAF7"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79CEEC2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G252S</w:t>
            </w:r>
          </w:p>
        </w:tc>
        <w:tc>
          <w:tcPr>
            <w:tcW w:w="1146" w:type="dxa"/>
            <w:noWrap/>
            <w:vAlign w:val="center"/>
            <w:hideMark/>
          </w:tcPr>
          <w:p w14:paraId="12469FF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3A745E4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1D520B4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6F86BCA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SO</w:t>
            </w:r>
          </w:p>
        </w:tc>
        <w:tc>
          <w:tcPr>
            <w:tcW w:w="2552" w:type="dxa"/>
            <w:gridSpan w:val="2"/>
            <w:noWrap/>
            <w:vAlign w:val="center"/>
            <w:hideMark/>
          </w:tcPr>
          <w:p w14:paraId="1F00AFD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Case14 (figureS1)</w:t>
            </w:r>
          </w:p>
        </w:tc>
        <w:tc>
          <w:tcPr>
            <w:tcW w:w="850" w:type="dxa"/>
            <w:noWrap/>
            <w:vAlign w:val="center"/>
            <w:hideMark/>
          </w:tcPr>
          <w:p w14:paraId="7867463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2CFC9347"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Stutzmann</w:t>
            </w:r>
            <w:proofErr w:type="spellEnd"/>
            <w:r w:rsidRPr="00B63AB4">
              <w:rPr>
                <w:sz w:val="20"/>
                <w:szCs w:val="20"/>
                <w:lang w:val="en-US"/>
              </w:rPr>
              <w:t>, et al. 2008</w:t>
            </w:r>
          </w:p>
        </w:tc>
      </w:tr>
      <w:tr w:rsidR="00DC2DB2" w:rsidRPr="00B63AB4" w14:paraId="7236A64F" w14:textId="77777777" w:rsidTr="00EB4A43">
        <w:trPr>
          <w:trHeight w:val="315"/>
        </w:trPr>
        <w:tc>
          <w:tcPr>
            <w:tcW w:w="993" w:type="dxa"/>
            <w:noWrap/>
            <w:vAlign w:val="center"/>
            <w:hideMark/>
          </w:tcPr>
          <w:p w14:paraId="6609786B"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145D9C4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P260Q</w:t>
            </w:r>
          </w:p>
        </w:tc>
        <w:tc>
          <w:tcPr>
            <w:tcW w:w="1146" w:type="dxa"/>
            <w:noWrap/>
            <w:vAlign w:val="center"/>
            <w:hideMark/>
          </w:tcPr>
          <w:p w14:paraId="66412FD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6DD592C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356D2BF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383D9C9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2EAD4D9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Case15 (figureS1)</w:t>
            </w:r>
          </w:p>
        </w:tc>
        <w:tc>
          <w:tcPr>
            <w:tcW w:w="850" w:type="dxa"/>
            <w:noWrap/>
            <w:vAlign w:val="center"/>
            <w:hideMark/>
          </w:tcPr>
          <w:p w14:paraId="4986293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3AE805E3"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Stutzmann</w:t>
            </w:r>
            <w:proofErr w:type="spellEnd"/>
            <w:r w:rsidRPr="00B63AB4">
              <w:rPr>
                <w:sz w:val="20"/>
                <w:szCs w:val="20"/>
                <w:lang w:val="en-US"/>
              </w:rPr>
              <w:t>, et al. 2008</w:t>
            </w:r>
          </w:p>
        </w:tc>
      </w:tr>
      <w:tr w:rsidR="00DC2DB2" w:rsidRPr="00B63AB4" w14:paraId="11AE79FE" w14:textId="77777777" w:rsidTr="00EB4A43">
        <w:trPr>
          <w:trHeight w:val="315"/>
        </w:trPr>
        <w:tc>
          <w:tcPr>
            <w:tcW w:w="993" w:type="dxa"/>
            <w:noWrap/>
            <w:vAlign w:val="center"/>
            <w:hideMark/>
          </w:tcPr>
          <w:p w14:paraId="35972487"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0261246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P260Q</w:t>
            </w:r>
          </w:p>
        </w:tc>
        <w:tc>
          <w:tcPr>
            <w:tcW w:w="1146" w:type="dxa"/>
            <w:noWrap/>
            <w:vAlign w:val="center"/>
            <w:hideMark/>
          </w:tcPr>
          <w:p w14:paraId="63BDBF8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0169AEE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4E66E2D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5C199B5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5D6A1FB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Case16 (figureS1)</w:t>
            </w:r>
          </w:p>
        </w:tc>
        <w:tc>
          <w:tcPr>
            <w:tcW w:w="850" w:type="dxa"/>
            <w:noWrap/>
            <w:vAlign w:val="center"/>
            <w:hideMark/>
          </w:tcPr>
          <w:p w14:paraId="4B50978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6DD14E1C"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Stutzmann</w:t>
            </w:r>
            <w:proofErr w:type="spellEnd"/>
            <w:r w:rsidRPr="00B63AB4">
              <w:rPr>
                <w:sz w:val="20"/>
                <w:szCs w:val="20"/>
                <w:lang w:val="en-US"/>
              </w:rPr>
              <w:t>, et al. 2008</w:t>
            </w:r>
          </w:p>
        </w:tc>
      </w:tr>
      <w:tr w:rsidR="00DC2DB2" w:rsidRPr="00B63AB4" w14:paraId="303C5F75" w14:textId="77777777" w:rsidTr="00EB4A43">
        <w:trPr>
          <w:trHeight w:val="315"/>
        </w:trPr>
        <w:tc>
          <w:tcPr>
            <w:tcW w:w="993" w:type="dxa"/>
            <w:noWrap/>
            <w:vAlign w:val="center"/>
            <w:hideMark/>
          </w:tcPr>
          <w:p w14:paraId="6D8AB573"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7D5FF51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P260Q</w:t>
            </w:r>
          </w:p>
        </w:tc>
        <w:tc>
          <w:tcPr>
            <w:tcW w:w="1146" w:type="dxa"/>
            <w:noWrap/>
            <w:vAlign w:val="center"/>
            <w:hideMark/>
          </w:tcPr>
          <w:p w14:paraId="654B289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0F60CE3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0FD512D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7C41892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79380B2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Case16p (figureS1)</w:t>
            </w:r>
          </w:p>
        </w:tc>
        <w:tc>
          <w:tcPr>
            <w:tcW w:w="850" w:type="dxa"/>
            <w:noWrap/>
            <w:vAlign w:val="center"/>
            <w:hideMark/>
          </w:tcPr>
          <w:p w14:paraId="761039B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6783395C"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Stutzmann</w:t>
            </w:r>
            <w:proofErr w:type="spellEnd"/>
            <w:r w:rsidRPr="00B63AB4">
              <w:rPr>
                <w:sz w:val="20"/>
                <w:szCs w:val="20"/>
                <w:lang w:val="en-US"/>
              </w:rPr>
              <w:t>, et al. 2008</w:t>
            </w:r>
          </w:p>
        </w:tc>
      </w:tr>
      <w:tr w:rsidR="00DC2DB2" w:rsidRPr="00B63AB4" w14:paraId="7080C81B" w14:textId="77777777" w:rsidTr="00EB4A43">
        <w:trPr>
          <w:trHeight w:val="315"/>
        </w:trPr>
        <w:tc>
          <w:tcPr>
            <w:tcW w:w="993" w:type="dxa"/>
            <w:noWrap/>
            <w:vAlign w:val="center"/>
            <w:hideMark/>
          </w:tcPr>
          <w:p w14:paraId="1726C799"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45C405F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P299H</w:t>
            </w:r>
          </w:p>
        </w:tc>
        <w:tc>
          <w:tcPr>
            <w:tcW w:w="1146" w:type="dxa"/>
            <w:noWrap/>
            <w:vAlign w:val="center"/>
            <w:hideMark/>
          </w:tcPr>
          <w:p w14:paraId="0C26606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374C15D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7CEDF60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5005259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7080F09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Case17 (figureS1)</w:t>
            </w:r>
          </w:p>
        </w:tc>
        <w:tc>
          <w:tcPr>
            <w:tcW w:w="850" w:type="dxa"/>
            <w:noWrap/>
            <w:vAlign w:val="center"/>
            <w:hideMark/>
          </w:tcPr>
          <w:p w14:paraId="1D9ADB0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58D14CEB"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Stutzmann</w:t>
            </w:r>
            <w:proofErr w:type="spellEnd"/>
            <w:r w:rsidRPr="00B63AB4">
              <w:rPr>
                <w:sz w:val="20"/>
                <w:szCs w:val="20"/>
                <w:lang w:val="en-US"/>
              </w:rPr>
              <w:t>, et al. 2008</w:t>
            </w:r>
          </w:p>
        </w:tc>
      </w:tr>
      <w:tr w:rsidR="00DC2DB2" w:rsidRPr="00B63AB4" w14:paraId="7842324C" w14:textId="77777777" w:rsidTr="00EB4A43">
        <w:trPr>
          <w:trHeight w:val="315"/>
        </w:trPr>
        <w:tc>
          <w:tcPr>
            <w:tcW w:w="993" w:type="dxa"/>
            <w:noWrap/>
            <w:vAlign w:val="center"/>
            <w:hideMark/>
          </w:tcPr>
          <w:p w14:paraId="1789B3DD"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18C5E91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P299H</w:t>
            </w:r>
          </w:p>
        </w:tc>
        <w:tc>
          <w:tcPr>
            <w:tcW w:w="1146" w:type="dxa"/>
            <w:noWrap/>
            <w:vAlign w:val="center"/>
            <w:hideMark/>
          </w:tcPr>
          <w:p w14:paraId="7B8C265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4AA6E12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7F181BA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5AEB013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049A392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Case17p (figureS1)</w:t>
            </w:r>
          </w:p>
        </w:tc>
        <w:tc>
          <w:tcPr>
            <w:tcW w:w="850" w:type="dxa"/>
            <w:noWrap/>
            <w:vAlign w:val="center"/>
            <w:hideMark/>
          </w:tcPr>
          <w:p w14:paraId="2B9054E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5B160ECA"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Stutzmann</w:t>
            </w:r>
            <w:proofErr w:type="spellEnd"/>
            <w:r w:rsidRPr="00B63AB4">
              <w:rPr>
                <w:sz w:val="20"/>
                <w:szCs w:val="20"/>
                <w:lang w:val="en-US"/>
              </w:rPr>
              <w:t>, et al. 2008</w:t>
            </w:r>
          </w:p>
        </w:tc>
      </w:tr>
      <w:tr w:rsidR="00DC2DB2" w:rsidRPr="00B63AB4" w14:paraId="5305FB40" w14:textId="77777777" w:rsidTr="00EB4A43">
        <w:trPr>
          <w:trHeight w:val="315"/>
        </w:trPr>
        <w:tc>
          <w:tcPr>
            <w:tcW w:w="993" w:type="dxa"/>
            <w:noWrap/>
            <w:vAlign w:val="center"/>
            <w:hideMark/>
          </w:tcPr>
          <w:p w14:paraId="1E90826D"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28E849F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P299H</w:t>
            </w:r>
          </w:p>
        </w:tc>
        <w:tc>
          <w:tcPr>
            <w:tcW w:w="1146" w:type="dxa"/>
            <w:noWrap/>
            <w:vAlign w:val="center"/>
            <w:hideMark/>
          </w:tcPr>
          <w:p w14:paraId="726A75A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79314BB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733335B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0E9FFC1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2A9756D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Case18 (figureS1)</w:t>
            </w:r>
          </w:p>
        </w:tc>
        <w:tc>
          <w:tcPr>
            <w:tcW w:w="850" w:type="dxa"/>
            <w:noWrap/>
            <w:vAlign w:val="center"/>
            <w:hideMark/>
          </w:tcPr>
          <w:p w14:paraId="0AEAAD4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6806415A"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Stutzmann</w:t>
            </w:r>
            <w:proofErr w:type="spellEnd"/>
            <w:r w:rsidRPr="00B63AB4">
              <w:rPr>
                <w:sz w:val="20"/>
                <w:szCs w:val="20"/>
                <w:lang w:val="en-US"/>
              </w:rPr>
              <w:t>, et al. 2008</w:t>
            </w:r>
          </w:p>
        </w:tc>
      </w:tr>
      <w:tr w:rsidR="00DC2DB2" w:rsidRPr="00B63AB4" w14:paraId="5E4008A9" w14:textId="77777777" w:rsidTr="00EB4A43">
        <w:trPr>
          <w:trHeight w:val="315"/>
        </w:trPr>
        <w:tc>
          <w:tcPr>
            <w:tcW w:w="993" w:type="dxa"/>
            <w:noWrap/>
            <w:vAlign w:val="center"/>
            <w:hideMark/>
          </w:tcPr>
          <w:p w14:paraId="2784B31F"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28D8832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P299H</w:t>
            </w:r>
          </w:p>
        </w:tc>
        <w:tc>
          <w:tcPr>
            <w:tcW w:w="1146" w:type="dxa"/>
            <w:noWrap/>
            <w:vAlign w:val="center"/>
            <w:hideMark/>
          </w:tcPr>
          <w:p w14:paraId="152D4A2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0582E78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09F9F23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54CD708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686301B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Case18m (figureS1)</w:t>
            </w:r>
          </w:p>
        </w:tc>
        <w:tc>
          <w:tcPr>
            <w:tcW w:w="850" w:type="dxa"/>
            <w:noWrap/>
            <w:vAlign w:val="center"/>
            <w:hideMark/>
          </w:tcPr>
          <w:p w14:paraId="3945FAC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4CB1DB8A"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Stutzmann</w:t>
            </w:r>
            <w:proofErr w:type="spellEnd"/>
            <w:r w:rsidRPr="00B63AB4">
              <w:rPr>
                <w:sz w:val="20"/>
                <w:szCs w:val="20"/>
                <w:lang w:val="en-US"/>
              </w:rPr>
              <w:t>, et al. 2008</w:t>
            </w:r>
          </w:p>
        </w:tc>
      </w:tr>
      <w:tr w:rsidR="00DC2DB2" w:rsidRPr="00B63AB4" w14:paraId="02E5C6D9" w14:textId="77777777" w:rsidTr="00EB4A43">
        <w:trPr>
          <w:trHeight w:val="315"/>
        </w:trPr>
        <w:tc>
          <w:tcPr>
            <w:tcW w:w="993" w:type="dxa"/>
            <w:noWrap/>
            <w:vAlign w:val="center"/>
            <w:hideMark/>
          </w:tcPr>
          <w:p w14:paraId="599918D4"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615A6A4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R305S</w:t>
            </w:r>
          </w:p>
        </w:tc>
        <w:tc>
          <w:tcPr>
            <w:tcW w:w="1146" w:type="dxa"/>
            <w:noWrap/>
            <w:vAlign w:val="center"/>
            <w:hideMark/>
          </w:tcPr>
          <w:p w14:paraId="64AB5FB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1D848F8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01822A6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79A1390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SO</w:t>
            </w:r>
          </w:p>
        </w:tc>
        <w:tc>
          <w:tcPr>
            <w:tcW w:w="2552" w:type="dxa"/>
            <w:gridSpan w:val="2"/>
            <w:noWrap/>
            <w:vAlign w:val="center"/>
            <w:hideMark/>
          </w:tcPr>
          <w:p w14:paraId="3916E28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Case19 (figureS1)</w:t>
            </w:r>
          </w:p>
        </w:tc>
        <w:tc>
          <w:tcPr>
            <w:tcW w:w="850" w:type="dxa"/>
            <w:noWrap/>
            <w:vAlign w:val="center"/>
            <w:hideMark/>
          </w:tcPr>
          <w:p w14:paraId="3DFCE74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2A406169"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Stutzmann</w:t>
            </w:r>
            <w:proofErr w:type="spellEnd"/>
            <w:r w:rsidRPr="00B63AB4">
              <w:rPr>
                <w:sz w:val="20"/>
                <w:szCs w:val="20"/>
                <w:lang w:val="en-US"/>
              </w:rPr>
              <w:t>, et al. 2008</w:t>
            </w:r>
          </w:p>
        </w:tc>
      </w:tr>
      <w:tr w:rsidR="00DC2DB2" w:rsidRPr="00B63AB4" w14:paraId="531A14AB" w14:textId="77777777" w:rsidTr="00EB4A43">
        <w:trPr>
          <w:trHeight w:val="315"/>
        </w:trPr>
        <w:tc>
          <w:tcPr>
            <w:tcW w:w="993" w:type="dxa"/>
            <w:noWrap/>
            <w:vAlign w:val="center"/>
            <w:hideMark/>
          </w:tcPr>
          <w:p w14:paraId="440A342B"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56803E7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R305S</w:t>
            </w:r>
          </w:p>
        </w:tc>
        <w:tc>
          <w:tcPr>
            <w:tcW w:w="1146" w:type="dxa"/>
            <w:noWrap/>
            <w:vAlign w:val="center"/>
            <w:hideMark/>
          </w:tcPr>
          <w:p w14:paraId="10E890A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450320F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2413FDE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2DFFF81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4FDD18D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Case19m (figureS1)</w:t>
            </w:r>
          </w:p>
        </w:tc>
        <w:tc>
          <w:tcPr>
            <w:tcW w:w="850" w:type="dxa"/>
            <w:noWrap/>
            <w:vAlign w:val="center"/>
            <w:hideMark/>
          </w:tcPr>
          <w:p w14:paraId="700DE5E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603B041F"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Stutzmann</w:t>
            </w:r>
            <w:proofErr w:type="spellEnd"/>
            <w:r w:rsidRPr="00B63AB4">
              <w:rPr>
                <w:sz w:val="20"/>
                <w:szCs w:val="20"/>
                <w:lang w:val="en-US"/>
              </w:rPr>
              <w:t>, et al. 2008</w:t>
            </w:r>
          </w:p>
        </w:tc>
      </w:tr>
      <w:tr w:rsidR="00DC2DB2" w:rsidRPr="00B63AB4" w14:paraId="1B557141" w14:textId="77777777" w:rsidTr="00EB4A43">
        <w:trPr>
          <w:trHeight w:val="315"/>
        </w:trPr>
        <w:tc>
          <w:tcPr>
            <w:tcW w:w="993" w:type="dxa"/>
            <w:noWrap/>
            <w:vAlign w:val="center"/>
            <w:hideMark/>
          </w:tcPr>
          <w:p w14:paraId="2A97C42E"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1B4DED4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S127L</w:t>
            </w:r>
          </w:p>
        </w:tc>
        <w:tc>
          <w:tcPr>
            <w:tcW w:w="1146" w:type="dxa"/>
            <w:noWrap/>
            <w:vAlign w:val="center"/>
            <w:hideMark/>
          </w:tcPr>
          <w:p w14:paraId="1795A5F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630C223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638A322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47B32AF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3F84C21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 1 (figure1A)</w:t>
            </w:r>
          </w:p>
        </w:tc>
        <w:tc>
          <w:tcPr>
            <w:tcW w:w="850" w:type="dxa"/>
            <w:noWrap/>
            <w:vAlign w:val="center"/>
            <w:hideMark/>
          </w:tcPr>
          <w:p w14:paraId="6316BD3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7A654D5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Santoro, et al. 2009</w:t>
            </w:r>
          </w:p>
        </w:tc>
      </w:tr>
      <w:tr w:rsidR="00DC2DB2" w:rsidRPr="00B63AB4" w14:paraId="4B835DD7" w14:textId="77777777" w:rsidTr="00EB4A43">
        <w:trPr>
          <w:trHeight w:val="315"/>
        </w:trPr>
        <w:tc>
          <w:tcPr>
            <w:tcW w:w="993" w:type="dxa"/>
            <w:noWrap/>
            <w:vAlign w:val="center"/>
            <w:hideMark/>
          </w:tcPr>
          <w:p w14:paraId="37E69252"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2388271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S127L</w:t>
            </w:r>
          </w:p>
        </w:tc>
        <w:tc>
          <w:tcPr>
            <w:tcW w:w="1146" w:type="dxa"/>
            <w:noWrap/>
            <w:vAlign w:val="center"/>
            <w:hideMark/>
          </w:tcPr>
          <w:p w14:paraId="3951366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7BA140C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743FA61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48D4251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0DA0922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 1p (figure1A)</w:t>
            </w:r>
          </w:p>
        </w:tc>
        <w:tc>
          <w:tcPr>
            <w:tcW w:w="850" w:type="dxa"/>
            <w:noWrap/>
            <w:vAlign w:val="center"/>
            <w:hideMark/>
          </w:tcPr>
          <w:p w14:paraId="6413494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52EF906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Santoro, et al. 2009</w:t>
            </w:r>
          </w:p>
        </w:tc>
      </w:tr>
      <w:tr w:rsidR="00DC2DB2" w:rsidRPr="00B63AB4" w14:paraId="6D7E80ED" w14:textId="77777777" w:rsidTr="00EB4A43">
        <w:trPr>
          <w:trHeight w:val="315"/>
        </w:trPr>
        <w:tc>
          <w:tcPr>
            <w:tcW w:w="993" w:type="dxa"/>
            <w:noWrap/>
            <w:vAlign w:val="center"/>
            <w:hideMark/>
          </w:tcPr>
          <w:p w14:paraId="09B3D135"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526D986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S127L</w:t>
            </w:r>
          </w:p>
        </w:tc>
        <w:tc>
          <w:tcPr>
            <w:tcW w:w="1146" w:type="dxa"/>
            <w:noWrap/>
            <w:vAlign w:val="center"/>
            <w:hideMark/>
          </w:tcPr>
          <w:p w14:paraId="517C591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2A72D7F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12D40E4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6C35653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577875C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 2 (figure1B)</w:t>
            </w:r>
          </w:p>
        </w:tc>
        <w:tc>
          <w:tcPr>
            <w:tcW w:w="850" w:type="dxa"/>
            <w:noWrap/>
            <w:vAlign w:val="center"/>
            <w:hideMark/>
          </w:tcPr>
          <w:p w14:paraId="434C015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55DBD4C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Santoro, et al. 2009</w:t>
            </w:r>
          </w:p>
        </w:tc>
      </w:tr>
      <w:tr w:rsidR="00DC2DB2" w:rsidRPr="00B63AB4" w14:paraId="75A0E153" w14:textId="77777777" w:rsidTr="00EB4A43">
        <w:trPr>
          <w:trHeight w:val="315"/>
        </w:trPr>
        <w:tc>
          <w:tcPr>
            <w:tcW w:w="993" w:type="dxa"/>
            <w:noWrap/>
            <w:vAlign w:val="center"/>
            <w:hideMark/>
          </w:tcPr>
          <w:p w14:paraId="2924EB80"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086B5A7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S127L</w:t>
            </w:r>
          </w:p>
        </w:tc>
        <w:tc>
          <w:tcPr>
            <w:tcW w:w="1146" w:type="dxa"/>
            <w:noWrap/>
            <w:vAlign w:val="center"/>
            <w:hideMark/>
          </w:tcPr>
          <w:p w14:paraId="1979DC8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730DC5F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7271556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00E6FA4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381B90B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 3 (figure1C)</w:t>
            </w:r>
          </w:p>
        </w:tc>
        <w:tc>
          <w:tcPr>
            <w:tcW w:w="850" w:type="dxa"/>
            <w:noWrap/>
            <w:vAlign w:val="center"/>
            <w:hideMark/>
          </w:tcPr>
          <w:p w14:paraId="148B950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49E1C72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Santoro, et al. 2009</w:t>
            </w:r>
          </w:p>
        </w:tc>
      </w:tr>
      <w:tr w:rsidR="00DC2DB2" w:rsidRPr="00B63AB4" w14:paraId="4C56F5AF" w14:textId="77777777" w:rsidTr="00EB4A43">
        <w:trPr>
          <w:trHeight w:val="315"/>
        </w:trPr>
        <w:tc>
          <w:tcPr>
            <w:tcW w:w="993" w:type="dxa"/>
            <w:noWrap/>
            <w:vAlign w:val="center"/>
            <w:hideMark/>
          </w:tcPr>
          <w:p w14:paraId="37F13107"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3AF2A76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Q307X</w:t>
            </w:r>
          </w:p>
        </w:tc>
        <w:tc>
          <w:tcPr>
            <w:tcW w:w="1146" w:type="dxa"/>
            <w:noWrap/>
            <w:vAlign w:val="center"/>
            <w:hideMark/>
          </w:tcPr>
          <w:p w14:paraId="0A0C9CF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20EE905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7B232C1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0F5E94A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3A7A2DC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 4 (figure2A)</w:t>
            </w:r>
          </w:p>
        </w:tc>
        <w:tc>
          <w:tcPr>
            <w:tcW w:w="850" w:type="dxa"/>
            <w:noWrap/>
            <w:vAlign w:val="center"/>
            <w:hideMark/>
          </w:tcPr>
          <w:p w14:paraId="7C3AF3F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7CAE78A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Santoro, et al. 2009</w:t>
            </w:r>
          </w:p>
        </w:tc>
      </w:tr>
      <w:tr w:rsidR="00DC2DB2" w:rsidRPr="00B63AB4" w14:paraId="00AB058F" w14:textId="77777777" w:rsidTr="00EB4A43">
        <w:trPr>
          <w:trHeight w:val="315"/>
        </w:trPr>
        <w:tc>
          <w:tcPr>
            <w:tcW w:w="993" w:type="dxa"/>
            <w:noWrap/>
            <w:vAlign w:val="center"/>
            <w:hideMark/>
          </w:tcPr>
          <w:p w14:paraId="3F1C06C7"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313CCFB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R7H</w:t>
            </w:r>
          </w:p>
        </w:tc>
        <w:tc>
          <w:tcPr>
            <w:tcW w:w="1146" w:type="dxa"/>
            <w:noWrap/>
            <w:vAlign w:val="center"/>
            <w:hideMark/>
          </w:tcPr>
          <w:p w14:paraId="04F98E0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74C96CC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6E5E821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3AB1223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SO</w:t>
            </w:r>
          </w:p>
        </w:tc>
        <w:tc>
          <w:tcPr>
            <w:tcW w:w="2552" w:type="dxa"/>
            <w:gridSpan w:val="2"/>
            <w:noWrap/>
            <w:vAlign w:val="center"/>
            <w:hideMark/>
          </w:tcPr>
          <w:p w14:paraId="387B6A6F"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FamA</w:t>
            </w:r>
            <w:proofErr w:type="spellEnd"/>
            <w:r w:rsidRPr="00B63AB4">
              <w:rPr>
                <w:sz w:val="20"/>
                <w:szCs w:val="20"/>
                <w:lang w:val="en-US"/>
              </w:rPr>
              <w:t xml:space="preserve"> (figure2)</w:t>
            </w:r>
          </w:p>
        </w:tc>
        <w:tc>
          <w:tcPr>
            <w:tcW w:w="850" w:type="dxa"/>
            <w:noWrap/>
            <w:vAlign w:val="center"/>
            <w:hideMark/>
          </w:tcPr>
          <w:p w14:paraId="71AEE9D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5E4E65F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Albuquerque, et al. 2014</w:t>
            </w:r>
          </w:p>
        </w:tc>
      </w:tr>
      <w:tr w:rsidR="00DC2DB2" w:rsidRPr="00B63AB4" w14:paraId="137ED1B6" w14:textId="77777777" w:rsidTr="00EB4A43">
        <w:trPr>
          <w:trHeight w:val="315"/>
        </w:trPr>
        <w:tc>
          <w:tcPr>
            <w:tcW w:w="993" w:type="dxa"/>
            <w:noWrap/>
            <w:vAlign w:val="center"/>
            <w:hideMark/>
          </w:tcPr>
          <w:p w14:paraId="3C00FB58"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0CB721E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H76R</w:t>
            </w:r>
          </w:p>
        </w:tc>
        <w:tc>
          <w:tcPr>
            <w:tcW w:w="1146" w:type="dxa"/>
            <w:noWrap/>
            <w:vAlign w:val="center"/>
            <w:hideMark/>
          </w:tcPr>
          <w:p w14:paraId="689BA1E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359F341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379D7AD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2F7F78C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484A4EBA"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FamB</w:t>
            </w:r>
            <w:proofErr w:type="spellEnd"/>
            <w:r w:rsidRPr="00B63AB4">
              <w:rPr>
                <w:sz w:val="20"/>
                <w:szCs w:val="20"/>
                <w:lang w:val="en-US"/>
              </w:rPr>
              <w:t xml:space="preserve"> (figure2)</w:t>
            </w:r>
          </w:p>
        </w:tc>
        <w:tc>
          <w:tcPr>
            <w:tcW w:w="850" w:type="dxa"/>
            <w:noWrap/>
            <w:vAlign w:val="center"/>
            <w:hideMark/>
          </w:tcPr>
          <w:p w14:paraId="65BB11E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54A9DC8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Albuquerque, et al. 2014</w:t>
            </w:r>
          </w:p>
        </w:tc>
      </w:tr>
      <w:tr w:rsidR="00DC2DB2" w:rsidRPr="00B63AB4" w14:paraId="683C9911" w14:textId="77777777" w:rsidTr="00EB4A43">
        <w:trPr>
          <w:trHeight w:val="315"/>
        </w:trPr>
        <w:tc>
          <w:tcPr>
            <w:tcW w:w="993" w:type="dxa"/>
            <w:noWrap/>
            <w:vAlign w:val="center"/>
            <w:hideMark/>
          </w:tcPr>
          <w:p w14:paraId="033FE759"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459AE59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S127L</w:t>
            </w:r>
          </w:p>
        </w:tc>
        <w:tc>
          <w:tcPr>
            <w:tcW w:w="1146" w:type="dxa"/>
            <w:noWrap/>
            <w:vAlign w:val="center"/>
            <w:hideMark/>
          </w:tcPr>
          <w:p w14:paraId="6266F52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22D6B59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22019AC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329BA93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SO</w:t>
            </w:r>
          </w:p>
        </w:tc>
        <w:tc>
          <w:tcPr>
            <w:tcW w:w="2552" w:type="dxa"/>
            <w:gridSpan w:val="2"/>
            <w:noWrap/>
            <w:vAlign w:val="center"/>
            <w:hideMark/>
          </w:tcPr>
          <w:p w14:paraId="18B7BCE3"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FamC</w:t>
            </w:r>
            <w:proofErr w:type="spellEnd"/>
            <w:r w:rsidRPr="00B63AB4">
              <w:rPr>
                <w:sz w:val="20"/>
                <w:szCs w:val="20"/>
                <w:lang w:val="en-US"/>
              </w:rPr>
              <w:t xml:space="preserve"> (figure2)</w:t>
            </w:r>
          </w:p>
        </w:tc>
        <w:tc>
          <w:tcPr>
            <w:tcW w:w="850" w:type="dxa"/>
            <w:noWrap/>
            <w:vAlign w:val="center"/>
            <w:hideMark/>
          </w:tcPr>
          <w:p w14:paraId="5BD6076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3CE6404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Albuquerque, et al. 2014</w:t>
            </w:r>
          </w:p>
        </w:tc>
      </w:tr>
      <w:tr w:rsidR="00DC2DB2" w:rsidRPr="00B63AB4" w14:paraId="0066DD46" w14:textId="77777777" w:rsidTr="00EB4A43">
        <w:trPr>
          <w:trHeight w:val="315"/>
        </w:trPr>
        <w:tc>
          <w:tcPr>
            <w:tcW w:w="993" w:type="dxa"/>
            <w:noWrap/>
            <w:vAlign w:val="center"/>
            <w:hideMark/>
          </w:tcPr>
          <w:p w14:paraId="77C900A2"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752A306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R147G</w:t>
            </w:r>
          </w:p>
        </w:tc>
        <w:tc>
          <w:tcPr>
            <w:tcW w:w="1146" w:type="dxa"/>
            <w:noWrap/>
            <w:vAlign w:val="center"/>
            <w:hideMark/>
          </w:tcPr>
          <w:p w14:paraId="6E909CE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3CDFA1D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6A503B7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23067BA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SO</w:t>
            </w:r>
          </w:p>
        </w:tc>
        <w:tc>
          <w:tcPr>
            <w:tcW w:w="2552" w:type="dxa"/>
            <w:gridSpan w:val="2"/>
            <w:noWrap/>
            <w:vAlign w:val="center"/>
            <w:hideMark/>
          </w:tcPr>
          <w:p w14:paraId="4AC2A8AF"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FamD</w:t>
            </w:r>
            <w:proofErr w:type="spellEnd"/>
            <w:r w:rsidRPr="00B63AB4">
              <w:rPr>
                <w:sz w:val="20"/>
                <w:szCs w:val="20"/>
                <w:lang w:val="en-US"/>
              </w:rPr>
              <w:t xml:space="preserve"> (figure2)</w:t>
            </w:r>
          </w:p>
        </w:tc>
        <w:tc>
          <w:tcPr>
            <w:tcW w:w="850" w:type="dxa"/>
            <w:noWrap/>
            <w:vAlign w:val="center"/>
            <w:hideMark/>
          </w:tcPr>
          <w:p w14:paraId="28CE147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04F32F3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Albuquerque, et al. 2014</w:t>
            </w:r>
          </w:p>
        </w:tc>
      </w:tr>
      <w:tr w:rsidR="00DC2DB2" w:rsidRPr="00B63AB4" w14:paraId="14E0F969" w14:textId="77777777" w:rsidTr="00EB4A43">
        <w:trPr>
          <w:trHeight w:val="315"/>
        </w:trPr>
        <w:tc>
          <w:tcPr>
            <w:tcW w:w="993" w:type="dxa"/>
            <w:noWrap/>
            <w:vAlign w:val="center"/>
            <w:hideMark/>
          </w:tcPr>
          <w:p w14:paraId="054371D1"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077218E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I251L</w:t>
            </w:r>
          </w:p>
        </w:tc>
        <w:tc>
          <w:tcPr>
            <w:tcW w:w="1146" w:type="dxa"/>
            <w:noWrap/>
            <w:vAlign w:val="center"/>
            <w:hideMark/>
          </w:tcPr>
          <w:p w14:paraId="3F32EE3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1FE9646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57BE5A7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3CA0D81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018F2D9F"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FamF</w:t>
            </w:r>
            <w:proofErr w:type="spellEnd"/>
            <w:r w:rsidRPr="00B63AB4">
              <w:rPr>
                <w:sz w:val="20"/>
                <w:szCs w:val="20"/>
                <w:lang w:val="en-US"/>
              </w:rPr>
              <w:t xml:space="preserve"> (figure2)</w:t>
            </w:r>
          </w:p>
        </w:tc>
        <w:tc>
          <w:tcPr>
            <w:tcW w:w="850" w:type="dxa"/>
            <w:noWrap/>
            <w:vAlign w:val="center"/>
            <w:hideMark/>
          </w:tcPr>
          <w:p w14:paraId="6CD5EDD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66137E4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Albuquerque, et al. 2014</w:t>
            </w:r>
          </w:p>
        </w:tc>
      </w:tr>
      <w:tr w:rsidR="00DC2DB2" w:rsidRPr="00B63AB4" w14:paraId="35C4C77E" w14:textId="77777777" w:rsidTr="00EB4A43">
        <w:trPr>
          <w:trHeight w:val="315"/>
        </w:trPr>
        <w:tc>
          <w:tcPr>
            <w:tcW w:w="993" w:type="dxa"/>
            <w:noWrap/>
            <w:vAlign w:val="center"/>
            <w:hideMark/>
          </w:tcPr>
          <w:p w14:paraId="15CCF5C8"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72FDBBD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G323E</w:t>
            </w:r>
          </w:p>
        </w:tc>
        <w:tc>
          <w:tcPr>
            <w:tcW w:w="1146" w:type="dxa"/>
            <w:noWrap/>
            <w:vAlign w:val="center"/>
            <w:hideMark/>
          </w:tcPr>
          <w:p w14:paraId="0B1B29A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2C1AA94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15DD54C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67090D8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615A0F8C"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FamG</w:t>
            </w:r>
            <w:proofErr w:type="spellEnd"/>
            <w:r w:rsidRPr="00B63AB4">
              <w:rPr>
                <w:sz w:val="20"/>
                <w:szCs w:val="20"/>
                <w:lang w:val="en-US"/>
              </w:rPr>
              <w:t xml:space="preserve"> (figure2)</w:t>
            </w:r>
          </w:p>
        </w:tc>
        <w:tc>
          <w:tcPr>
            <w:tcW w:w="850" w:type="dxa"/>
            <w:noWrap/>
            <w:vAlign w:val="center"/>
            <w:hideMark/>
          </w:tcPr>
          <w:p w14:paraId="57135D9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1CF9C9F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Albuquerque, et al. 2014</w:t>
            </w:r>
          </w:p>
        </w:tc>
      </w:tr>
      <w:tr w:rsidR="00DC2DB2" w:rsidRPr="00B63AB4" w14:paraId="21C64585" w14:textId="77777777" w:rsidTr="00EB4A43">
        <w:trPr>
          <w:trHeight w:val="315"/>
        </w:trPr>
        <w:tc>
          <w:tcPr>
            <w:tcW w:w="993" w:type="dxa"/>
            <w:noWrap/>
            <w:vAlign w:val="center"/>
            <w:hideMark/>
          </w:tcPr>
          <w:p w14:paraId="5925F54E"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2040849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S19fs (</w:t>
            </w:r>
            <w:proofErr w:type="spellStart"/>
            <w:r w:rsidRPr="00B63AB4">
              <w:rPr>
                <w:sz w:val="20"/>
                <w:szCs w:val="20"/>
                <w:lang w:val="en-US"/>
              </w:rPr>
              <w:t>delA</w:t>
            </w:r>
            <w:proofErr w:type="spellEnd"/>
            <w:r w:rsidRPr="00B63AB4">
              <w:rPr>
                <w:sz w:val="20"/>
                <w:szCs w:val="20"/>
                <w:lang w:val="en-US"/>
              </w:rPr>
              <w:t>)</w:t>
            </w:r>
          </w:p>
        </w:tc>
        <w:tc>
          <w:tcPr>
            <w:tcW w:w="1146" w:type="dxa"/>
            <w:noWrap/>
            <w:vAlign w:val="center"/>
            <w:hideMark/>
          </w:tcPr>
          <w:p w14:paraId="662B1A6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Frameshift</w:t>
            </w:r>
          </w:p>
        </w:tc>
        <w:tc>
          <w:tcPr>
            <w:tcW w:w="1358" w:type="dxa"/>
            <w:noWrap/>
            <w:vAlign w:val="center"/>
            <w:hideMark/>
          </w:tcPr>
          <w:p w14:paraId="1EA0A5D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140689A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59DB00F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41C0D9E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MO56 (figure1)</w:t>
            </w:r>
          </w:p>
        </w:tc>
        <w:tc>
          <w:tcPr>
            <w:tcW w:w="850" w:type="dxa"/>
            <w:noWrap/>
            <w:vAlign w:val="center"/>
            <w:hideMark/>
          </w:tcPr>
          <w:p w14:paraId="1E74220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684B09DD"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Stanikova</w:t>
            </w:r>
            <w:proofErr w:type="spellEnd"/>
            <w:r w:rsidRPr="00B63AB4">
              <w:rPr>
                <w:sz w:val="20"/>
                <w:szCs w:val="20"/>
                <w:lang w:val="en-US"/>
              </w:rPr>
              <w:t>, et al. 2015</w:t>
            </w:r>
          </w:p>
        </w:tc>
      </w:tr>
      <w:tr w:rsidR="00DC2DB2" w:rsidRPr="00B63AB4" w14:paraId="346EADA7" w14:textId="77777777" w:rsidTr="00EB4A43">
        <w:trPr>
          <w:trHeight w:val="315"/>
        </w:trPr>
        <w:tc>
          <w:tcPr>
            <w:tcW w:w="993" w:type="dxa"/>
            <w:noWrap/>
            <w:vAlign w:val="center"/>
            <w:hideMark/>
          </w:tcPr>
          <w:p w14:paraId="4E65B7D0"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2F497EC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S127L</w:t>
            </w:r>
          </w:p>
        </w:tc>
        <w:tc>
          <w:tcPr>
            <w:tcW w:w="1146" w:type="dxa"/>
            <w:noWrap/>
            <w:vAlign w:val="center"/>
            <w:hideMark/>
          </w:tcPr>
          <w:p w14:paraId="319083F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10224F2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0F43512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248D11A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52EBB86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MO111 (figure1)</w:t>
            </w:r>
          </w:p>
        </w:tc>
        <w:tc>
          <w:tcPr>
            <w:tcW w:w="850" w:type="dxa"/>
            <w:noWrap/>
            <w:vAlign w:val="center"/>
            <w:hideMark/>
          </w:tcPr>
          <w:p w14:paraId="380EBEE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28BEA28C"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Stanikova</w:t>
            </w:r>
            <w:proofErr w:type="spellEnd"/>
            <w:r w:rsidRPr="00B63AB4">
              <w:rPr>
                <w:sz w:val="20"/>
                <w:szCs w:val="20"/>
                <w:lang w:val="en-US"/>
              </w:rPr>
              <w:t>, et al. 2015</w:t>
            </w:r>
          </w:p>
        </w:tc>
      </w:tr>
      <w:tr w:rsidR="00DC2DB2" w:rsidRPr="00B63AB4" w14:paraId="7BA24D5E" w14:textId="77777777" w:rsidTr="00EB4A43">
        <w:trPr>
          <w:trHeight w:val="315"/>
        </w:trPr>
        <w:tc>
          <w:tcPr>
            <w:tcW w:w="993" w:type="dxa"/>
            <w:noWrap/>
            <w:vAlign w:val="center"/>
            <w:hideMark/>
          </w:tcPr>
          <w:p w14:paraId="15089C83"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066913F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F152fs</w:t>
            </w:r>
          </w:p>
        </w:tc>
        <w:tc>
          <w:tcPr>
            <w:tcW w:w="1146" w:type="dxa"/>
            <w:noWrap/>
            <w:vAlign w:val="center"/>
            <w:hideMark/>
          </w:tcPr>
          <w:p w14:paraId="082F1A4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Frameshift</w:t>
            </w:r>
          </w:p>
        </w:tc>
        <w:tc>
          <w:tcPr>
            <w:tcW w:w="1358" w:type="dxa"/>
            <w:noWrap/>
            <w:vAlign w:val="center"/>
            <w:hideMark/>
          </w:tcPr>
          <w:p w14:paraId="120F2CA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6B317C0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6470059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EOO</w:t>
            </w:r>
          </w:p>
        </w:tc>
        <w:tc>
          <w:tcPr>
            <w:tcW w:w="2552" w:type="dxa"/>
            <w:gridSpan w:val="2"/>
            <w:noWrap/>
            <w:vAlign w:val="center"/>
            <w:hideMark/>
          </w:tcPr>
          <w:p w14:paraId="38924A3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Case1 (text)</w:t>
            </w:r>
          </w:p>
        </w:tc>
        <w:tc>
          <w:tcPr>
            <w:tcW w:w="850" w:type="dxa"/>
            <w:noWrap/>
            <w:vAlign w:val="center"/>
            <w:hideMark/>
          </w:tcPr>
          <w:p w14:paraId="5F36F9B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5B162550"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Vollbach</w:t>
            </w:r>
            <w:proofErr w:type="spellEnd"/>
            <w:r w:rsidRPr="00B63AB4">
              <w:rPr>
                <w:sz w:val="20"/>
                <w:szCs w:val="20"/>
                <w:lang w:val="en-US"/>
              </w:rPr>
              <w:t>, et al. 2016</w:t>
            </w:r>
          </w:p>
        </w:tc>
      </w:tr>
      <w:tr w:rsidR="00DC2DB2" w:rsidRPr="00B63AB4" w14:paraId="349C54D5" w14:textId="77777777" w:rsidTr="00EB4A43">
        <w:trPr>
          <w:trHeight w:val="315"/>
        </w:trPr>
        <w:tc>
          <w:tcPr>
            <w:tcW w:w="993" w:type="dxa"/>
            <w:noWrap/>
            <w:vAlign w:val="center"/>
            <w:hideMark/>
          </w:tcPr>
          <w:p w14:paraId="1C7F1127"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51C1BE5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T101I</w:t>
            </w:r>
          </w:p>
        </w:tc>
        <w:tc>
          <w:tcPr>
            <w:tcW w:w="1146" w:type="dxa"/>
            <w:noWrap/>
            <w:vAlign w:val="center"/>
            <w:hideMark/>
          </w:tcPr>
          <w:p w14:paraId="10AFD9C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4542C71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2DDD8E3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27A6607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34CEEEA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Family1 (figure1A)</w:t>
            </w:r>
          </w:p>
        </w:tc>
        <w:tc>
          <w:tcPr>
            <w:tcW w:w="850" w:type="dxa"/>
            <w:noWrap/>
            <w:vAlign w:val="center"/>
            <w:hideMark/>
          </w:tcPr>
          <w:p w14:paraId="01A62C1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5EF69418"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Gimeno</w:t>
            </w:r>
            <w:proofErr w:type="spellEnd"/>
            <w:r w:rsidRPr="00B63AB4">
              <w:rPr>
                <w:sz w:val="20"/>
                <w:szCs w:val="20"/>
                <w:lang w:val="en-US"/>
              </w:rPr>
              <w:t>-Ferrer, et al. 2019</w:t>
            </w:r>
          </w:p>
        </w:tc>
      </w:tr>
      <w:tr w:rsidR="00DC2DB2" w:rsidRPr="00B63AB4" w14:paraId="248DF774" w14:textId="77777777" w:rsidTr="00EB4A43">
        <w:trPr>
          <w:trHeight w:val="315"/>
        </w:trPr>
        <w:tc>
          <w:tcPr>
            <w:tcW w:w="993" w:type="dxa"/>
            <w:noWrap/>
            <w:vAlign w:val="center"/>
            <w:hideMark/>
          </w:tcPr>
          <w:p w14:paraId="6C6F34D6"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lastRenderedPageBreak/>
              <w:t>MC4R</w:t>
            </w:r>
          </w:p>
        </w:tc>
        <w:tc>
          <w:tcPr>
            <w:tcW w:w="1465" w:type="dxa"/>
            <w:noWrap/>
            <w:vAlign w:val="center"/>
            <w:hideMark/>
          </w:tcPr>
          <w:p w14:paraId="014ADE3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c.-24G&gt;A</w:t>
            </w:r>
          </w:p>
        </w:tc>
        <w:tc>
          <w:tcPr>
            <w:tcW w:w="1146" w:type="dxa"/>
            <w:noWrap/>
            <w:vAlign w:val="center"/>
            <w:hideMark/>
          </w:tcPr>
          <w:p w14:paraId="303ADFB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Promoter</w:t>
            </w:r>
          </w:p>
        </w:tc>
        <w:tc>
          <w:tcPr>
            <w:tcW w:w="1358" w:type="dxa"/>
            <w:noWrap/>
            <w:vAlign w:val="center"/>
            <w:hideMark/>
          </w:tcPr>
          <w:p w14:paraId="5DA5F24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424CA85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11E2A3E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3EB6219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Family2 (figure1B)</w:t>
            </w:r>
          </w:p>
        </w:tc>
        <w:tc>
          <w:tcPr>
            <w:tcW w:w="850" w:type="dxa"/>
            <w:noWrap/>
            <w:vAlign w:val="center"/>
            <w:hideMark/>
          </w:tcPr>
          <w:p w14:paraId="6C338DC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10D3B330"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Gimeno</w:t>
            </w:r>
            <w:proofErr w:type="spellEnd"/>
            <w:r w:rsidRPr="00B63AB4">
              <w:rPr>
                <w:sz w:val="20"/>
                <w:szCs w:val="20"/>
                <w:lang w:val="en-US"/>
              </w:rPr>
              <w:t>-Ferrer, et al. 2019</w:t>
            </w:r>
          </w:p>
        </w:tc>
      </w:tr>
      <w:tr w:rsidR="00DC2DB2" w:rsidRPr="00B63AB4" w14:paraId="514C3B0D" w14:textId="77777777" w:rsidTr="00EB4A43">
        <w:trPr>
          <w:trHeight w:val="315"/>
        </w:trPr>
        <w:tc>
          <w:tcPr>
            <w:tcW w:w="993" w:type="dxa"/>
            <w:noWrap/>
            <w:vAlign w:val="center"/>
            <w:hideMark/>
          </w:tcPr>
          <w:p w14:paraId="755AEDC3"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3C603CC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c.-24G&gt;A</w:t>
            </w:r>
          </w:p>
        </w:tc>
        <w:tc>
          <w:tcPr>
            <w:tcW w:w="1146" w:type="dxa"/>
            <w:noWrap/>
            <w:vAlign w:val="center"/>
            <w:hideMark/>
          </w:tcPr>
          <w:p w14:paraId="5307E67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Promoter</w:t>
            </w:r>
          </w:p>
        </w:tc>
        <w:tc>
          <w:tcPr>
            <w:tcW w:w="1358" w:type="dxa"/>
            <w:noWrap/>
            <w:vAlign w:val="center"/>
            <w:hideMark/>
          </w:tcPr>
          <w:p w14:paraId="71217D6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2CD5DE1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23B71A2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42737B0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Family2p (figure1B)</w:t>
            </w:r>
          </w:p>
        </w:tc>
        <w:tc>
          <w:tcPr>
            <w:tcW w:w="850" w:type="dxa"/>
            <w:noWrap/>
            <w:vAlign w:val="center"/>
            <w:hideMark/>
          </w:tcPr>
          <w:p w14:paraId="63427C4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08A58782"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Gimeno</w:t>
            </w:r>
            <w:proofErr w:type="spellEnd"/>
            <w:r w:rsidRPr="00B63AB4">
              <w:rPr>
                <w:sz w:val="20"/>
                <w:szCs w:val="20"/>
                <w:lang w:val="en-US"/>
              </w:rPr>
              <w:t>-Ferrer, et al. 2019</w:t>
            </w:r>
          </w:p>
        </w:tc>
      </w:tr>
      <w:tr w:rsidR="00DC2DB2" w:rsidRPr="00B63AB4" w14:paraId="0B38C0B4" w14:textId="77777777" w:rsidTr="00EB4A43">
        <w:trPr>
          <w:trHeight w:val="315"/>
        </w:trPr>
        <w:tc>
          <w:tcPr>
            <w:tcW w:w="993" w:type="dxa"/>
            <w:noWrap/>
            <w:vAlign w:val="center"/>
            <w:hideMark/>
          </w:tcPr>
          <w:p w14:paraId="74823DBB"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4387313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S30F</w:t>
            </w:r>
          </w:p>
        </w:tc>
        <w:tc>
          <w:tcPr>
            <w:tcW w:w="1146" w:type="dxa"/>
            <w:noWrap/>
            <w:vAlign w:val="center"/>
            <w:hideMark/>
          </w:tcPr>
          <w:p w14:paraId="34789FD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1298DB2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0D1CAED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206CBDC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06BA752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Family3.1 (figure1C)</w:t>
            </w:r>
          </w:p>
        </w:tc>
        <w:tc>
          <w:tcPr>
            <w:tcW w:w="850" w:type="dxa"/>
            <w:noWrap/>
            <w:vAlign w:val="center"/>
            <w:hideMark/>
          </w:tcPr>
          <w:p w14:paraId="3A2D59E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78DE8246"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Gimeno</w:t>
            </w:r>
            <w:proofErr w:type="spellEnd"/>
            <w:r w:rsidRPr="00B63AB4">
              <w:rPr>
                <w:sz w:val="20"/>
                <w:szCs w:val="20"/>
                <w:lang w:val="en-US"/>
              </w:rPr>
              <w:t>-Ferrer, et al. 2019</w:t>
            </w:r>
          </w:p>
        </w:tc>
      </w:tr>
      <w:tr w:rsidR="00DC2DB2" w:rsidRPr="00B63AB4" w14:paraId="2AAA7407" w14:textId="77777777" w:rsidTr="00EB4A43">
        <w:trPr>
          <w:trHeight w:val="315"/>
        </w:trPr>
        <w:tc>
          <w:tcPr>
            <w:tcW w:w="993" w:type="dxa"/>
            <w:noWrap/>
            <w:vAlign w:val="center"/>
            <w:hideMark/>
          </w:tcPr>
          <w:p w14:paraId="1B4563E1"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501561D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S30F</w:t>
            </w:r>
          </w:p>
        </w:tc>
        <w:tc>
          <w:tcPr>
            <w:tcW w:w="1146" w:type="dxa"/>
            <w:noWrap/>
            <w:vAlign w:val="center"/>
            <w:hideMark/>
          </w:tcPr>
          <w:p w14:paraId="5F574A4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32CA339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122A8DA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058969C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03AAF76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Family3.2 (figure1C)</w:t>
            </w:r>
          </w:p>
        </w:tc>
        <w:tc>
          <w:tcPr>
            <w:tcW w:w="850" w:type="dxa"/>
            <w:noWrap/>
            <w:vAlign w:val="center"/>
            <w:hideMark/>
          </w:tcPr>
          <w:p w14:paraId="50E18ED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7831D44D"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Gimeno</w:t>
            </w:r>
            <w:proofErr w:type="spellEnd"/>
            <w:r w:rsidRPr="00B63AB4">
              <w:rPr>
                <w:sz w:val="20"/>
                <w:szCs w:val="20"/>
                <w:lang w:val="en-US"/>
              </w:rPr>
              <w:t>-Ferrer, et al. 2019</w:t>
            </w:r>
          </w:p>
        </w:tc>
      </w:tr>
      <w:tr w:rsidR="00DC2DB2" w:rsidRPr="00B63AB4" w14:paraId="2DFB942D" w14:textId="77777777" w:rsidTr="00EB4A43">
        <w:trPr>
          <w:trHeight w:val="315"/>
        </w:trPr>
        <w:tc>
          <w:tcPr>
            <w:tcW w:w="993" w:type="dxa"/>
            <w:noWrap/>
            <w:vAlign w:val="center"/>
            <w:hideMark/>
          </w:tcPr>
          <w:p w14:paraId="6831F34D"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MC4R</w:t>
            </w:r>
          </w:p>
        </w:tc>
        <w:tc>
          <w:tcPr>
            <w:tcW w:w="1465" w:type="dxa"/>
            <w:noWrap/>
            <w:vAlign w:val="center"/>
            <w:hideMark/>
          </w:tcPr>
          <w:p w14:paraId="5F4FCB1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A259D</w:t>
            </w:r>
          </w:p>
        </w:tc>
        <w:tc>
          <w:tcPr>
            <w:tcW w:w="1146" w:type="dxa"/>
            <w:noWrap/>
            <w:vAlign w:val="center"/>
            <w:hideMark/>
          </w:tcPr>
          <w:p w14:paraId="132FA77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2639811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0719190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68E30A8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69187C3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Family4 (figure1D)</w:t>
            </w:r>
          </w:p>
        </w:tc>
        <w:tc>
          <w:tcPr>
            <w:tcW w:w="850" w:type="dxa"/>
            <w:noWrap/>
            <w:vAlign w:val="center"/>
            <w:hideMark/>
          </w:tcPr>
          <w:p w14:paraId="6B63392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58938253"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Gimeno</w:t>
            </w:r>
            <w:proofErr w:type="spellEnd"/>
            <w:r w:rsidRPr="00B63AB4">
              <w:rPr>
                <w:sz w:val="20"/>
                <w:szCs w:val="20"/>
                <w:lang w:val="en-US"/>
              </w:rPr>
              <w:t>-Ferrer, et al. 2019</w:t>
            </w:r>
          </w:p>
        </w:tc>
      </w:tr>
      <w:tr w:rsidR="00DC2DB2" w:rsidRPr="00B63AB4" w14:paraId="7E85F18B" w14:textId="77777777" w:rsidTr="00EB4A43">
        <w:trPr>
          <w:trHeight w:val="315"/>
        </w:trPr>
        <w:tc>
          <w:tcPr>
            <w:tcW w:w="993" w:type="dxa"/>
            <w:noWrap/>
            <w:vAlign w:val="center"/>
            <w:hideMark/>
          </w:tcPr>
          <w:p w14:paraId="27705D03"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SH2B1</w:t>
            </w:r>
          </w:p>
        </w:tc>
        <w:tc>
          <w:tcPr>
            <w:tcW w:w="1465" w:type="dxa"/>
            <w:noWrap/>
            <w:vAlign w:val="center"/>
            <w:hideMark/>
          </w:tcPr>
          <w:p w14:paraId="1CAD0DB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T175N</w:t>
            </w:r>
          </w:p>
        </w:tc>
        <w:tc>
          <w:tcPr>
            <w:tcW w:w="1146" w:type="dxa"/>
            <w:noWrap/>
            <w:vAlign w:val="center"/>
            <w:hideMark/>
          </w:tcPr>
          <w:p w14:paraId="35F2EB5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433BFAC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6F1022F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59196D6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3F874AB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1 (table1)</w:t>
            </w:r>
          </w:p>
        </w:tc>
        <w:tc>
          <w:tcPr>
            <w:tcW w:w="850" w:type="dxa"/>
            <w:noWrap/>
            <w:vAlign w:val="center"/>
            <w:hideMark/>
          </w:tcPr>
          <w:p w14:paraId="4449DB5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60718847"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Doche</w:t>
            </w:r>
            <w:proofErr w:type="spellEnd"/>
            <w:r w:rsidRPr="00B63AB4">
              <w:rPr>
                <w:sz w:val="20"/>
                <w:szCs w:val="20"/>
                <w:lang w:val="en-US"/>
              </w:rPr>
              <w:t>, et al. 2012</w:t>
            </w:r>
          </w:p>
        </w:tc>
      </w:tr>
      <w:tr w:rsidR="00DC2DB2" w:rsidRPr="00B63AB4" w14:paraId="12F6A776" w14:textId="77777777" w:rsidTr="00EB4A43">
        <w:trPr>
          <w:trHeight w:val="315"/>
        </w:trPr>
        <w:tc>
          <w:tcPr>
            <w:tcW w:w="993" w:type="dxa"/>
            <w:noWrap/>
            <w:vAlign w:val="center"/>
            <w:hideMark/>
          </w:tcPr>
          <w:p w14:paraId="739054F5"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SH2B1</w:t>
            </w:r>
          </w:p>
        </w:tc>
        <w:tc>
          <w:tcPr>
            <w:tcW w:w="1465" w:type="dxa"/>
            <w:noWrap/>
            <w:vAlign w:val="center"/>
            <w:hideMark/>
          </w:tcPr>
          <w:p w14:paraId="031837C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P322S</w:t>
            </w:r>
          </w:p>
        </w:tc>
        <w:tc>
          <w:tcPr>
            <w:tcW w:w="1146" w:type="dxa"/>
            <w:noWrap/>
            <w:vAlign w:val="center"/>
            <w:hideMark/>
          </w:tcPr>
          <w:p w14:paraId="531FF7F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0C78036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7326E33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35E70D7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7BFD7F4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2 (table1)</w:t>
            </w:r>
          </w:p>
        </w:tc>
        <w:tc>
          <w:tcPr>
            <w:tcW w:w="850" w:type="dxa"/>
            <w:noWrap/>
            <w:vAlign w:val="center"/>
            <w:hideMark/>
          </w:tcPr>
          <w:p w14:paraId="4707AA5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0C1EC19F"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Doche</w:t>
            </w:r>
            <w:proofErr w:type="spellEnd"/>
            <w:r w:rsidRPr="00B63AB4">
              <w:rPr>
                <w:sz w:val="20"/>
                <w:szCs w:val="20"/>
                <w:lang w:val="en-US"/>
              </w:rPr>
              <w:t>, et al. 2012</w:t>
            </w:r>
          </w:p>
        </w:tc>
      </w:tr>
      <w:tr w:rsidR="00DC2DB2" w:rsidRPr="00B63AB4" w14:paraId="768A821E" w14:textId="77777777" w:rsidTr="00EB4A43">
        <w:trPr>
          <w:trHeight w:val="315"/>
        </w:trPr>
        <w:tc>
          <w:tcPr>
            <w:tcW w:w="993" w:type="dxa"/>
            <w:noWrap/>
            <w:vAlign w:val="center"/>
            <w:hideMark/>
          </w:tcPr>
          <w:p w14:paraId="1B832446"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SH2B1</w:t>
            </w:r>
          </w:p>
        </w:tc>
        <w:tc>
          <w:tcPr>
            <w:tcW w:w="1465" w:type="dxa"/>
            <w:noWrap/>
            <w:vAlign w:val="center"/>
            <w:hideMark/>
          </w:tcPr>
          <w:p w14:paraId="1113531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F344fs</w:t>
            </w:r>
          </w:p>
        </w:tc>
        <w:tc>
          <w:tcPr>
            <w:tcW w:w="1146" w:type="dxa"/>
            <w:noWrap/>
            <w:vAlign w:val="center"/>
            <w:hideMark/>
          </w:tcPr>
          <w:p w14:paraId="2D66918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Frameshift</w:t>
            </w:r>
          </w:p>
        </w:tc>
        <w:tc>
          <w:tcPr>
            <w:tcW w:w="1358" w:type="dxa"/>
            <w:noWrap/>
            <w:vAlign w:val="center"/>
            <w:hideMark/>
          </w:tcPr>
          <w:p w14:paraId="52E91C5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53F20A7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0787E8D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SO</w:t>
            </w:r>
          </w:p>
        </w:tc>
        <w:tc>
          <w:tcPr>
            <w:tcW w:w="2552" w:type="dxa"/>
            <w:gridSpan w:val="2"/>
            <w:noWrap/>
            <w:vAlign w:val="center"/>
            <w:hideMark/>
          </w:tcPr>
          <w:p w14:paraId="03FC851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3 (table1)</w:t>
            </w:r>
          </w:p>
        </w:tc>
        <w:tc>
          <w:tcPr>
            <w:tcW w:w="850" w:type="dxa"/>
            <w:noWrap/>
            <w:vAlign w:val="center"/>
            <w:hideMark/>
          </w:tcPr>
          <w:p w14:paraId="098B201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395B16E8"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Doche</w:t>
            </w:r>
            <w:proofErr w:type="spellEnd"/>
            <w:r w:rsidRPr="00B63AB4">
              <w:rPr>
                <w:sz w:val="20"/>
                <w:szCs w:val="20"/>
                <w:lang w:val="en-US"/>
              </w:rPr>
              <w:t>, et al. 2012</w:t>
            </w:r>
          </w:p>
        </w:tc>
      </w:tr>
      <w:tr w:rsidR="00DC2DB2" w:rsidRPr="00B95999" w14:paraId="5EDA0137" w14:textId="77777777" w:rsidTr="00EB4A43">
        <w:trPr>
          <w:trHeight w:val="315"/>
        </w:trPr>
        <w:tc>
          <w:tcPr>
            <w:tcW w:w="993" w:type="dxa"/>
            <w:noWrap/>
            <w:vAlign w:val="center"/>
            <w:hideMark/>
          </w:tcPr>
          <w:p w14:paraId="3AAEAFCF"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POMC</w:t>
            </w:r>
          </w:p>
        </w:tc>
        <w:tc>
          <w:tcPr>
            <w:tcW w:w="1465" w:type="dxa"/>
            <w:noWrap/>
            <w:vAlign w:val="center"/>
            <w:hideMark/>
          </w:tcPr>
          <w:p w14:paraId="5A9B7C3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S7T</w:t>
            </w:r>
          </w:p>
        </w:tc>
        <w:tc>
          <w:tcPr>
            <w:tcW w:w="1146" w:type="dxa"/>
            <w:noWrap/>
            <w:vAlign w:val="center"/>
            <w:hideMark/>
          </w:tcPr>
          <w:p w14:paraId="19F9A9B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19F0B9D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4316E15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5FD0D90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6A236B8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1 (figure1)</w:t>
            </w:r>
          </w:p>
        </w:tc>
        <w:tc>
          <w:tcPr>
            <w:tcW w:w="850" w:type="dxa"/>
            <w:noWrap/>
            <w:vAlign w:val="center"/>
            <w:hideMark/>
          </w:tcPr>
          <w:p w14:paraId="6BE1603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40357BC5" w14:textId="77777777" w:rsidR="00DC2DB2" w:rsidRPr="004508F6" w:rsidRDefault="00DC2DB2" w:rsidP="00EB4A43">
            <w:pPr>
              <w:spacing w:before="100" w:beforeAutospacing="1" w:after="100" w:afterAutospacing="1"/>
              <w:jc w:val="center"/>
              <w:rPr>
                <w:sz w:val="20"/>
                <w:szCs w:val="20"/>
                <w:lang w:val="it-IT"/>
              </w:rPr>
            </w:pPr>
            <w:r w:rsidRPr="004508F6">
              <w:rPr>
                <w:sz w:val="20"/>
                <w:szCs w:val="20"/>
                <w:lang w:val="it-IT"/>
              </w:rPr>
              <w:t>Miraglia Del Giudice, et al. 2001</w:t>
            </w:r>
          </w:p>
        </w:tc>
      </w:tr>
      <w:tr w:rsidR="00DC2DB2" w:rsidRPr="00B95999" w14:paraId="03E33EB5" w14:textId="77777777" w:rsidTr="00EB4A43">
        <w:trPr>
          <w:trHeight w:val="315"/>
        </w:trPr>
        <w:tc>
          <w:tcPr>
            <w:tcW w:w="993" w:type="dxa"/>
            <w:noWrap/>
            <w:vAlign w:val="center"/>
            <w:hideMark/>
          </w:tcPr>
          <w:p w14:paraId="6C6D9436"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POMC</w:t>
            </w:r>
          </w:p>
        </w:tc>
        <w:tc>
          <w:tcPr>
            <w:tcW w:w="1465" w:type="dxa"/>
            <w:noWrap/>
            <w:vAlign w:val="center"/>
            <w:hideMark/>
          </w:tcPr>
          <w:p w14:paraId="42DBD7C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S9L</w:t>
            </w:r>
          </w:p>
        </w:tc>
        <w:tc>
          <w:tcPr>
            <w:tcW w:w="1146" w:type="dxa"/>
            <w:noWrap/>
            <w:vAlign w:val="center"/>
            <w:hideMark/>
          </w:tcPr>
          <w:p w14:paraId="06F1A00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7E94B88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2A7815A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5BE3257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342248B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2 (figure2)</w:t>
            </w:r>
          </w:p>
        </w:tc>
        <w:tc>
          <w:tcPr>
            <w:tcW w:w="850" w:type="dxa"/>
            <w:noWrap/>
            <w:vAlign w:val="center"/>
            <w:hideMark/>
          </w:tcPr>
          <w:p w14:paraId="224C443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62E19A24" w14:textId="77777777" w:rsidR="00DC2DB2" w:rsidRPr="004508F6" w:rsidRDefault="00DC2DB2" w:rsidP="00EB4A43">
            <w:pPr>
              <w:spacing w:before="100" w:beforeAutospacing="1" w:after="100" w:afterAutospacing="1"/>
              <w:jc w:val="center"/>
              <w:rPr>
                <w:sz w:val="20"/>
                <w:szCs w:val="20"/>
                <w:lang w:val="it-IT"/>
              </w:rPr>
            </w:pPr>
            <w:r w:rsidRPr="004508F6">
              <w:rPr>
                <w:sz w:val="20"/>
                <w:szCs w:val="20"/>
                <w:lang w:val="it-IT"/>
              </w:rPr>
              <w:t>Miraglia Del Giudice, et al. 2001</w:t>
            </w:r>
          </w:p>
        </w:tc>
      </w:tr>
      <w:tr w:rsidR="00DC2DB2" w:rsidRPr="00B95999" w14:paraId="51B1655A" w14:textId="77777777" w:rsidTr="00EB4A43">
        <w:trPr>
          <w:trHeight w:val="315"/>
        </w:trPr>
        <w:tc>
          <w:tcPr>
            <w:tcW w:w="993" w:type="dxa"/>
            <w:noWrap/>
            <w:vAlign w:val="center"/>
            <w:hideMark/>
          </w:tcPr>
          <w:p w14:paraId="3FE9613F"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POMC</w:t>
            </w:r>
          </w:p>
        </w:tc>
        <w:tc>
          <w:tcPr>
            <w:tcW w:w="1465" w:type="dxa"/>
            <w:noWrap/>
            <w:vAlign w:val="center"/>
            <w:hideMark/>
          </w:tcPr>
          <w:p w14:paraId="7744904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R236G</w:t>
            </w:r>
          </w:p>
        </w:tc>
        <w:tc>
          <w:tcPr>
            <w:tcW w:w="1146" w:type="dxa"/>
            <w:noWrap/>
            <w:vAlign w:val="center"/>
            <w:hideMark/>
          </w:tcPr>
          <w:p w14:paraId="1C5F6D8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13F8977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42D6E95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49C2DB9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536FFF8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3 (figure3)</w:t>
            </w:r>
          </w:p>
        </w:tc>
        <w:tc>
          <w:tcPr>
            <w:tcW w:w="850" w:type="dxa"/>
            <w:noWrap/>
            <w:vAlign w:val="center"/>
            <w:hideMark/>
          </w:tcPr>
          <w:p w14:paraId="0AAAFB0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5C6CB6E5" w14:textId="77777777" w:rsidR="00DC2DB2" w:rsidRPr="004508F6" w:rsidRDefault="00DC2DB2" w:rsidP="00EB4A43">
            <w:pPr>
              <w:spacing w:before="100" w:beforeAutospacing="1" w:after="100" w:afterAutospacing="1"/>
              <w:jc w:val="center"/>
              <w:rPr>
                <w:sz w:val="20"/>
                <w:szCs w:val="20"/>
                <w:lang w:val="it-IT"/>
              </w:rPr>
            </w:pPr>
            <w:r w:rsidRPr="004508F6">
              <w:rPr>
                <w:sz w:val="20"/>
                <w:szCs w:val="20"/>
                <w:lang w:val="it-IT"/>
              </w:rPr>
              <w:t>Miraglia Del Giudice, et al. 2001</w:t>
            </w:r>
          </w:p>
        </w:tc>
      </w:tr>
      <w:tr w:rsidR="00DC2DB2" w:rsidRPr="00B63AB4" w14:paraId="1D3E4371" w14:textId="77777777" w:rsidTr="00EB4A43">
        <w:trPr>
          <w:trHeight w:val="315"/>
        </w:trPr>
        <w:tc>
          <w:tcPr>
            <w:tcW w:w="993" w:type="dxa"/>
            <w:noWrap/>
            <w:vAlign w:val="center"/>
            <w:hideMark/>
          </w:tcPr>
          <w:p w14:paraId="1D8A18B2"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POMC</w:t>
            </w:r>
          </w:p>
        </w:tc>
        <w:tc>
          <w:tcPr>
            <w:tcW w:w="1465" w:type="dxa"/>
            <w:noWrap/>
            <w:vAlign w:val="center"/>
            <w:hideMark/>
          </w:tcPr>
          <w:p w14:paraId="55E226D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R236G</w:t>
            </w:r>
          </w:p>
        </w:tc>
        <w:tc>
          <w:tcPr>
            <w:tcW w:w="1146" w:type="dxa"/>
            <w:noWrap/>
            <w:vAlign w:val="center"/>
            <w:hideMark/>
          </w:tcPr>
          <w:p w14:paraId="5FF8556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54F127B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428D3C0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3F45646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6429F7F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Subject12-Patient (figure1B)</w:t>
            </w:r>
          </w:p>
        </w:tc>
        <w:tc>
          <w:tcPr>
            <w:tcW w:w="850" w:type="dxa"/>
            <w:noWrap/>
            <w:vAlign w:val="center"/>
            <w:hideMark/>
          </w:tcPr>
          <w:p w14:paraId="391BC20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78EFA94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Challis, et al. 2002</w:t>
            </w:r>
          </w:p>
        </w:tc>
      </w:tr>
      <w:tr w:rsidR="00DC2DB2" w:rsidRPr="00B63AB4" w14:paraId="087B1F49" w14:textId="77777777" w:rsidTr="00EB4A43">
        <w:trPr>
          <w:trHeight w:val="315"/>
        </w:trPr>
        <w:tc>
          <w:tcPr>
            <w:tcW w:w="993" w:type="dxa"/>
            <w:noWrap/>
            <w:vAlign w:val="center"/>
            <w:hideMark/>
          </w:tcPr>
          <w:p w14:paraId="78AE0B82"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POMC</w:t>
            </w:r>
          </w:p>
        </w:tc>
        <w:tc>
          <w:tcPr>
            <w:tcW w:w="1465" w:type="dxa"/>
            <w:noWrap/>
            <w:vAlign w:val="center"/>
            <w:hideMark/>
          </w:tcPr>
          <w:p w14:paraId="47FC62A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R236G</w:t>
            </w:r>
          </w:p>
        </w:tc>
        <w:tc>
          <w:tcPr>
            <w:tcW w:w="1146" w:type="dxa"/>
            <w:noWrap/>
            <w:vAlign w:val="center"/>
            <w:hideMark/>
          </w:tcPr>
          <w:p w14:paraId="386268C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325A83A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5579134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20E474F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7766EA3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Subject3-Mother (figure1B)</w:t>
            </w:r>
          </w:p>
        </w:tc>
        <w:tc>
          <w:tcPr>
            <w:tcW w:w="850" w:type="dxa"/>
            <w:noWrap/>
            <w:vAlign w:val="center"/>
            <w:hideMark/>
          </w:tcPr>
          <w:p w14:paraId="4234F1D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042E8A4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Challis, et al. 2002</w:t>
            </w:r>
          </w:p>
        </w:tc>
      </w:tr>
      <w:tr w:rsidR="00DC2DB2" w:rsidRPr="00B63AB4" w14:paraId="7777F6C2" w14:textId="77777777" w:rsidTr="00EB4A43">
        <w:trPr>
          <w:trHeight w:val="315"/>
        </w:trPr>
        <w:tc>
          <w:tcPr>
            <w:tcW w:w="993" w:type="dxa"/>
            <w:noWrap/>
            <w:vAlign w:val="center"/>
            <w:hideMark/>
          </w:tcPr>
          <w:p w14:paraId="766BD90E"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POMC</w:t>
            </w:r>
          </w:p>
        </w:tc>
        <w:tc>
          <w:tcPr>
            <w:tcW w:w="1465" w:type="dxa"/>
            <w:noWrap/>
            <w:vAlign w:val="center"/>
            <w:hideMark/>
          </w:tcPr>
          <w:p w14:paraId="2272EE5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R236G</w:t>
            </w:r>
          </w:p>
        </w:tc>
        <w:tc>
          <w:tcPr>
            <w:tcW w:w="1146" w:type="dxa"/>
            <w:noWrap/>
            <w:vAlign w:val="center"/>
            <w:hideMark/>
          </w:tcPr>
          <w:p w14:paraId="2E2F3E6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657AB0D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2EE0034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62E9767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31732A6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Subject13-Cousin (figure1B)</w:t>
            </w:r>
          </w:p>
        </w:tc>
        <w:tc>
          <w:tcPr>
            <w:tcW w:w="850" w:type="dxa"/>
            <w:noWrap/>
            <w:vAlign w:val="center"/>
            <w:hideMark/>
          </w:tcPr>
          <w:p w14:paraId="2A2F2DA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6EF63C6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Challis, et al. 2002</w:t>
            </w:r>
          </w:p>
        </w:tc>
      </w:tr>
      <w:tr w:rsidR="00DC2DB2" w:rsidRPr="00B63AB4" w14:paraId="6BFC0D34" w14:textId="77777777" w:rsidTr="00EB4A43">
        <w:trPr>
          <w:trHeight w:val="315"/>
        </w:trPr>
        <w:tc>
          <w:tcPr>
            <w:tcW w:w="993" w:type="dxa"/>
            <w:noWrap/>
            <w:vAlign w:val="center"/>
            <w:hideMark/>
          </w:tcPr>
          <w:p w14:paraId="50426B49"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POMC</w:t>
            </w:r>
          </w:p>
        </w:tc>
        <w:tc>
          <w:tcPr>
            <w:tcW w:w="1465" w:type="dxa"/>
            <w:noWrap/>
            <w:vAlign w:val="center"/>
            <w:hideMark/>
          </w:tcPr>
          <w:p w14:paraId="1F1A9E4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R236G</w:t>
            </w:r>
          </w:p>
        </w:tc>
        <w:tc>
          <w:tcPr>
            <w:tcW w:w="1146" w:type="dxa"/>
            <w:noWrap/>
            <w:vAlign w:val="center"/>
            <w:hideMark/>
          </w:tcPr>
          <w:p w14:paraId="5B36933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57BB3A4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44B80C6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63C0143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5AD3A10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Subject6-Uncle (figure1B)</w:t>
            </w:r>
          </w:p>
        </w:tc>
        <w:tc>
          <w:tcPr>
            <w:tcW w:w="850" w:type="dxa"/>
            <w:noWrap/>
            <w:vAlign w:val="center"/>
            <w:hideMark/>
          </w:tcPr>
          <w:p w14:paraId="03D53B6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26537D5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Challis, et al. 2002</w:t>
            </w:r>
          </w:p>
        </w:tc>
      </w:tr>
      <w:tr w:rsidR="00DC2DB2" w:rsidRPr="00B63AB4" w14:paraId="78CF3601" w14:textId="77777777" w:rsidTr="00EB4A43">
        <w:trPr>
          <w:trHeight w:val="315"/>
        </w:trPr>
        <w:tc>
          <w:tcPr>
            <w:tcW w:w="993" w:type="dxa"/>
            <w:noWrap/>
            <w:vAlign w:val="center"/>
            <w:hideMark/>
          </w:tcPr>
          <w:p w14:paraId="3F93703D"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POMC</w:t>
            </w:r>
          </w:p>
        </w:tc>
        <w:tc>
          <w:tcPr>
            <w:tcW w:w="1465" w:type="dxa"/>
            <w:noWrap/>
            <w:vAlign w:val="center"/>
            <w:hideMark/>
          </w:tcPr>
          <w:p w14:paraId="1645A0D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Y221C</w:t>
            </w:r>
          </w:p>
        </w:tc>
        <w:tc>
          <w:tcPr>
            <w:tcW w:w="1146" w:type="dxa"/>
            <w:noWrap/>
            <w:vAlign w:val="center"/>
            <w:hideMark/>
          </w:tcPr>
          <w:p w14:paraId="08371E7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45975E1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5B027DE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09A54BC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25580B7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1 (figure1B)</w:t>
            </w:r>
          </w:p>
        </w:tc>
        <w:tc>
          <w:tcPr>
            <w:tcW w:w="850" w:type="dxa"/>
            <w:noWrap/>
            <w:vAlign w:val="center"/>
            <w:hideMark/>
          </w:tcPr>
          <w:p w14:paraId="3DBCEB1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139290F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Lee, et al. 2006</w:t>
            </w:r>
          </w:p>
        </w:tc>
      </w:tr>
      <w:tr w:rsidR="00DC2DB2" w:rsidRPr="00B63AB4" w14:paraId="254C2118" w14:textId="77777777" w:rsidTr="00EB4A43">
        <w:trPr>
          <w:trHeight w:val="315"/>
        </w:trPr>
        <w:tc>
          <w:tcPr>
            <w:tcW w:w="993" w:type="dxa"/>
            <w:noWrap/>
            <w:vAlign w:val="center"/>
            <w:hideMark/>
          </w:tcPr>
          <w:p w14:paraId="4057B701"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POMC</w:t>
            </w:r>
          </w:p>
        </w:tc>
        <w:tc>
          <w:tcPr>
            <w:tcW w:w="1465" w:type="dxa"/>
            <w:noWrap/>
            <w:vAlign w:val="center"/>
            <w:hideMark/>
          </w:tcPr>
          <w:p w14:paraId="001477E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Y221C</w:t>
            </w:r>
          </w:p>
        </w:tc>
        <w:tc>
          <w:tcPr>
            <w:tcW w:w="1146" w:type="dxa"/>
            <w:noWrap/>
            <w:vAlign w:val="center"/>
            <w:hideMark/>
          </w:tcPr>
          <w:p w14:paraId="2C48D14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0090798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4192885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2D84F46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60A007D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2 (figure1B)</w:t>
            </w:r>
          </w:p>
        </w:tc>
        <w:tc>
          <w:tcPr>
            <w:tcW w:w="850" w:type="dxa"/>
            <w:noWrap/>
            <w:vAlign w:val="center"/>
            <w:hideMark/>
          </w:tcPr>
          <w:p w14:paraId="76591AA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5360027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Lee, et al. 2006</w:t>
            </w:r>
          </w:p>
        </w:tc>
      </w:tr>
      <w:tr w:rsidR="00DC2DB2" w:rsidRPr="00B63AB4" w14:paraId="58BFCD61" w14:textId="77777777" w:rsidTr="00EB4A43">
        <w:trPr>
          <w:trHeight w:val="315"/>
        </w:trPr>
        <w:tc>
          <w:tcPr>
            <w:tcW w:w="993" w:type="dxa"/>
            <w:noWrap/>
            <w:vAlign w:val="center"/>
            <w:hideMark/>
          </w:tcPr>
          <w:p w14:paraId="749E6B95"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POMC</w:t>
            </w:r>
          </w:p>
        </w:tc>
        <w:tc>
          <w:tcPr>
            <w:tcW w:w="1465" w:type="dxa"/>
            <w:noWrap/>
            <w:vAlign w:val="center"/>
            <w:hideMark/>
          </w:tcPr>
          <w:p w14:paraId="7C92397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Y221C</w:t>
            </w:r>
          </w:p>
        </w:tc>
        <w:tc>
          <w:tcPr>
            <w:tcW w:w="1146" w:type="dxa"/>
            <w:noWrap/>
            <w:vAlign w:val="center"/>
            <w:hideMark/>
          </w:tcPr>
          <w:p w14:paraId="10B3CB0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5C80669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44EC9EA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448F207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41DC7C9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3 (figure1B)</w:t>
            </w:r>
          </w:p>
        </w:tc>
        <w:tc>
          <w:tcPr>
            <w:tcW w:w="850" w:type="dxa"/>
            <w:noWrap/>
            <w:vAlign w:val="center"/>
            <w:hideMark/>
          </w:tcPr>
          <w:p w14:paraId="42A4C27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45C6052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Lee, et al. 2006</w:t>
            </w:r>
          </w:p>
        </w:tc>
      </w:tr>
      <w:tr w:rsidR="00DC2DB2" w:rsidRPr="00B63AB4" w14:paraId="7A83DFDC" w14:textId="77777777" w:rsidTr="00EB4A43">
        <w:trPr>
          <w:trHeight w:val="315"/>
        </w:trPr>
        <w:tc>
          <w:tcPr>
            <w:tcW w:w="993" w:type="dxa"/>
            <w:noWrap/>
            <w:vAlign w:val="center"/>
            <w:hideMark/>
          </w:tcPr>
          <w:p w14:paraId="5136EEE2"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POMC</w:t>
            </w:r>
          </w:p>
        </w:tc>
        <w:tc>
          <w:tcPr>
            <w:tcW w:w="1465" w:type="dxa"/>
            <w:noWrap/>
            <w:vAlign w:val="center"/>
            <w:hideMark/>
          </w:tcPr>
          <w:p w14:paraId="43773C7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Y221C</w:t>
            </w:r>
          </w:p>
        </w:tc>
        <w:tc>
          <w:tcPr>
            <w:tcW w:w="1146" w:type="dxa"/>
            <w:noWrap/>
            <w:vAlign w:val="center"/>
            <w:hideMark/>
          </w:tcPr>
          <w:p w14:paraId="5057EF2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587DCAE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6CDD30A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7C9FFD0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20BB2D0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4 (figure1B)</w:t>
            </w:r>
          </w:p>
        </w:tc>
        <w:tc>
          <w:tcPr>
            <w:tcW w:w="850" w:type="dxa"/>
            <w:noWrap/>
            <w:vAlign w:val="center"/>
            <w:hideMark/>
          </w:tcPr>
          <w:p w14:paraId="47BBD2B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0B8EA60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Lee, et al. 2006</w:t>
            </w:r>
          </w:p>
        </w:tc>
      </w:tr>
      <w:tr w:rsidR="00DC2DB2" w:rsidRPr="00B63AB4" w14:paraId="393F69B3" w14:textId="77777777" w:rsidTr="00EB4A43">
        <w:trPr>
          <w:trHeight w:val="315"/>
        </w:trPr>
        <w:tc>
          <w:tcPr>
            <w:tcW w:w="993" w:type="dxa"/>
            <w:noWrap/>
            <w:vAlign w:val="center"/>
            <w:hideMark/>
          </w:tcPr>
          <w:p w14:paraId="302FF727"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POMC</w:t>
            </w:r>
          </w:p>
        </w:tc>
        <w:tc>
          <w:tcPr>
            <w:tcW w:w="1465" w:type="dxa"/>
            <w:noWrap/>
            <w:vAlign w:val="center"/>
            <w:hideMark/>
          </w:tcPr>
          <w:p w14:paraId="3B29734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Y221C</w:t>
            </w:r>
          </w:p>
        </w:tc>
        <w:tc>
          <w:tcPr>
            <w:tcW w:w="1146" w:type="dxa"/>
            <w:noWrap/>
            <w:vAlign w:val="center"/>
            <w:hideMark/>
          </w:tcPr>
          <w:p w14:paraId="40392C8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6C6E5C4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60D63DA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1608C65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69AD4BF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5 (figure1B)</w:t>
            </w:r>
          </w:p>
        </w:tc>
        <w:tc>
          <w:tcPr>
            <w:tcW w:w="850" w:type="dxa"/>
            <w:noWrap/>
            <w:vAlign w:val="center"/>
            <w:hideMark/>
          </w:tcPr>
          <w:p w14:paraId="38495A6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711E7A1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Lee, et al. 2006</w:t>
            </w:r>
          </w:p>
        </w:tc>
      </w:tr>
      <w:tr w:rsidR="00DC2DB2" w:rsidRPr="00B63AB4" w14:paraId="76E07CA7" w14:textId="77777777" w:rsidTr="00EB4A43">
        <w:trPr>
          <w:trHeight w:val="315"/>
        </w:trPr>
        <w:tc>
          <w:tcPr>
            <w:tcW w:w="993" w:type="dxa"/>
            <w:noWrap/>
            <w:vAlign w:val="center"/>
            <w:hideMark/>
          </w:tcPr>
          <w:p w14:paraId="50C6D6A9"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POMC</w:t>
            </w:r>
          </w:p>
        </w:tc>
        <w:tc>
          <w:tcPr>
            <w:tcW w:w="1465" w:type="dxa"/>
            <w:noWrap/>
            <w:vAlign w:val="center"/>
            <w:hideMark/>
          </w:tcPr>
          <w:p w14:paraId="7725FB0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Y5C</w:t>
            </w:r>
          </w:p>
        </w:tc>
        <w:tc>
          <w:tcPr>
            <w:tcW w:w="1146" w:type="dxa"/>
            <w:noWrap/>
            <w:vAlign w:val="center"/>
            <w:hideMark/>
          </w:tcPr>
          <w:p w14:paraId="071CB32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7312D1F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340EAE6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32466B6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5294410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1 (figure1C)</w:t>
            </w:r>
          </w:p>
        </w:tc>
        <w:tc>
          <w:tcPr>
            <w:tcW w:w="850" w:type="dxa"/>
            <w:noWrap/>
            <w:vAlign w:val="center"/>
            <w:hideMark/>
          </w:tcPr>
          <w:p w14:paraId="1C8EF91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33F5C703"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Biebermann</w:t>
            </w:r>
            <w:proofErr w:type="spellEnd"/>
            <w:r w:rsidRPr="00B63AB4">
              <w:rPr>
                <w:sz w:val="20"/>
                <w:szCs w:val="20"/>
                <w:lang w:val="en-US"/>
              </w:rPr>
              <w:t>, et al. 2006</w:t>
            </w:r>
          </w:p>
        </w:tc>
      </w:tr>
      <w:tr w:rsidR="00DC2DB2" w:rsidRPr="00B63AB4" w14:paraId="19FFC2D1" w14:textId="77777777" w:rsidTr="00EB4A43">
        <w:trPr>
          <w:trHeight w:val="315"/>
        </w:trPr>
        <w:tc>
          <w:tcPr>
            <w:tcW w:w="993" w:type="dxa"/>
            <w:noWrap/>
            <w:vAlign w:val="center"/>
            <w:hideMark/>
          </w:tcPr>
          <w:p w14:paraId="1D1B0636"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POMC</w:t>
            </w:r>
          </w:p>
        </w:tc>
        <w:tc>
          <w:tcPr>
            <w:tcW w:w="1465" w:type="dxa"/>
            <w:noWrap/>
            <w:vAlign w:val="center"/>
            <w:hideMark/>
          </w:tcPr>
          <w:p w14:paraId="30C9FCB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Y5C</w:t>
            </w:r>
          </w:p>
        </w:tc>
        <w:tc>
          <w:tcPr>
            <w:tcW w:w="1146" w:type="dxa"/>
            <w:noWrap/>
            <w:vAlign w:val="center"/>
            <w:hideMark/>
          </w:tcPr>
          <w:p w14:paraId="4FEFD92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3F6BB37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21D0E2C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6599B50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54C1BBB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1p (figure1C)</w:t>
            </w:r>
          </w:p>
        </w:tc>
        <w:tc>
          <w:tcPr>
            <w:tcW w:w="850" w:type="dxa"/>
            <w:noWrap/>
            <w:vAlign w:val="center"/>
            <w:hideMark/>
          </w:tcPr>
          <w:p w14:paraId="274BE30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255070AF"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Biebermann</w:t>
            </w:r>
            <w:proofErr w:type="spellEnd"/>
            <w:r w:rsidRPr="00B63AB4">
              <w:rPr>
                <w:sz w:val="20"/>
                <w:szCs w:val="20"/>
                <w:lang w:val="en-US"/>
              </w:rPr>
              <w:t>, et al. 2006</w:t>
            </w:r>
          </w:p>
        </w:tc>
      </w:tr>
      <w:tr w:rsidR="00DC2DB2" w:rsidRPr="00B63AB4" w14:paraId="605D4743" w14:textId="77777777" w:rsidTr="00EB4A43">
        <w:trPr>
          <w:trHeight w:val="315"/>
        </w:trPr>
        <w:tc>
          <w:tcPr>
            <w:tcW w:w="993" w:type="dxa"/>
            <w:noWrap/>
            <w:vAlign w:val="center"/>
            <w:hideMark/>
          </w:tcPr>
          <w:p w14:paraId="03E18C38"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POMC</w:t>
            </w:r>
          </w:p>
        </w:tc>
        <w:tc>
          <w:tcPr>
            <w:tcW w:w="1465" w:type="dxa"/>
            <w:noWrap/>
            <w:vAlign w:val="center"/>
            <w:hideMark/>
          </w:tcPr>
          <w:p w14:paraId="7ECCEDF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Y5C</w:t>
            </w:r>
          </w:p>
        </w:tc>
        <w:tc>
          <w:tcPr>
            <w:tcW w:w="1146" w:type="dxa"/>
            <w:noWrap/>
            <w:vAlign w:val="center"/>
            <w:hideMark/>
          </w:tcPr>
          <w:p w14:paraId="16D25B0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1EFBC34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3B7F9EE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29FF3C5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3FBB83B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w:t>
            </w:r>
            <w:r>
              <w:rPr>
                <w:sz w:val="20"/>
                <w:szCs w:val="20"/>
                <w:lang w:val="en-US"/>
              </w:rPr>
              <w:t xml:space="preserve"> </w:t>
            </w:r>
            <w:r w:rsidRPr="00B63AB4">
              <w:rPr>
                <w:sz w:val="20"/>
                <w:szCs w:val="20"/>
                <w:lang w:val="en-US"/>
              </w:rPr>
              <w:t>2 (figure1C)</w:t>
            </w:r>
          </w:p>
        </w:tc>
        <w:tc>
          <w:tcPr>
            <w:tcW w:w="850" w:type="dxa"/>
            <w:noWrap/>
            <w:vAlign w:val="center"/>
            <w:hideMark/>
          </w:tcPr>
          <w:p w14:paraId="17B8EBB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2C374BA2"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Biebermann</w:t>
            </w:r>
            <w:proofErr w:type="spellEnd"/>
            <w:r w:rsidRPr="00B63AB4">
              <w:rPr>
                <w:sz w:val="20"/>
                <w:szCs w:val="20"/>
                <w:lang w:val="en-US"/>
              </w:rPr>
              <w:t>, et al. 2006</w:t>
            </w:r>
          </w:p>
        </w:tc>
      </w:tr>
      <w:tr w:rsidR="00DC2DB2" w:rsidRPr="00B63AB4" w14:paraId="2ACF4C3F" w14:textId="77777777" w:rsidTr="00EB4A43">
        <w:trPr>
          <w:trHeight w:val="315"/>
        </w:trPr>
        <w:tc>
          <w:tcPr>
            <w:tcW w:w="993" w:type="dxa"/>
            <w:noWrap/>
            <w:vAlign w:val="center"/>
            <w:hideMark/>
          </w:tcPr>
          <w:p w14:paraId="7583C521"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POMC</w:t>
            </w:r>
          </w:p>
        </w:tc>
        <w:tc>
          <w:tcPr>
            <w:tcW w:w="1465" w:type="dxa"/>
            <w:noWrap/>
            <w:vAlign w:val="center"/>
            <w:hideMark/>
          </w:tcPr>
          <w:p w14:paraId="5B2E837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F144L</w:t>
            </w:r>
          </w:p>
        </w:tc>
        <w:tc>
          <w:tcPr>
            <w:tcW w:w="1146" w:type="dxa"/>
            <w:noWrap/>
            <w:vAlign w:val="center"/>
            <w:hideMark/>
          </w:tcPr>
          <w:p w14:paraId="2277400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53E042C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5D6EBE4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7C85CE6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344B485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Proband II1 (figure2)</w:t>
            </w:r>
          </w:p>
        </w:tc>
        <w:tc>
          <w:tcPr>
            <w:tcW w:w="850" w:type="dxa"/>
            <w:noWrap/>
            <w:vAlign w:val="center"/>
            <w:hideMark/>
          </w:tcPr>
          <w:p w14:paraId="4723EBA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48136325"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Dubern</w:t>
            </w:r>
            <w:proofErr w:type="spellEnd"/>
            <w:r w:rsidRPr="00B63AB4">
              <w:rPr>
                <w:sz w:val="20"/>
                <w:szCs w:val="20"/>
                <w:lang w:val="en-US"/>
              </w:rPr>
              <w:t>, et al. 2008</w:t>
            </w:r>
          </w:p>
        </w:tc>
      </w:tr>
      <w:tr w:rsidR="00DC2DB2" w:rsidRPr="00B63AB4" w14:paraId="092BC1FB" w14:textId="77777777" w:rsidTr="00EB4A43">
        <w:trPr>
          <w:trHeight w:val="315"/>
        </w:trPr>
        <w:tc>
          <w:tcPr>
            <w:tcW w:w="993" w:type="dxa"/>
            <w:noWrap/>
            <w:vAlign w:val="center"/>
            <w:hideMark/>
          </w:tcPr>
          <w:p w14:paraId="6DACE380"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lastRenderedPageBreak/>
              <w:t>POMC</w:t>
            </w:r>
          </w:p>
        </w:tc>
        <w:tc>
          <w:tcPr>
            <w:tcW w:w="1465" w:type="dxa"/>
            <w:noWrap/>
            <w:vAlign w:val="center"/>
            <w:hideMark/>
          </w:tcPr>
          <w:p w14:paraId="1CA0A4C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C28F</w:t>
            </w:r>
          </w:p>
        </w:tc>
        <w:tc>
          <w:tcPr>
            <w:tcW w:w="1146" w:type="dxa"/>
            <w:noWrap/>
            <w:vAlign w:val="center"/>
            <w:hideMark/>
          </w:tcPr>
          <w:p w14:paraId="59DF3DB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644E746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30D3BF9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46693A6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4DF3412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Case1</w:t>
            </w:r>
            <w:r>
              <w:rPr>
                <w:sz w:val="20"/>
                <w:szCs w:val="20"/>
                <w:lang w:val="en-US"/>
              </w:rPr>
              <w:t xml:space="preserve">                                                        </w:t>
            </w:r>
            <w:proofErr w:type="gramStart"/>
            <w:r>
              <w:rPr>
                <w:sz w:val="20"/>
                <w:szCs w:val="20"/>
                <w:lang w:val="en-US"/>
              </w:rPr>
              <w:t xml:space="preserve">  </w:t>
            </w:r>
            <w:r w:rsidRPr="00B63AB4">
              <w:rPr>
                <w:sz w:val="20"/>
                <w:szCs w:val="20"/>
                <w:lang w:val="en-US"/>
              </w:rPr>
              <w:t xml:space="preserve"> (</w:t>
            </w:r>
            <w:proofErr w:type="gramEnd"/>
            <w:r w:rsidRPr="00B63AB4">
              <w:rPr>
                <w:sz w:val="20"/>
                <w:szCs w:val="20"/>
                <w:lang w:val="en-US"/>
              </w:rPr>
              <w:t>figure1B)</w:t>
            </w:r>
          </w:p>
        </w:tc>
        <w:tc>
          <w:tcPr>
            <w:tcW w:w="850" w:type="dxa"/>
            <w:noWrap/>
            <w:vAlign w:val="center"/>
            <w:hideMark/>
          </w:tcPr>
          <w:p w14:paraId="0816B7E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6A98F63F"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Creemers</w:t>
            </w:r>
            <w:proofErr w:type="spellEnd"/>
            <w:r w:rsidRPr="00B63AB4">
              <w:rPr>
                <w:sz w:val="20"/>
                <w:szCs w:val="20"/>
                <w:lang w:val="en-US"/>
              </w:rPr>
              <w:t>, et al. 2008</w:t>
            </w:r>
          </w:p>
        </w:tc>
      </w:tr>
      <w:tr w:rsidR="00DC2DB2" w:rsidRPr="00B63AB4" w14:paraId="643CA266" w14:textId="77777777" w:rsidTr="00EB4A43">
        <w:trPr>
          <w:trHeight w:val="315"/>
        </w:trPr>
        <w:tc>
          <w:tcPr>
            <w:tcW w:w="993" w:type="dxa"/>
            <w:noWrap/>
            <w:vAlign w:val="center"/>
            <w:hideMark/>
          </w:tcPr>
          <w:p w14:paraId="6EBD6DA8"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POMC</w:t>
            </w:r>
          </w:p>
        </w:tc>
        <w:tc>
          <w:tcPr>
            <w:tcW w:w="1465" w:type="dxa"/>
            <w:noWrap/>
            <w:vAlign w:val="center"/>
            <w:hideMark/>
          </w:tcPr>
          <w:p w14:paraId="7424BE1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L37F</w:t>
            </w:r>
          </w:p>
        </w:tc>
        <w:tc>
          <w:tcPr>
            <w:tcW w:w="1146" w:type="dxa"/>
            <w:noWrap/>
            <w:vAlign w:val="center"/>
            <w:hideMark/>
          </w:tcPr>
          <w:p w14:paraId="409C6BB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4BDD27B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7E49885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65FFA0C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1AC70CC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Case2 (figure1B)</w:t>
            </w:r>
          </w:p>
        </w:tc>
        <w:tc>
          <w:tcPr>
            <w:tcW w:w="850" w:type="dxa"/>
            <w:noWrap/>
            <w:vAlign w:val="center"/>
            <w:hideMark/>
          </w:tcPr>
          <w:p w14:paraId="6141905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2B4A80D1"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Creemers</w:t>
            </w:r>
            <w:proofErr w:type="spellEnd"/>
            <w:r w:rsidRPr="00B63AB4">
              <w:rPr>
                <w:sz w:val="20"/>
                <w:szCs w:val="20"/>
                <w:lang w:val="en-US"/>
              </w:rPr>
              <w:t>, et al. 2008</w:t>
            </w:r>
          </w:p>
        </w:tc>
      </w:tr>
      <w:tr w:rsidR="00DC2DB2" w:rsidRPr="00B63AB4" w14:paraId="03658CEA" w14:textId="77777777" w:rsidTr="00EB4A43">
        <w:trPr>
          <w:trHeight w:val="315"/>
        </w:trPr>
        <w:tc>
          <w:tcPr>
            <w:tcW w:w="993" w:type="dxa"/>
            <w:noWrap/>
            <w:vAlign w:val="center"/>
            <w:hideMark/>
          </w:tcPr>
          <w:p w14:paraId="052F000B"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NTRK2</w:t>
            </w:r>
          </w:p>
        </w:tc>
        <w:tc>
          <w:tcPr>
            <w:tcW w:w="1465" w:type="dxa"/>
            <w:noWrap/>
            <w:vAlign w:val="center"/>
            <w:hideMark/>
          </w:tcPr>
          <w:p w14:paraId="7721696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I98V</w:t>
            </w:r>
          </w:p>
        </w:tc>
        <w:tc>
          <w:tcPr>
            <w:tcW w:w="1146" w:type="dxa"/>
            <w:noWrap/>
            <w:vAlign w:val="center"/>
            <w:hideMark/>
          </w:tcPr>
          <w:p w14:paraId="57D68D1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5CEF3CA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60F71E0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0347A4F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6E90A14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Case1 (text)</w:t>
            </w:r>
          </w:p>
        </w:tc>
        <w:tc>
          <w:tcPr>
            <w:tcW w:w="850" w:type="dxa"/>
            <w:noWrap/>
            <w:vAlign w:val="center"/>
            <w:hideMark/>
          </w:tcPr>
          <w:p w14:paraId="3D88CD5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443A15D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Gray, et al. 2007</w:t>
            </w:r>
          </w:p>
        </w:tc>
      </w:tr>
      <w:tr w:rsidR="00DC2DB2" w:rsidRPr="00B63AB4" w14:paraId="06F6CCF7" w14:textId="77777777" w:rsidTr="00EB4A43">
        <w:trPr>
          <w:trHeight w:val="315"/>
        </w:trPr>
        <w:tc>
          <w:tcPr>
            <w:tcW w:w="993" w:type="dxa"/>
            <w:noWrap/>
            <w:vAlign w:val="center"/>
            <w:hideMark/>
          </w:tcPr>
          <w:p w14:paraId="69DBA760"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NTRK2</w:t>
            </w:r>
          </w:p>
        </w:tc>
        <w:tc>
          <w:tcPr>
            <w:tcW w:w="1465" w:type="dxa"/>
            <w:noWrap/>
            <w:vAlign w:val="center"/>
            <w:hideMark/>
          </w:tcPr>
          <w:p w14:paraId="2AB0FAD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T821A</w:t>
            </w:r>
          </w:p>
        </w:tc>
        <w:tc>
          <w:tcPr>
            <w:tcW w:w="1146" w:type="dxa"/>
            <w:noWrap/>
            <w:vAlign w:val="center"/>
            <w:hideMark/>
          </w:tcPr>
          <w:p w14:paraId="6293282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427910A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39819DE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3C92A33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608B829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Case2 (text)</w:t>
            </w:r>
          </w:p>
        </w:tc>
        <w:tc>
          <w:tcPr>
            <w:tcW w:w="850" w:type="dxa"/>
            <w:noWrap/>
            <w:vAlign w:val="center"/>
            <w:hideMark/>
          </w:tcPr>
          <w:p w14:paraId="631CC08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6111E7C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Gray, et al. 2007</w:t>
            </w:r>
          </w:p>
        </w:tc>
      </w:tr>
      <w:tr w:rsidR="00DC2DB2" w:rsidRPr="00B63AB4" w14:paraId="0E66362E" w14:textId="77777777" w:rsidTr="00EB4A43">
        <w:trPr>
          <w:trHeight w:val="315"/>
        </w:trPr>
        <w:tc>
          <w:tcPr>
            <w:tcW w:w="993" w:type="dxa"/>
            <w:noWrap/>
            <w:vAlign w:val="center"/>
            <w:hideMark/>
          </w:tcPr>
          <w:p w14:paraId="4521CE43"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SIM1</w:t>
            </w:r>
          </w:p>
        </w:tc>
        <w:tc>
          <w:tcPr>
            <w:tcW w:w="1465" w:type="dxa"/>
            <w:noWrap/>
            <w:vAlign w:val="center"/>
            <w:hideMark/>
          </w:tcPr>
          <w:p w14:paraId="3CF2B27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I128T</w:t>
            </w:r>
          </w:p>
        </w:tc>
        <w:tc>
          <w:tcPr>
            <w:tcW w:w="1146" w:type="dxa"/>
            <w:noWrap/>
            <w:vAlign w:val="center"/>
            <w:hideMark/>
          </w:tcPr>
          <w:p w14:paraId="45B535B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53DA164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7094899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0D70294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22EB2E3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Case1 (text)</w:t>
            </w:r>
          </w:p>
        </w:tc>
        <w:tc>
          <w:tcPr>
            <w:tcW w:w="850" w:type="dxa"/>
            <w:noWrap/>
            <w:vAlign w:val="center"/>
            <w:hideMark/>
          </w:tcPr>
          <w:p w14:paraId="335946D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02FF121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Hung, et al. 2007</w:t>
            </w:r>
          </w:p>
        </w:tc>
      </w:tr>
      <w:tr w:rsidR="00DC2DB2" w:rsidRPr="00B63AB4" w14:paraId="044DFAAF" w14:textId="77777777" w:rsidTr="00EB4A43">
        <w:trPr>
          <w:trHeight w:val="315"/>
        </w:trPr>
        <w:tc>
          <w:tcPr>
            <w:tcW w:w="993" w:type="dxa"/>
            <w:noWrap/>
            <w:vAlign w:val="center"/>
            <w:hideMark/>
          </w:tcPr>
          <w:p w14:paraId="0239482D"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SIM1</w:t>
            </w:r>
          </w:p>
        </w:tc>
        <w:tc>
          <w:tcPr>
            <w:tcW w:w="1465" w:type="dxa"/>
            <w:noWrap/>
            <w:vAlign w:val="center"/>
            <w:hideMark/>
          </w:tcPr>
          <w:p w14:paraId="6A92991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T46R</w:t>
            </w:r>
          </w:p>
        </w:tc>
        <w:tc>
          <w:tcPr>
            <w:tcW w:w="1146" w:type="dxa"/>
            <w:noWrap/>
            <w:vAlign w:val="center"/>
            <w:hideMark/>
          </w:tcPr>
          <w:p w14:paraId="1507469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532D0EA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02976AF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05F05BB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70FAE28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Participant1 (figure S2)</w:t>
            </w:r>
          </w:p>
        </w:tc>
        <w:tc>
          <w:tcPr>
            <w:tcW w:w="850" w:type="dxa"/>
            <w:noWrap/>
            <w:vAlign w:val="center"/>
            <w:hideMark/>
          </w:tcPr>
          <w:p w14:paraId="63D1599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7166801E"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Bonnefond</w:t>
            </w:r>
            <w:proofErr w:type="spellEnd"/>
            <w:r w:rsidRPr="00B63AB4">
              <w:rPr>
                <w:sz w:val="20"/>
                <w:szCs w:val="20"/>
                <w:lang w:val="en-US"/>
              </w:rPr>
              <w:t>, et al. 2013</w:t>
            </w:r>
          </w:p>
        </w:tc>
      </w:tr>
      <w:tr w:rsidR="00DC2DB2" w:rsidRPr="00B63AB4" w14:paraId="34F9B78B" w14:textId="77777777" w:rsidTr="00EB4A43">
        <w:trPr>
          <w:trHeight w:val="315"/>
        </w:trPr>
        <w:tc>
          <w:tcPr>
            <w:tcW w:w="993" w:type="dxa"/>
            <w:noWrap/>
            <w:vAlign w:val="center"/>
            <w:hideMark/>
          </w:tcPr>
          <w:p w14:paraId="3E96C1BF"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SIM1</w:t>
            </w:r>
          </w:p>
        </w:tc>
        <w:tc>
          <w:tcPr>
            <w:tcW w:w="1465" w:type="dxa"/>
            <w:noWrap/>
            <w:vAlign w:val="center"/>
            <w:hideMark/>
          </w:tcPr>
          <w:p w14:paraId="3893A2B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T46R</w:t>
            </w:r>
          </w:p>
        </w:tc>
        <w:tc>
          <w:tcPr>
            <w:tcW w:w="1146" w:type="dxa"/>
            <w:noWrap/>
            <w:vAlign w:val="center"/>
            <w:hideMark/>
          </w:tcPr>
          <w:p w14:paraId="12D70B2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5ED3662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6F02CC9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596FC8A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3072463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Participant2 (figure S2)</w:t>
            </w:r>
          </w:p>
        </w:tc>
        <w:tc>
          <w:tcPr>
            <w:tcW w:w="850" w:type="dxa"/>
            <w:noWrap/>
            <w:vAlign w:val="center"/>
            <w:hideMark/>
          </w:tcPr>
          <w:p w14:paraId="2AFCED7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442E081A"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Bonnefond</w:t>
            </w:r>
            <w:proofErr w:type="spellEnd"/>
            <w:r w:rsidRPr="00B63AB4">
              <w:rPr>
                <w:sz w:val="20"/>
                <w:szCs w:val="20"/>
                <w:lang w:val="en-US"/>
              </w:rPr>
              <w:t>, et al. 2013</w:t>
            </w:r>
          </w:p>
        </w:tc>
      </w:tr>
      <w:tr w:rsidR="00DC2DB2" w:rsidRPr="00B63AB4" w14:paraId="51C80564" w14:textId="77777777" w:rsidTr="00EB4A43">
        <w:trPr>
          <w:trHeight w:val="315"/>
        </w:trPr>
        <w:tc>
          <w:tcPr>
            <w:tcW w:w="993" w:type="dxa"/>
            <w:noWrap/>
            <w:vAlign w:val="center"/>
            <w:hideMark/>
          </w:tcPr>
          <w:p w14:paraId="6B033120"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SIM1</w:t>
            </w:r>
          </w:p>
        </w:tc>
        <w:tc>
          <w:tcPr>
            <w:tcW w:w="1465" w:type="dxa"/>
            <w:noWrap/>
            <w:vAlign w:val="center"/>
            <w:hideMark/>
          </w:tcPr>
          <w:p w14:paraId="74808C7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R171H</w:t>
            </w:r>
          </w:p>
        </w:tc>
        <w:tc>
          <w:tcPr>
            <w:tcW w:w="1146" w:type="dxa"/>
            <w:noWrap/>
            <w:vAlign w:val="center"/>
            <w:hideMark/>
          </w:tcPr>
          <w:p w14:paraId="0299842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56708F2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3731D9F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0E82B13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SO</w:t>
            </w:r>
          </w:p>
        </w:tc>
        <w:tc>
          <w:tcPr>
            <w:tcW w:w="2552" w:type="dxa"/>
            <w:gridSpan w:val="2"/>
            <w:noWrap/>
            <w:vAlign w:val="center"/>
            <w:hideMark/>
          </w:tcPr>
          <w:p w14:paraId="46D478F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Case1 (figure2)</w:t>
            </w:r>
          </w:p>
        </w:tc>
        <w:tc>
          <w:tcPr>
            <w:tcW w:w="850" w:type="dxa"/>
            <w:noWrap/>
            <w:vAlign w:val="center"/>
            <w:hideMark/>
          </w:tcPr>
          <w:p w14:paraId="6030B51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479F9FF3"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Ramachandrappa</w:t>
            </w:r>
            <w:proofErr w:type="spellEnd"/>
            <w:r w:rsidRPr="00B63AB4">
              <w:rPr>
                <w:sz w:val="20"/>
                <w:szCs w:val="20"/>
                <w:lang w:val="en-US"/>
              </w:rPr>
              <w:t>, et al. 2013</w:t>
            </w:r>
          </w:p>
        </w:tc>
      </w:tr>
      <w:tr w:rsidR="00DC2DB2" w:rsidRPr="00B63AB4" w14:paraId="7F55D8D5" w14:textId="77777777" w:rsidTr="00EB4A43">
        <w:trPr>
          <w:trHeight w:val="315"/>
        </w:trPr>
        <w:tc>
          <w:tcPr>
            <w:tcW w:w="993" w:type="dxa"/>
            <w:noWrap/>
            <w:vAlign w:val="center"/>
            <w:hideMark/>
          </w:tcPr>
          <w:p w14:paraId="0183BE8D"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SIM1</w:t>
            </w:r>
          </w:p>
        </w:tc>
        <w:tc>
          <w:tcPr>
            <w:tcW w:w="1465" w:type="dxa"/>
            <w:noWrap/>
            <w:vAlign w:val="center"/>
            <w:hideMark/>
          </w:tcPr>
          <w:p w14:paraId="3631C5F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L238R</w:t>
            </w:r>
          </w:p>
        </w:tc>
        <w:tc>
          <w:tcPr>
            <w:tcW w:w="1146" w:type="dxa"/>
            <w:noWrap/>
            <w:vAlign w:val="center"/>
            <w:hideMark/>
          </w:tcPr>
          <w:p w14:paraId="2E839A8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09CBE22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6DB05D2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21F21FE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SO</w:t>
            </w:r>
          </w:p>
        </w:tc>
        <w:tc>
          <w:tcPr>
            <w:tcW w:w="2552" w:type="dxa"/>
            <w:gridSpan w:val="2"/>
            <w:noWrap/>
            <w:vAlign w:val="center"/>
            <w:hideMark/>
          </w:tcPr>
          <w:p w14:paraId="60BE6AB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Case2 (figure2)</w:t>
            </w:r>
          </w:p>
        </w:tc>
        <w:tc>
          <w:tcPr>
            <w:tcW w:w="850" w:type="dxa"/>
            <w:noWrap/>
            <w:vAlign w:val="center"/>
            <w:hideMark/>
          </w:tcPr>
          <w:p w14:paraId="0411804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2E72A5F8"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Ramachandrappa</w:t>
            </w:r>
            <w:proofErr w:type="spellEnd"/>
            <w:r w:rsidRPr="00B63AB4">
              <w:rPr>
                <w:sz w:val="20"/>
                <w:szCs w:val="20"/>
                <w:lang w:val="en-US"/>
              </w:rPr>
              <w:t>, et al. 2013</w:t>
            </w:r>
          </w:p>
        </w:tc>
      </w:tr>
      <w:tr w:rsidR="00DC2DB2" w:rsidRPr="00B63AB4" w14:paraId="24BD72A3" w14:textId="77777777" w:rsidTr="00EB4A43">
        <w:trPr>
          <w:trHeight w:val="315"/>
        </w:trPr>
        <w:tc>
          <w:tcPr>
            <w:tcW w:w="993" w:type="dxa"/>
            <w:noWrap/>
            <w:vAlign w:val="center"/>
            <w:hideMark/>
          </w:tcPr>
          <w:p w14:paraId="1B6C56FF"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SIM1</w:t>
            </w:r>
          </w:p>
        </w:tc>
        <w:tc>
          <w:tcPr>
            <w:tcW w:w="1465" w:type="dxa"/>
            <w:noWrap/>
            <w:vAlign w:val="center"/>
            <w:hideMark/>
          </w:tcPr>
          <w:p w14:paraId="2652329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P692L</w:t>
            </w:r>
          </w:p>
        </w:tc>
        <w:tc>
          <w:tcPr>
            <w:tcW w:w="1146" w:type="dxa"/>
            <w:noWrap/>
            <w:vAlign w:val="center"/>
            <w:hideMark/>
          </w:tcPr>
          <w:p w14:paraId="3A6C201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61185D5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7EC1888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61A0810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6582FAD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Case3 (figure2)</w:t>
            </w:r>
          </w:p>
        </w:tc>
        <w:tc>
          <w:tcPr>
            <w:tcW w:w="850" w:type="dxa"/>
            <w:noWrap/>
            <w:vAlign w:val="center"/>
            <w:hideMark/>
          </w:tcPr>
          <w:p w14:paraId="6CDD789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076765EA"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Ramachandrappa</w:t>
            </w:r>
            <w:proofErr w:type="spellEnd"/>
            <w:r w:rsidRPr="00B63AB4">
              <w:rPr>
                <w:sz w:val="20"/>
                <w:szCs w:val="20"/>
                <w:lang w:val="en-US"/>
              </w:rPr>
              <w:t>, et al. 2013</w:t>
            </w:r>
          </w:p>
        </w:tc>
      </w:tr>
      <w:tr w:rsidR="00DC2DB2" w:rsidRPr="00B63AB4" w14:paraId="58DDF876" w14:textId="77777777" w:rsidTr="00EB4A43">
        <w:trPr>
          <w:trHeight w:val="315"/>
        </w:trPr>
        <w:tc>
          <w:tcPr>
            <w:tcW w:w="993" w:type="dxa"/>
            <w:noWrap/>
            <w:vAlign w:val="center"/>
            <w:hideMark/>
          </w:tcPr>
          <w:p w14:paraId="12E3ACA3"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SIM1</w:t>
            </w:r>
          </w:p>
        </w:tc>
        <w:tc>
          <w:tcPr>
            <w:tcW w:w="1465" w:type="dxa"/>
            <w:noWrap/>
            <w:vAlign w:val="center"/>
            <w:hideMark/>
          </w:tcPr>
          <w:p w14:paraId="43629F6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T712I</w:t>
            </w:r>
          </w:p>
        </w:tc>
        <w:tc>
          <w:tcPr>
            <w:tcW w:w="1146" w:type="dxa"/>
            <w:noWrap/>
            <w:vAlign w:val="center"/>
            <w:hideMark/>
          </w:tcPr>
          <w:p w14:paraId="39897F5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6AE624E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1A22DA5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461FBB7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4A68698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Case4 (figure2)</w:t>
            </w:r>
          </w:p>
        </w:tc>
        <w:tc>
          <w:tcPr>
            <w:tcW w:w="850" w:type="dxa"/>
            <w:noWrap/>
            <w:vAlign w:val="center"/>
            <w:hideMark/>
          </w:tcPr>
          <w:p w14:paraId="22A42B1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0F15F829"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Ramachandrappa</w:t>
            </w:r>
            <w:proofErr w:type="spellEnd"/>
            <w:r w:rsidRPr="00B63AB4">
              <w:rPr>
                <w:sz w:val="20"/>
                <w:szCs w:val="20"/>
                <w:lang w:val="en-US"/>
              </w:rPr>
              <w:t>, et al. 2013</w:t>
            </w:r>
          </w:p>
        </w:tc>
      </w:tr>
      <w:tr w:rsidR="00DC2DB2" w:rsidRPr="00B63AB4" w14:paraId="6E4CDE72" w14:textId="77777777" w:rsidTr="00EB4A43">
        <w:trPr>
          <w:trHeight w:val="315"/>
        </w:trPr>
        <w:tc>
          <w:tcPr>
            <w:tcW w:w="993" w:type="dxa"/>
            <w:noWrap/>
            <w:vAlign w:val="center"/>
            <w:hideMark/>
          </w:tcPr>
          <w:p w14:paraId="5691B037"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SIM1</w:t>
            </w:r>
          </w:p>
        </w:tc>
        <w:tc>
          <w:tcPr>
            <w:tcW w:w="1465" w:type="dxa"/>
            <w:noWrap/>
            <w:vAlign w:val="center"/>
            <w:hideMark/>
          </w:tcPr>
          <w:p w14:paraId="2E2216A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R550H</w:t>
            </w:r>
          </w:p>
        </w:tc>
        <w:tc>
          <w:tcPr>
            <w:tcW w:w="1146" w:type="dxa"/>
            <w:noWrap/>
            <w:vAlign w:val="center"/>
            <w:hideMark/>
          </w:tcPr>
          <w:p w14:paraId="6CCBFB5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6876A11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2A0F7AE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2EEBA21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20B593C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Case5 (figure2)</w:t>
            </w:r>
          </w:p>
        </w:tc>
        <w:tc>
          <w:tcPr>
            <w:tcW w:w="850" w:type="dxa"/>
            <w:noWrap/>
            <w:vAlign w:val="center"/>
            <w:hideMark/>
          </w:tcPr>
          <w:p w14:paraId="70F35A8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42E535C7"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Ramachandrappa</w:t>
            </w:r>
            <w:proofErr w:type="spellEnd"/>
            <w:r w:rsidRPr="00B63AB4">
              <w:rPr>
                <w:sz w:val="20"/>
                <w:szCs w:val="20"/>
                <w:lang w:val="en-US"/>
              </w:rPr>
              <w:t>, et al. 2013</w:t>
            </w:r>
          </w:p>
        </w:tc>
      </w:tr>
      <w:tr w:rsidR="00DC2DB2" w:rsidRPr="00B63AB4" w14:paraId="66E17A2C" w14:textId="77777777" w:rsidTr="00EB4A43">
        <w:trPr>
          <w:trHeight w:val="315"/>
        </w:trPr>
        <w:tc>
          <w:tcPr>
            <w:tcW w:w="993" w:type="dxa"/>
            <w:noWrap/>
            <w:vAlign w:val="center"/>
            <w:hideMark/>
          </w:tcPr>
          <w:p w14:paraId="15FE9C60"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SIM1</w:t>
            </w:r>
          </w:p>
        </w:tc>
        <w:tc>
          <w:tcPr>
            <w:tcW w:w="1465" w:type="dxa"/>
            <w:noWrap/>
            <w:vAlign w:val="center"/>
            <w:hideMark/>
          </w:tcPr>
          <w:p w14:paraId="63C1C42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R550H</w:t>
            </w:r>
          </w:p>
        </w:tc>
        <w:tc>
          <w:tcPr>
            <w:tcW w:w="1146" w:type="dxa"/>
            <w:noWrap/>
            <w:vAlign w:val="center"/>
            <w:hideMark/>
          </w:tcPr>
          <w:p w14:paraId="1B8EC54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4F3284EA"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6021DC3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0E0A6109"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3F39401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Case6 (figure2)</w:t>
            </w:r>
          </w:p>
        </w:tc>
        <w:tc>
          <w:tcPr>
            <w:tcW w:w="850" w:type="dxa"/>
            <w:noWrap/>
            <w:vAlign w:val="center"/>
            <w:hideMark/>
          </w:tcPr>
          <w:p w14:paraId="125C26B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74471AF1"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Ramachandrappa</w:t>
            </w:r>
            <w:proofErr w:type="spellEnd"/>
            <w:r w:rsidRPr="00B63AB4">
              <w:rPr>
                <w:sz w:val="20"/>
                <w:szCs w:val="20"/>
                <w:lang w:val="en-US"/>
              </w:rPr>
              <w:t>, et al. 2013</w:t>
            </w:r>
          </w:p>
        </w:tc>
      </w:tr>
      <w:tr w:rsidR="00DC2DB2" w:rsidRPr="00B63AB4" w14:paraId="1C6A788D" w14:textId="77777777" w:rsidTr="00EB4A43">
        <w:trPr>
          <w:trHeight w:val="315"/>
        </w:trPr>
        <w:tc>
          <w:tcPr>
            <w:tcW w:w="993" w:type="dxa"/>
            <w:noWrap/>
            <w:vAlign w:val="center"/>
            <w:hideMark/>
          </w:tcPr>
          <w:p w14:paraId="7318D61A"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SIM1</w:t>
            </w:r>
          </w:p>
        </w:tc>
        <w:tc>
          <w:tcPr>
            <w:tcW w:w="1465" w:type="dxa"/>
            <w:noWrap/>
            <w:vAlign w:val="center"/>
            <w:hideMark/>
          </w:tcPr>
          <w:p w14:paraId="1ADAA7C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R550H</w:t>
            </w:r>
          </w:p>
        </w:tc>
        <w:tc>
          <w:tcPr>
            <w:tcW w:w="1146" w:type="dxa"/>
            <w:noWrap/>
            <w:vAlign w:val="center"/>
            <w:hideMark/>
          </w:tcPr>
          <w:p w14:paraId="5163020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5E5117F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68102CC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4F9298E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SO</w:t>
            </w:r>
          </w:p>
        </w:tc>
        <w:tc>
          <w:tcPr>
            <w:tcW w:w="2552" w:type="dxa"/>
            <w:gridSpan w:val="2"/>
            <w:noWrap/>
            <w:vAlign w:val="center"/>
            <w:hideMark/>
          </w:tcPr>
          <w:p w14:paraId="46016C4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Case7 (figure2)</w:t>
            </w:r>
          </w:p>
        </w:tc>
        <w:tc>
          <w:tcPr>
            <w:tcW w:w="850" w:type="dxa"/>
            <w:noWrap/>
            <w:vAlign w:val="center"/>
            <w:hideMark/>
          </w:tcPr>
          <w:p w14:paraId="3FA3B1C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05E77B1B"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Ramachandrappa</w:t>
            </w:r>
            <w:proofErr w:type="spellEnd"/>
            <w:r w:rsidRPr="00B63AB4">
              <w:rPr>
                <w:sz w:val="20"/>
                <w:szCs w:val="20"/>
                <w:lang w:val="en-US"/>
              </w:rPr>
              <w:t>, et al. 2013</w:t>
            </w:r>
          </w:p>
        </w:tc>
      </w:tr>
      <w:tr w:rsidR="00DC2DB2" w:rsidRPr="00B63AB4" w14:paraId="2AE133C7" w14:textId="77777777" w:rsidTr="00EB4A43">
        <w:trPr>
          <w:trHeight w:val="315"/>
        </w:trPr>
        <w:tc>
          <w:tcPr>
            <w:tcW w:w="993" w:type="dxa"/>
            <w:noWrap/>
            <w:vAlign w:val="center"/>
            <w:hideMark/>
          </w:tcPr>
          <w:p w14:paraId="3B9F8679"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SIM1</w:t>
            </w:r>
          </w:p>
        </w:tc>
        <w:tc>
          <w:tcPr>
            <w:tcW w:w="1465" w:type="dxa"/>
            <w:noWrap/>
            <w:vAlign w:val="center"/>
            <w:hideMark/>
          </w:tcPr>
          <w:p w14:paraId="71F6B43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D707H</w:t>
            </w:r>
          </w:p>
        </w:tc>
        <w:tc>
          <w:tcPr>
            <w:tcW w:w="1146" w:type="dxa"/>
            <w:noWrap/>
            <w:vAlign w:val="center"/>
            <w:hideMark/>
          </w:tcPr>
          <w:p w14:paraId="206C56C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774AF8E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123C58A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30215C6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0AE39B1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Case8 (figure2)</w:t>
            </w:r>
          </w:p>
        </w:tc>
        <w:tc>
          <w:tcPr>
            <w:tcW w:w="850" w:type="dxa"/>
            <w:noWrap/>
            <w:vAlign w:val="center"/>
            <w:hideMark/>
          </w:tcPr>
          <w:p w14:paraId="58C08A0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6D7B365B"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Ramachandrappa</w:t>
            </w:r>
            <w:proofErr w:type="spellEnd"/>
            <w:r w:rsidRPr="00B63AB4">
              <w:rPr>
                <w:sz w:val="20"/>
                <w:szCs w:val="20"/>
                <w:lang w:val="en-US"/>
              </w:rPr>
              <w:t>, et al. 2013</w:t>
            </w:r>
          </w:p>
        </w:tc>
      </w:tr>
      <w:tr w:rsidR="00DC2DB2" w:rsidRPr="00B63AB4" w14:paraId="03213FEA" w14:textId="77777777" w:rsidTr="00EB4A43">
        <w:trPr>
          <w:trHeight w:val="315"/>
        </w:trPr>
        <w:tc>
          <w:tcPr>
            <w:tcW w:w="993" w:type="dxa"/>
            <w:noWrap/>
            <w:vAlign w:val="center"/>
            <w:hideMark/>
          </w:tcPr>
          <w:p w14:paraId="1C8C105E"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SIM1</w:t>
            </w:r>
          </w:p>
        </w:tc>
        <w:tc>
          <w:tcPr>
            <w:tcW w:w="1465" w:type="dxa"/>
            <w:noWrap/>
            <w:vAlign w:val="center"/>
            <w:hideMark/>
          </w:tcPr>
          <w:p w14:paraId="445CAD0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D707H</w:t>
            </w:r>
          </w:p>
        </w:tc>
        <w:tc>
          <w:tcPr>
            <w:tcW w:w="1146" w:type="dxa"/>
            <w:noWrap/>
            <w:vAlign w:val="center"/>
            <w:hideMark/>
          </w:tcPr>
          <w:p w14:paraId="3266DF4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2F916D2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7916603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6A76FEE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SO</w:t>
            </w:r>
          </w:p>
        </w:tc>
        <w:tc>
          <w:tcPr>
            <w:tcW w:w="2552" w:type="dxa"/>
            <w:gridSpan w:val="2"/>
            <w:noWrap/>
            <w:vAlign w:val="center"/>
            <w:hideMark/>
          </w:tcPr>
          <w:p w14:paraId="721D5F0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Case9 (figure2)</w:t>
            </w:r>
          </w:p>
        </w:tc>
        <w:tc>
          <w:tcPr>
            <w:tcW w:w="850" w:type="dxa"/>
            <w:noWrap/>
            <w:vAlign w:val="center"/>
            <w:hideMark/>
          </w:tcPr>
          <w:p w14:paraId="6BD4309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4659EE8C"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Ramachandrappa</w:t>
            </w:r>
            <w:proofErr w:type="spellEnd"/>
            <w:r w:rsidRPr="00B63AB4">
              <w:rPr>
                <w:sz w:val="20"/>
                <w:szCs w:val="20"/>
                <w:lang w:val="en-US"/>
              </w:rPr>
              <w:t>, et al. 2013</w:t>
            </w:r>
          </w:p>
        </w:tc>
      </w:tr>
      <w:tr w:rsidR="00DC2DB2" w:rsidRPr="00B63AB4" w14:paraId="7B93BC52" w14:textId="77777777" w:rsidTr="00EB4A43">
        <w:trPr>
          <w:trHeight w:val="315"/>
        </w:trPr>
        <w:tc>
          <w:tcPr>
            <w:tcW w:w="993" w:type="dxa"/>
            <w:noWrap/>
            <w:vAlign w:val="center"/>
            <w:hideMark/>
          </w:tcPr>
          <w:p w14:paraId="2D9D9953"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SIM1</w:t>
            </w:r>
          </w:p>
        </w:tc>
        <w:tc>
          <w:tcPr>
            <w:tcW w:w="1465" w:type="dxa"/>
            <w:noWrap/>
            <w:vAlign w:val="center"/>
            <w:hideMark/>
          </w:tcPr>
          <w:p w14:paraId="120FCA2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D707H</w:t>
            </w:r>
          </w:p>
        </w:tc>
        <w:tc>
          <w:tcPr>
            <w:tcW w:w="1146" w:type="dxa"/>
            <w:noWrap/>
            <w:vAlign w:val="center"/>
            <w:hideMark/>
          </w:tcPr>
          <w:p w14:paraId="02CB82E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5469A2F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739EEAA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329BF2BD"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w:t>
            </w:r>
          </w:p>
        </w:tc>
        <w:tc>
          <w:tcPr>
            <w:tcW w:w="2552" w:type="dxa"/>
            <w:gridSpan w:val="2"/>
            <w:noWrap/>
            <w:vAlign w:val="center"/>
            <w:hideMark/>
          </w:tcPr>
          <w:p w14:paraId="23BC04D1"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Case10 (figure2)</w:t>
            </w:r>
          </w:p>
        </w:tc>
        <w:tc>
          <w:tcPr>
            <w:tcW w:w="850" w:type="dxa"/>
            <w:noWrap/>
            <w:vAlign w:val="center"/>
            <w:hideMark/>
          </w:tcPr>
          <w:p w14:paraId="7F119CB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61B5192D"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Ramachandrappa</w:t>
            </w:r>
            <w:proofErr w:type="spellEnd"/>
            <w:r w:rsidRPr="00B63AB4">
              <w:rPr>
                <w:sz w:val="20"/>
                <w:szCs w:val="20"/>
                <w:lang w:val="en-US"/>
              </w:rPr>
              <w:t>, et al. 2013</w:t>
            </w:r>
          </w:p>
        </w:tc>
      </w:tr>
      <w:tr w:rsidR="00DC2DB2" w:rsidRPr="00B63AB4" w14:paraId="17ADCBB1" w14:textId="77777777" w:rsidTr="00EB4A43">
        <w:trPr>
          <w:trHeight w:val="315"/>
        </w:trPr>
        <w:tc>
          <w:tcPr>
            <w:tcW w:w="993" w:type="dxa"/>
            <w:noWrap/>
            <w:vAlign w:val="center"/>
            <w:hideMark/>
          </w:tcPr>
          <w:p w14:paraId="6DAC81FC"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SIM1</w:t>
            </w:r>
          </w:p>
        </w:tc>
        <w:tc>
          <w:tcPr>
            <w:tcW w:w="1465" w:type="dxa"/>
            <w:noWrap/>
            <w:vAlign w:val="center"/>
            <w:hideMark/>
          </w:tcPr>
          <w:p w14:paraId="0E03857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D707H</w:t>
            </w:r>
          </w:p>
        </w:tc>
        <w:tc>
          <w:tcPr>
            <w:tcW w:w="1146" w:type="dxa"/>
            <w:noWrap/>
            <w:vAlign w:val="center"/>
            <w:hideMark/>
          </w:tcPr>
          <w:p w14:paraId="3824669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677FD34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Pathogenic</w:t>
            </w:r>
          </w:p>
        </w:tc>
        <w:tc>
          <w:tcPr>
            <w:tcW w:w="850" w:type="dxa"/>
            <w:gridSpan w:val="2"/>
            <w:noWrap/>
            <w:vAlign w:val="center"/>
            <w:hideMark/>
          </w:tcPr>
          <w:p w14:paraId="2DD9BF6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Pat</w:t>
            </w:r>
          </w:p>
        </w:tc>
        <w:tc>
          <w:tcPr>
            <w:tcW w:w="1134" w:type="dxa"/>
            <w:gridSpan w:val="2"/>
            <w:noWrap/>
            <w:vAlign w:val="center"/>
            <w:hideMark/>
          </w:tcPr>
          <w:p w14:paraId="1591E15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O</w:t>
            </w:r>
          </w:p>
        </w:tc>
        <w:tc>
          <w:tcPr>
            <w:tcW w:w="2552" w:type="dxa"/>
            <w:gridSpan w:val="2"/>
            <w:noWrap/>
            <w:vAlign w:val="center"/>
            <w:hideMark/>
          </w:tcPr>
          <w:p w14:paraId="187E7C2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Case11 (figure2)</w:t>
            </w:r>
          </w:p>
        </w:tc>
        <w:tc>
          <w:tcPr>
            <w:tcW w:w="850" w:type="dxa"/>
            <w:noWrap/>
            <w:vAlign w:val="center"/>
            <w:hideMark/>
          </w:tcPr>
          <w:p w14:paraId="476EC5AE"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7FA27D4C"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Ramachandrappa</w:t>
            </w:r>
            <w:proofErr w:type="spellEnd"/>
            <w:r w:rsidRPr="00B63AB4">
              <w:rPr>
                <w:sz w:val="20"/>
                <w:szCs w:val="20"/>
                <w:lang w:val="en-US"/>
              </w:rPr>
              <w:t>, et al. 2013</w:t>
            </w:r>
          </w:p>
        </w:tc>
      </w:tr>
      <w:tr w:rsidR="00DC2DB2" w:rsidRPr="00B63AB4" w14:paraId="6E5D2A49" w14:textId="77777777" w:rsidTr="00EB4A43">
        <w:trPr>
          <w:trHeight w:val="315"/>
        </w:trPr>
        <w:tc>
          <w:tcPr>
            <w:tcW w:w="993" w:type="dxa"/>
            <w:noWrap/>
            <w:vAlign w:val="center"/>
            <w:hideMark/>
          </w:tcPr>
          <w:p w14:paraId="016BFB2E"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MRAP2</w:t>
            </w:r>
          </w:p>
        </w:tc>
        <w:tc>
          <w:tcPr>
            <w:tcW w:w="1465" w:type="dxa"/>
            <w:noWrap/>
            <w:vAlign w:val="center"/>
            <w:hideMark/>
          </w:tcPr>
          <w:p w14:paraId="268FB7D4"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A137T</w:t>
            </w:r>
          </w:p>
        </w:tc>
        <w:tc>
          <w:tcPr>
            <w:tcW w:w="1146" w:type="dxa"/>
            <w:noWrap/>
            <w:vAlign w:val="center"/>
            <w:hideMark/>
          </w:tcPr>
          <w:p w14:paraId="728C089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0133A17B"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34C6A22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4347B465"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30E06032"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Case1 (text)</w:t>
            </w:r>
          </w:p>
        </w:tc>
        <w:tc>
          <w:tcPr>
            <w:tcW w:w="850" w:type="dxa"/>
            <w:noWrap/>
            <w:vAlign w:val="center"/>
            <w:hideMark/>
          </w:tcPr>
          <w:p w14:paraId="2AD723B3"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w:t>
            </w:r>
          </w:p>
        </w:tc>
        <w:tc>
          <w:tcPr>
            <w:tcW w:w="2835" w:type="dxa"/>
            <w:gridSpan w:val="2"/>
            <w:noWrap/>
            <w:vAlign w:val="center"/>
            <w:hideMark/>
          </w:tcPr>
          <w:p w14:paraId="1A815316"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Schonnop</w:t>
            </w:r>
            <w:proofErr w:type="spellEnd"/>
            <w:r w:rsidRPr="00B63AB4">
              <w:rPr>
                <w:sz w:val="20"/>
                <w:szCs w:val="20"/>
                <w:lang w:val="en-US"/>
              </w:rPr>
              <w:t>, et al. 2016</w:t>
            </w:r>
          </w:p>
        </w:tc>
      </w:tr>
      <w:tr w:rsidR="00DC2DB2" w:rsidRPr="00B63AB4" w14:paraId="167FEB5F" w14:textId="77777777" w:rsidTr="00EB4A43">
        <w:trPr>
          <w:trHeight w:val="315"/>
        </w:trPr>
        <w:tc>
          <w:tcPr>
            <w:tcW w:w="993" w:type="dxa"/>
            <w:noWrap/>
            <w:vAlign w:val="center"/>
            <w:hideMark/>
          </w:tcPr>
          <w:p w14:paraId="072C34AC" w14:textId="77777777" w:rsidR="00DC2DB2" w:rsidRPr="00B63AB4" w:rsidRDefault="00DC2DB2" w:rsidP="00EB4A43">
            <w:pPr>
              <w:spacing w:before="100" w:beforeAutospacing="1" w:after="100" w:afterAutospacing="1"/>
              <w:jc w:val="center"/>
              <w:rPr>
                <w:i/>
                <w:iCs/>
                <w:sz w:val="20"/>
                <w:szCs w:val="20"/>
                <w:lang w:val="en-US"/>
              </w:rPr>
            </w:pPr>
            <w:r w:rsidRPr="00B63AB4">
              <w:rPr>
                <w:i/>
                <w:iCs/>
                <w:sz w:val="20"/>
                <w:szCs w:val="20"/>
                <w:lang w:val="en-US"/>
              </w:rPr>
              <w:t>MRAP2</w:t>
            </w:r>
          </w:p>
        </w:tc>
        <w:tc>
          <w:tcPr>
            <w:tcW w:w="1465" w:type="dxa"/>
            <w:noWrap/>
            <w:vAlign w:val="center"/>
            <w:hideMark/>
          </w:tcPr>
          <w:p w14:paraId="45ED719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R125H</w:t>
            </w:r>
          </w:p>
        </w:tc>
        <w:tc>
          <w:tcPr>
            <w:tcW w:w="1146" w:type="dxa"/>
            <w:noWrap/>
            <w:vAlign w:val="center"/>
            <w:hideMark/>
          </w:tcPr>
          <w:p w14:paraId="412B9628"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Missense</w:t>
            </w:r>
          </w:p>
        </w:tc>
        <w:tc>
          <w:tcPr>
            <w:tcW w:w="1358" w:type="dxa"/>
            <w:noWrap/>
            <w:vAlign w:val="center"/>
            <w:hideMark/>
          </w:tcPr>
          <w:p w14:paraId="402C5060"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VUS</w:t>
            </w:r>
          </w:p>
        </w:tc>
        <w:tc>
          <w:tcPr>
            <w:tcW w:w="850" w:type="dxa"/>
            <w:gridSpan w:val="2"/>
            <w:noWrap/>
            <w:vAlign w:val="center"/>
            <w:hideMark/>
          </w:tcPr>
          <w:p w14:paraId="7F145687"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Mat</w:t>
            </w:r>
          </w:p>
        </w:tc>
        <w:tc>
          <w:tcPr>
            <w:tcW w:w="1134" w:type="dxa"/>
            <w:gridSpan w:val="2"/>
            <w:noWrap/>
            <w:vAlign w:val="center"/>
            <w:hideMark/>
          </w:tcPr>
          <w:p w14:paraId="4A486936"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L</w:t>
            </w:r>
          </w:p>
        </w:tc>
        <w:tc>
          <w:tcPr>
            <w:tcW w:w="2552" w:type="dxa"/>
            <w:gridSpan w:val="2"/>
            <w:noWrap/>
            <w:vAlign w:val="center"/>
            <w:hideMark/>
          </w:tcPr>
          <w:p w14:paraId="56F9134F"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Case3 (text)</w:t>
            </w:r>
          </w:p>
        </w:tc>
        <w:tc>
          <w:tcPr>
            <w:tcW w:w="850" w:type="dxa"/>
            <w:noWrap/>
            <w:vAlign w:val="center"/>
            <w:hideMark/>
          </w:tcPr>
          <w:p w14:paraId="2C669D9C" w14:textId="77777777" w:rsidR="00DC2DB2" w:rsidRPr="00B63AB4" w:rsidRDefault="00DC2DB2" w:rsidP="00EB4A43">
            <w:pPr>
              <w:spacing w:before="100" w:beforeAutospacing="1" w:after="100" w:afterAutospacing="1"/>
              <w:jc w:val="center"/>
              <w:rPr>
                <w:sz w:val="20"/>
                <w:szCs w:val="20"/>
                <w:lang w:val="en-US"/>
              </w:rPr>
            </w:pPr>
            <w:r w:rsidRPr="00B63AB4">
              <w:rPr>
                <w:sz w:val="20"/>
                <w:szCs w:val="20"/>
                <w:lang w:val="en-US"/>
              </w:rPr>
              <w:t>F</w:t>
            </w:r>
          </w:p>
        </w:tc>
        <w:tc>
          <w:tcPr>
            <w:tcW w:w="2835" w:type="dxa"/>
            <w:gridSpan w:val="2"/>
            <w:noWrap/>
            <w:vAlign w:val="center"/>
            <w:hideMark/>
          </w:tcPr>
          <w:p w14:paraId="77B93054" w14:textId="77777777" w:rsidR="00DC2DB2" w:rsidRPr="00B63AB4" w:rsidRDefault="00DC2DB2" w:rsidP="00EB4A43">
            <w:pPr>
              <w:spacing w:before="100" w:beforeAutospacing="1" w:after="100" w:afterAutospacing="1"/>
              <w:jc w:val="center"/>
              <w:rPr>
                <w:sz w:val="20"/>
                <w:szCs w:val="20"/>
                <w:lang w:val="en-US"/>
              </w:rPr>
            </w:pPr>
            <w:proofErr w:type="spellStart"/>
            <w:r w:rsidRPr="00B63AB4">
              <w:rPr>
                <w:sz w:val="20"/>
                <w:szCs w:val="20"/>
                <w:lang w:val="en-US"/>
              </w:rPr>
              <w:t>Schonnop</w:t>
            </w:r>
            <w:proofErr w:type="spellEnd"/>
            <w:r w:rsidRPr="00B63AB4">
              <w:rPr>
                <w:sz w:val="20"/>
                <w:szCs w:val="20"/>
                <w:lang w:val="en-US"/>
              </w:rPr>
              <w:t>, et al. 2016</w:t>
            </w:r>
          </w:p>
        </w:tc>
      </w:tr>
    </w:tbl>
    <w:p w14:paraId="447561DF" w14:textId="77777777" w:rsidR="00DC2DB2" w:rsidRPr="00B63AB4" w:rsidRDefault="00DC2DB2" w:rsidP="00DC2DB2">
      <w:pPr>
        <w:spacing w:line="360" w:lineRule="auto"/>
        <w:jc w:val="both"/>
        <w:rPr>
          <w:sz w:val="16"/>
          <w:szCs w:val="16"/>
          <w:lang w:val="en-US"/>
        </w:rPr>
      </w:pPr>
    </w:p>
    <w:p w14:paraId="663870FD" w14:textId="77777777" w:rsidR="00DC2DB2" w:rsidRPr="008935F1" w:rsidRDefault="00DC2DB2" w:rsidP="00DC2DB2">
      <w:pPr>
        <w:spacing w:line="360" w:lineRule="auto"/>
        <w:ind w:left="720"/>
        <w:jc w:val="both"/>
        <w:rPr>
          <w:sz w:val="20"/>
          <w:szCs w:val="20"/>
          <w:lang w:val="en-US"/>
        </w:rPr>
      </w:pPr>
      <w:r w:rsidRPr="00B63AB4">
        <w:rPr>
          <w:b/>
          <w:sz w:val="20"/>
          <w:szCs w:val="16"/>
          <w:lang w:val="en-US"/>
        </w:rPr>
        <w:t xml:space="preserve">Supplementary Table 2. </w:t>
      </w:r>
      <w:r w:rsidRPr="00B63AB4">
        <w:rPr>
          <w:sz w:val="20"/>
          <w:szCs w:val="16"/>
          <w:lang w:val="en-US"/>
        </w:rPr>
        <w:t>Inherited</w:t>
      </w:r>
      <w:r w:rsidRPr="00B63AB4">
        <w:rPr>
          <w:b/>
          <w:sz w:val="20"/>
          <w:szCs w:val="16"/>
          <w:lang w:val="en-US"/>
        </w:rPr>
        <w:t xml:space="preserve"> </w:t>
      </w:r>
      <w:r w:rsidRPr="00B63AB4">
        <w:rPr>
          <w:sz w:val="20"/>
          <w:szCs w:val="16"/>
          <w:lang w:val="en-US"/>
        </w:rPr>
        <w:t>rare sequence variants (RSVs) in candidate genes for obesity in patients with obesity. Each row corresponds to every transmission evaluated in the meta-analysis (n=21</w:t>
      </w:r>
      <w:r>
        <w:rPr>
          <w:sz w:val="20"/>
          <w:szCs w:val="16"/>
          <w:lang w:val="en-US"/>
        </w:rPr>
        <w:t>6</w:t>
      </w:r>
      <w:r w:rsidRPr="00B63AB4">
        <w:rPr>
          <w:sz w:val="20"/>
          <w:szCs w:val="16"/>
          <w:lang w:val="en-US"/>
        </w:rPr>
        <w:t xml:space="preserve">). Pathogenicity (loss-of-function) </w:t>
      </w:r>
      <w:r>
        <w:rPr>
          <w:sz w:val="20"/>
          <w:szCs w:val="16"/>
          <w:lang w:val="en-US"/>
        </w:rPr>
        <w:t>has been previously</w:t>
      </w:r>
      <w:r w:rsidRPr="00B63AB4">
        <w:rPr>
          <w:sz w:val="20"/>
          <w:szCs w:val="16"/>
          <w:lang w:val="en-US"/>
        </w:rPr>
        <w:t xml:space="preserve"> assessed by functional studies </w:t>
      </w:r>
      <w:r>
        <w:rPr>
          <w:sz w:val="20"/>
          <w:szCs w:val="16"/>
          <w:lang w:val="en-US"/>
        </w:rPr>
        <w:t>o</w:t>
      </w:r>
      <w:r w:rsidRPr="00B63AB4">
        <w:rPr>
          <w:sz w:val="20"/>
          <w:szCs w:val="16"/>
          <w:lang w:val="en-US"/>
        </w:rPr>
        <w:t>r variants predicted to be deleterious</w:t>
      </w:r>
      <w:r>
        <w:rPr>
          <w:sz w:val="20"/>
          <w:szCs w:val="16"/>
          <w:lang w:val="en-US"/>
        </w:rPr>
        <w:t>.</w:t>
      </w:r>
      <w:r w:rsidRPr="00B63AB4">
        <w:rPr>
          <w:sz w:val="20"/>
          <w:szCs w:val="16"/>
          <w:lang w:val="en-US"/>
        </w:rPr>
        <w:t xml:space="preserve"> Parental phenotype refers only to the parent carrying the RSV</w:t>
      </w:r>
      <w:r w:rsidRPr="00B63AB4">
        <w:rPr>
          <w:sz w:val="20"/>
          <w:lang w:val="en-US"/>
        </w:rPr>
        <w:t xml:space="preserve">: </w:t>
      </w:r>
      <w:r w:rsidRPr="00B63AB4">
        <w:rPr>
          <w:sz w:val="20"/>
          <w:szCs w:val="16"/>
          <w:lang w:val="en-US"/>
        </w:rPr>
        <w:t>L=lean, OW=overweight,</w:t>
      </w:r>
      <w:r w:rsidRPr="00B63AB4">
        <w:rPr>
          <w:sz w:val="20"/>
          <w:lang w:val="en-US"/>
        </w:rPr>
        <w:t xml:space="preserve"> O=obesity, EOO=early-onset obesity, SO=severe obesity, NA=not available. The case identifier, the gender (M; male, F: femal</w:t>
      </w:r>
      <w:r w:rsidRPr="008935F1">
        <w:rPr>
          <w:sz w:val="20"/>
          <w:szCs w:val="20"/>
          <w:lang w:val="en-US"/>
        </w:rPr>
        <w:t xml:space="preserve">e) and the reference are also included. Number of </w:t>
      </w:r>
      <w:r>
        <w:rPr>
          <w:sz w:val="20"/>
          <w:szCs w:val="20"/>
          <w:lang w:val="en-US"/>
        </w:rPr>
        <w:t xml:space="preserve">reported </w:t>
      </w:r>
      <w:r>
        <w:rPr>
          <w:sz w:val="20"/>
          <w:szCs w:val="20"/>
          <w:lang w:val="en-US"/>
        </w:rPr>
        <w:lastRenderedPageBreak/>
        <w:t xml:space="preserve">transmissions </w:t>
      </w:r>
      <w:r w:rsidRPr="008935F1">
        <w:rPr>
          <w:sz w:val="20"/>
          <w:szCs w:val="20"/>
          <w:lang w:val="en-US"/>
        </w:rPr>
        <w:t xml:space="preserve">per gene: </w:t>
      </w:r>
      <w:r w:rsidRPr="008935F1">
        <w:rPr>
          <w:i/>
          <w:sz w:val="20"/>
          <w:szCs w:val="20"/>
          <w:lang w:val="en-US"/>
        </w:rPr>
        <w:t>MC4</w:t>
      </w:r>
      <w:proofErr w:type="gramStart"/>
      <w:r w:rsidRPr="008935F1">
        <w:rPr>
          <w:i/>
          <w:sz w:val="20"/>
          <w:szCs w:val="20"/>
          <w:lang w:val="en-US"/>
        </w:rPr>
        <w:t>R(</w:t>
      </w:r>
      <w:proofErr w:type="gramEnd"/>
      <w:r w:rsidRPr="008935F1">
        <w:rPr>
          <w:i/>
          <w:sz w:val="20"/>
          <w:szCs w:val="20"/>
          <w:lang w:val="en-US"/>
        </w:rPr>
        <w:t>126)</w:t>
      </w:r>
      <w:r w:rsidRPr="008935F1">
        <w:rPr>
          <w:sz w:val="20"/>
          <w:szCs w:val="20"/>
          <w:lang w:val="en-US"/>
        </w:rPr>
        <w:t xml:space="preserve">, </w:t>
      </w:r>
      <w:r w:rsidRPr="008935F1">
        <w:rPr>
          <w:i/>
          <w:sz w:val="20"/>
          <w:szCs w:val="20"/>
          <w:lang w:val="en-US"/>
        </w:rPr>
        <w:t>POMC(22)</w:t>
      </w:r>
      <w:r w:rsidRPr="008935F1">
        <w:rPr>
          <w:sz w:val="20"/>
          <w:szCs w:val="20"/>
          <w:lang w:val="en-US"/>
        </w:rPr>
        <w:t xml:space="preserve">, </w:t>
      </w:r>
      <w:r w:rsidRPr="008935F1">
        <w:rPr>
          <w:i/>
          <w:sz w:val="20"/>
          <w:szCs w:val="20"/>
          <w:lang w:val="en-US"/>
        </w:rPr>
        <w:t>SIM1(22)</w:t>
      </w:r>
      <w:r w:rsidRPr="008935F1">
        <w:rPr>
          <w:sz w:val="20"/>
          <w:szCs w:val="20"/>
          <w:lang w:val="en-US"/>
        </w:rPr>
        <w:t xml:space="preserve">, </w:t>
      </w:r>
      <w:r w:rsidRPr="008935F1">
        <w:rPr>
          <w:i/>
          <w:sz w:val="20"/>
          <w:szCs w:val="20"/>
          <w:lang w:val="en-US"/>
        </w:rPr>
        <w:t>SH2B1(11)</w:t>
      </w:r>
      <w:r w:rsidRPr="008935F1">
        <w:rPr>
          <w:sz w:val="20"/>
          <w:szCs w:val="20"/>
          <w:lang w:val="en-US"/>
        </w:rPr>
        <w:t xml:space="preserve">, </w:t>
      </w:r>
      <w:r w:rsidRPr="008935F1">
        <w:rPr>
          <w:i/>
          <w:sz w:val="20"/>
          <w:szCs w:val="20"/>
          <w:lang w:val="en-US"/>
        </w:rPr>
        <w:t>BDNF(7)</w:t>
      </w:r>
      <w:r w:rsidRPr="008935F1">
        <w:rPr>
          <w:sz w:val="20"/>
          <w:szCs w:val="20"/>
          <w:lang w:val="en-US"/>
        </w:rPr>
        <w:t xml:space="preserve">, </w:t>
      </w:r>
      <w:r w:rsidRPr="008935F1">
        <w:rPr>
          <w:i/>
          <w:sz w:val="20"/>
          <w:szCs w:val="20"/>
          <w:lang w:val="en-US"/>
        </w:rPr>
        <w:t>MCHR1(6), FTO(4), NTRK2(4), PCSK1(3), NEGR1(3),</w:t>
      </w:r>
      <w:r w:rsidRPr="008935F1">
        <w:rPr>
          <w:sz w:val="20"/>
          <w:szCs w:val="20"/>
          <w:lang w:val="en-US"/>
        </w:rPr>
        <w:t xml:space="preserve"> </w:t>
      </w:r>
      <w:r w:rsidRPr="008935F1">
        <w:rPr>
          <w:i/>
          <w:sz w:val="20"/>
          <w:szCs w:val="20"/>
          <w:lang w:val="en-US"/>
        </w:rPr>
        <w:t>MRAP2(2),</w:t>
      </w:r>
      <w:r w:rsidRPr="008935F1">
        <w:rPr>
          <w:sz w:val="20"/>
          <w:szCs w:val="20"/>
          <w:lang w:val="en-US"/>
        </w:rPr>
        <w:t xml:space="preserve"> </w:t>
      </w:r>
      <w:r w:rsidRPr="008935F1">
        <w:rPr>
          <w:i/>
          <w:sz w:val="20"/>
          <w:szCs w:val="20"/>
          <w:lang w:val="en-US"/>
        </w:rPr>
        <w:t>PPARG(1)</w:t>
      </w:r>
      <w:r w:rsidRPr="008935F1">
        <w:rPr>
          <w:sz w:val="20"/>
          <w:szCs w:val="20"/>
          <w:lang w:val="en-US"/>
        </w:rPr>
        <w:t>,</w:t>
      </w:r>
      <w:r w:rsidRPr="008935F1">
        <w:rPr>
          <w:i/>
          <w:sz w:val="20"/>
          <w:szCs w:val="20"/>
          <w:lang w:val="en-US"/>
        </w:rPr>
        <w:t xml:space="preserve"> MC3R(1), NPY(1)</w:t>
      </w:r>
      <w:r w:rsidRPr="008935F1">
        <w:rPr>
          <w:sz w:val="20"/>
          <w:szCs w:val="20"/>
          <w:lang w:val="en-US"/>
        </w:rPr>
        <w:t xml:space="preserve">, </w:t>
      </w:r>
      <w:r w:rsidRPr="008935F1">
        <w:rPr>
          <w:i/>
          <w:sz w:val="20"/>
          <w:szCs w:val="20"/>
          <w:lang w:val="en-US"/>
        </w:rPr>
        <w:t>CADM2(1), CRHR2(1), TBX3(1).</w:t>
      </w:r>
    </w:p>
    <w:p w14:paraId="1E5396F8" w14:textId="77777777" w:rsidR="00DC2DB2" w:rsidRPr="00B63AB4" w:rsidRDefault="00DC2DB2" w:rsidP="00DC2DB2">
      <w:pPr>
        <w:spacing w:line="360" w:lineRule="auto"/>
        <w:jc w:val="both"/>
        <w:rPr>
          <w:lang w:val="en-US"/>
        </w:rPr>
        <w:sectPr w:rsidR="00DC2DB2" w:rsidRPr="00B63AB4" w:rsidSect="008A61A9">
          <w:pgSz w:w="15840" w:h="12240" w:orient="landscape"/>
          <w:pgMar w:top="1701" w:right="1417" w:bottom="1701" w:left="1417" w:header="708" w:footer="708" w:gutter="0"/>
          <w:cols w:space="708"/>
          <w:docGrid w:linePitch="360"/>
        </w:sectPr>
      </w:pPr>
    </w:p>
    <w:p w14:paraId="07D361A4" w14:textId="77777777" w:rsidR="00DC2DB2" w:rsidRPr="00884637" w:rsidRDefault="00DC2DB2" w:rsidP="00DC2DB2">
      <w:pPr>
        <w:widowControl w:val="0"/>
        <w:autoSpaceDE w:val="0"/>
        <w:autoSpaceDN w:val="0"/>
        <w:adjustRightInd w:val="0"/>
        <w:jc w:val="both"/>
        <w:rPr>
          <w:b/>
          <w:lang w:val="en-US"/>
        </w:rPr>
      </w:pPr>
      <w:r>
        <w:rPr>
          <w:b/>
          <w:lang w:val="en-US"/>
        </w:rPr>
        <w:lastRenderedPageBreak/>
        <w:t>Supplementary References</w:t>
      </w:r>
    </w:p>
    <w:p w14:paraId="5355973C" w14:textId="77777777" w:rsidR="00DC2DB2" w:rsidRPr="00884637" w:rsidRDefault="00DC2DB2" w:rsidP="00DC2DB2">
      <w:pPr>
        <w:widowControl w:val="0"/>
        <w:autoSpaceDE w:val="0"/>
        <w:autoSpaceDN w:val="0"/>
        <w:adjustRightInd w:val="0"/>
        <w:rPr>
          <w:noProof/>
        </w:rPr>
      </w:pPr>
      <w:r w:rsidRPr="00884637">
        <w:rPr>
          <w:lang w:val="en-US"/>
        </w:rPr>
        <w:fldChar w:fldCharType="begin" w:fldLock="1"/>
      </w:r>
      <w:r w:rsidRPr="00884637">
        <w:rPr>
          <w:lang w:val="en-US"/>
        </w:rPr>
        <w:instrText xml:space="preserve">ADDIN Mendeley Bibliography CSL_BIBLIOGRAPHY </w:instrText>
      </w:r>
      <w:r w:rsidRPr="00884637">
        <w:rPr>
          <w:lang w:val="en-US"/>
        </w:rPr>
        <w:fldChar w:fldCharType="separate"/>
      </w:r>
      <w:r w:rsidRPr="00884637">
        <w:rPr>
          <w:noProof/>
        </w:rPr>
        <w:t xml:space="preserve">1. </w:t>
      </w:r>
      <w:r w:rsidRPr="00884637">
        <w:rPr>
          <w:noProof/>
        </w:rPr>
        <w:tab/>
        <w:t xml:space="preserve">Philippe J, Stijnen P, Meyre D, et al. A nonsense loss-of-function mutation in PCSK1 contributes to dominantly inherited  human obesity. </w:t>
      </w:r>
      <w:r w:rsidRPr="00884637">
        <w:rPr>
          <w:i/>
          <w:iCs/>
          <w:noProof/>
        </w:rPr>
        <w:t>Int J Obes (Lond)</w:t>
      </w:r>
      <w:r w:rsidRPr="00884637">
        <w:rPr>
          <w:noProof/>
        </w:rPr>
        <w:t>. 2015;39(2):295-302. doi:10.1038/ijo.2014.96</w:t>
      </w:r>
    </w:p>
    <w:p w14:paraId="1597BDA7" w14:textId="77777777" w:rsidR="00DC2DB2" w:rsidRPr="00884637" w:rsidRDefault="00DC2DB2" w:rsidP="00DC2DB2">
      <w:pPr>
        <w:widowControl w:val="0"/>
        <w:autoSpaceDE w:val="0"/>
        <w:autoSpaceDN w:val="0"/>
        <w:adjustRightInd w:val="0"/>
        <w:rPr>
          <w:noProof/>
        </w:rPr>
      </w:pPr>
      <w:r w:rsidRPr="00884637">
        <w:rPr>
          <w:noProof/>
        </w:rPr>
        <w:t xml:space="preserve">2. </w:t>
      </w:r>
      <w:r w:rsidRPr="00884637">
        <w:rPr>
          <w:noProof/>
        </w:rPr>
        <w:tab/>
        <w:t xml:space="preserve">Hendricks AE, Bochukova EG, Marenne G, et al. Rare Variant Analysis of Human and Rodent Obesity Genes in Individuals with Severe  Childhood Obesity. </w:t>
      </w:r>
      <w:r w:rsidRPr="00884637">
        <w:rPr>
          <w:i/>
          <w:iCs/>
          <w:noProof/>
        </w:rPr>
        <w:t>Sci Rep</w:t>
      </w:r>
      <w:r w:rsidRPr="00884637">
        <w:rPr>
          <w:noProof/>
        </w:rPr>
        <w:t>. 2017;7(1):4394. doi:10.1038/s41598-017-03054-8</w:t>
      </w:r>
    </w:p>
    <w:p w14:paraId="795375DF" w14:textId="77777777" w:rsidR="00DC2DB2" w:rsidRPr="00884637" w:rsidRDefault="00DC2DB2" w:rsidP="00DC2DB2">
      <w:pPr>
        <w:widowControl w:val="0"/>
        <w:autoSpaceDE w:val="0"/>
        <w:autoSpaceDN w:val="0"/>
        <w:adjustRightInd w:val="0"/>
        <w:rPr>
          <w:noProof/>
        </w:rPr>
      </w:pPr>
      <w:r w:rsidRPr="00884637">
        <w:rPr>
          <w:noProof/>
        </w:rPr>
        <w:t xml:space="preserve">3. </w:t>
      </w:r>
      <w:r w:rsidRPr="00884637">
        <w:rPr>
          <w:noProof/>
        </w:rPr>
        <w:tab/>
        <w:t xml:space="preserve">Serra-Juhé C, Martos-Moreno GÁ, Bou de Pieri F, et al. Novel genes involved in severe early-onset obesity revealed by rare copy number and sequence variants. </w:t>
      </w:r>
      <w:r w:rsidRPr="00884637">
        <w:rPr>
          <w:i/>
          <w:iCs/>
          <w:noProof/>
        </w:rPr>
        <w:t>PLoS Genet</w:t>
      </w:r>
      <w:r w:rsidRPr="00884637">
        <w:rPr>
          <w:noProof/>
        </w:rPr>
        <w:t>. 2017;13(5):e1006657. doi:10.1371/journal.pgen.1006657</w:t>
      </w:r>
    </w:p>
    <w:p w14:paraId="11DDF3C9" w14:textId="77777777" w:rsidR="00DC2DB2" w:rsidRPr="00884637" w:rsidRDefault="00DC2DB2" w:rsidP="00DC2DB2">
      <w:pPr>
        <w:widowControl w:val="0"/>
        <w:autoSpaceDE w:val="0"/>
        <w:autoSpaceDN w:val="0"/>
        <w:adjustRightInd w:val="0"/>
        <w:rPr>
          <w:noProof/>
        </w:rPr>
      </w:pPr>
      <w:r w:rsidRPr="00884637">
        <w:rPr>
          <w:noProof/>
        </w:rPr>
        <w:t xml:space="preserve">4. </w:t>
      </w:r>
      <w:r w:rsidRPr="00884637">
        <w:rPr>
          <w:noProof/>
        </w:rPr>
        <w:tab/>
        <w:t xml:space="preserve">Kleinendorst L, Massink MPG, Cooiman MI, et al. Genetic obesity: next-generation sequencing results of 1230 patients with obesity. </w:t>
      </w:r>
      <w:r w:rsidRPr="00884637">
        <w:rPr>
          <w:i/>
          <w:iCs/>
          <w:noProof/>
        </w:rPr>
        <w:t>J Med Genet</w:t>
      </w:r>
      <w:r w:rsidRPr="00884637">
        <w:rPr>
          <w:noProof/>
        </w:rPr>
        <w:t>. 2018;55(9):578-586. doi:10.1136/jmedgenet-2018-105315</w:t>
      </w:r>
    </w:p>
    <w:p w14:paraId="0ADE1E98" w14:textId="77777777" w:rsidR="00DC2DB2" w:rsidRPr="00884637" w:rsidRDefault="00DC2DB2" w:rsidP="00DC2DB2">
      <w:pPr>
        <w:widowControl w:val="0"/>
        <w:autoSpaceDE w:val="0"/>
        <w:autoSpaceDN w:val="0"/>
        <w:adjustRightInd w:val="0"/>
        <w:rPr>
          <w:noProof/>
        </w:rPr>
      </w:pPr>
      <w:r w:rsidRPr="00884637">
        <w:rPr>
          <w:noProof/>
        </w:rPr>
        <w:t xml:space="preserve">5. </w:t>
      </w:r>
      <w:r w:rsidRPr="00884637">
        <w:rPr>
          <w:noProof/>
        </w:rPr>
        <w:tab/>
        <w:t xml:space="preserve">Akıncı A, Türkkahraman D, Tekedereli İ, et al. Novel Mutations in Obesity-related Genes in Turkish Children with Non-syndromic  Early Onset Severe Obesity: A Multicentre Study. </w:t>
      </w:r>
      <w:r w:rsidRPr="00884637">
        <w:rPr>
          <w:i/>
          <w:iCs/>
          <w:noProof/>
        </w:rPr>
        <w:t>J Clin Res Pediatr Endocrinol</w:t>
      </w:r>
      <w:r w:rsidRPr="00884637">
        <w:rPr>
          <w:noProof/>
        </w:rPr>
        <w:t>. 2019;11(4):341-349. doi:10.4274/jcrpe.galenos.2019.2019.0021</w:t>
      </w:r>
    </w:p>
    <w:p w14:paraId="06486605" w14:textId="77777777" w:rsidR="00DC2DB2" w:rsidRPr="00884637" w:rsidRDefault="00DC2DB2" w:rsidP="00DC2DB2">
      <w:pPr>
        <w:widowControl w:val="0"/>
        <w:autoSpaceDE w:val="0"/>
        <w:autoSpaceDN w:val="0"/>
        <w:adjustRightInd w:val="0"/>
        <w:rPr>
          <w:noProof/>
        </w:rPr>
      </w:pPr>
      <w:r w:rsidRPr="00884637">
        <w:rPr>
          <w:noProof/>
        </w:rPr>
        <w:t xml:space="preserve">6. </w:t>
      </w:r>
      <w:r w:rsidRPr="00884637">
        <w:rPr>
          <w:noProof/>
        </w:rPr>
        <w:tab/>
        <w:t xml:space="preserve">Serra-Juhé C, Martos-Moreno GÁ, Bou de Pieri F, et al. Heterozygous rare genetic variants in non-syndromic early-onset obesity. </w:t>
      </w:r>
      <w:r w:rsidRPr="00884637">
        <w:rPr>
          <w:i/>
          <w:iCs/>
          <w:noProof/>
        </w:rPr>
        <w:t>Int J Obes (Lond)</w:t>
      </w:r>
      <w:r w:rsidRPr="00884637">
        <w:rPr>
          <w:noProof/>
        </w:rPr>
        <w:t>. 2020;44(4):830-841. doi:10.1038/s41366-019-0357-5</w:t>
      </w:r>
    </w:p>
    <w:p w14:paraId="227E7528" w14:textId="77777777" w:rsidR="00DC2DB2" w:rsidRPr="00884637" w:rsidRDefault="00DC2DB2" w:rsidP="00DC2DB2">
      <w:pPr>
        <w:widowControl w:val="0"/>
        <w:autoSpaceDE w:val="0"/>
        <w:autoSpaceDN w:val="0"/>
        <w:adjustRightInd w:val="0"/>
        <w:rPr>
          <w:noProof/>
        </w:rPr>
      </w:pPr>
      <w:r w:rsidRPr="00884637">
        <w:rPr>
          <w:noProof/>
        </w:rPr>
        <w:t xml:space="preserve">7. </w:t>
      </w:r>
      <w:r w:rsidRPr="00884637">
        <w:rPr>
          <w:noProof/>
        </w:rPr>
        <w:tab/>
        <w:t xml:space="preserve">Yeo GS, Farooqi IS, Aminian S, Halsall DJ, Stanhope RG, O’Rahilly S. A frameshift mutation in MC4R associated with dominantly inherited human obesity. </w:t>
      </w:r>
      <w:r w:rsidRPr="00884637">
        <w:rPr>
          <w:i/>
          <w:iCs/>
          <w:noProof/>
        </w:rPr>
        <w:t>Nat Genet</w:t>
      </w:r>
      <w:r w:rsidRPr="00884637">
        <w:rPr>
          <w:noProof/>
        </w:rPr>
        <w:t>. 1998;20(2):111-112. doi:10.1038/2404</w:t>
      </w:r>
    </w:p>
    <w:p w14:paraId="686140DE" w14:textId="77777777" w:rsidR="00DC2DB2" w:rsidRPr="00884637" w:rsidRDefault="00DC2DB2" w:rsidP="00DC2DB2">
      <w:pPr>
        <w:widowControl w:val="0"/>
        <w:autoSpaceDE w:val="0"/>
        <w:autoSpaceDN w:val="0"/>
        <w:adjustRightInd w:val="0"/>
        <w:rPr>
          <w:noProof/>
        </w:rPr>
      </w:pPr>
      <w:r w:rsidRPr="00884637">
        <w:rPr>
          <w:noProof/>
        </w:rPr>
        <w:t xml:space="preserve">8. </w:t>
      </w:r>
      <w:r w:rsidRPr="00884637">
        <w:rPr>
          <w:noProof/>
        </w:rPr>
        <w:tab/>
        <w:t xml:space="preserve">Vaisse C, Clement K, Guy-Grand B, Froguel P. A frameshift mutation in human MC4R is associated with a dominant form of obesity. </w:t>
      </w:r>
      <w:r w:rsidRPr="00884637">
        <w:rPr>
          <w:i/>
          <w:iCs/>
          <w:noProof/>
        </w:rPr>
        <w:t>Nat Genet</w:t>
      </w:r>
      <w:r w:rsidRPr="00884637">
        <w:rPr>
          <w:noProof/>
        </w:rPr>
        <w:t>. 1998;20(2):113-114. doi:10.1038/2407</w:t>
      </w:r>
    </w:p>
    <w:p w14:paraId="76026D78" w14:textId="77777777" w:rsidR="00DC2DB2" w:rsidRPr="00884637" w:rsidRDefault="00DC2DB2" w:rsidP="00DC2DB2">
      <w:pPr>
        <w:widowControl w:val="0"/>
        <w:autoSpaceDE w:val="0"/>
        <w:autoSpaceDN w:val="0"/>
        <w:adjustRightInd w:val="0"/>
        <w:rPr>
          <w:noProof/>
        </w:rPr>
      </w:pPr>
      <w:r w:rsidRPr="00884637">
        <w:rPr>
          <w:noProof/>
        </w:rPr>
        <w:t xml:space="preserve">9. </w:t>
      </w:r>
      <w:r w:rsidRPr="00884637">
        <w:rPr>
          <w:noProof/>
        </w:rPr>
        <w:tab/>
        <w:t xml:space="preserve">Hinney A, Schmidt A, Nottebom K, et al. Several mutations in the melanocortin-4 receptor gene including a nonsense and a  frameshift mutation associated with dominantly inherited obesity in humans. </w:t>
      </w:r>
      <w:r w:rsidRPr="00884637">
        <w:rPr>
          <w:i/>
          <w:iCs/>
          <w:noProof/>
        </w:rPr>
        <w:t>J Clin Endocrinol Metab</w:t>
      </w:r>
      <w:r w:rsidRPr="00884637">
        <w:rPr>
          <w:noProof/>
        </w:rPr>
        <w:t>. 1999;84(4):1483-1486. doi:10.1210/jcem.84.4.5728</w:t>
      </w:r>
    </w:p>
    <w:p w14:paraId="562E9937" w14:textId="77777777" w:rsidR="00DC2DB2" w:rsidRPr="00884637" w:rsidRDefault="00DC2DB2" w:rsidP="00DC2DB2">
      <w:pPr>
        <w:widowControl w:val="0"/>
        <w:autoSpaceDE w:val="0"/>
        <w:autoSpaceDN w:val="0"/>
        <w:adjustRightInd w:val="0"/>
        <w:rPr>
          <w:noProof/>
        </w:rPr>
      </w:pPr>
      <w:r w:rsidRPr="00884637">
        <w:rPr>
          <w:noProof/>
        </w:rPr>
        <w:t xml:space="preserve">10. </w:t>
      </w:r>
      <w:r w:rsidRPr="00884637">
        <w:rPr>
          <w:noProof/>
        </w:rPr>
        <w:tab/>
        <w:t xml:space="preserve">Farooqi IS, Yeo GS, Keogh JM, et al. Dominant and recessive inheritance of morbid obesity associated with melanocortin 4  receptor deficiency. </w:t>
      </w:r>
      <w:r w:rsidRPr="00884637">
        <w:rPr>
          <w:i/>
          <w:iCs/>
          <w:noProof/>
        </w:rPr>
        <w:t>J Clin Invest</w:t>
      </w:r>
      <w:r w:rsidRPr="00884637">
        <w:rPr>
          <w:noProof/>
        </w:rPr>
        <w:t>. 2000;106(2):271-279. doi:10.1172/JCI9397</w:t>
      </w:r>
    </w:p>
    <w:p w14:paraId="54B8C04D" w14:textId="77777777" w:rsidR="00DC2DB2" w:rsidRPr="00884637" w:rsidRDefault="00DC2DB2" w:rsidP="00DC2DB2">
      <w:pPr>
        <w:widowControl w:val="0"/>
        <w:autoSpaceDE w:val="0"/>
        <w:autoSpaceDN w:val="0"/>
        <w:adjustRightInd w:val="0"/>
        <w:rPr>
          <w:noProof/>
        </w:rPr>
      </w:pPr>
      <w:r w:rsidRPr="00884637">
        <w:rPr>
          <w:noProof/>
        </w:rPr>
        <w:t xml:space="preserve">11. </w:t>
      </w:r>
      <w:r w:rsidRPr="00884637">
        <w:rPr>
          <w:noProof/>
        </w:rPr>
        <w:tab/>
        <w:t xml:space="preserve">Vaisse C, Clement K, Durand E, Hercberg S, Guy-Grand B, Froguel P. Melanocortin-4 receptor mutations are a frequent and heterogeneous cause of morbid  obesity. </w:t>
      </w:r>
      <w:r w:rsidRPr="00884637">
        <w:rPr>
          <w:i/>
          <w:iCs/>
          <w:noProof/>
        </w:rPr>
        <w:t>J Clin Invest</w:t>
      </w:r>
      <w:r w:rsidRPr="00884637">
        <w:rPr>
          <w:noProof/>
        </w:rPr>
        <w:t>. 2000;106(2):253-262. doi:10.1172/JCI9238</w:t>
      </w:r>
    </w:p>
    <w:p w14:paraId="4EB62456" w14:textId="77777777" w:rsidR="00DC2DB2" w:rsidRPr="00884637" w:rsidRDefault="00DC2DB2" w:rsidP="00DC2DB2">
      <w:pPr>
        <w:widowControl w:val="0"/>
        <w:autoSpaceDE w:val="0"/>
        <w:autoSpaceDN w:val="0"/>
        <w:adjustRightInd w:val="0"/>
        <w:rPr>
          <w:noProof/>
        </w:rPr>
      </w:pPr>
      <w:r w:rsidRPr="00884637">
        <w:rPr>
          <w:noProof/>
        </w:rPr>
        <w:t xml:space="preserve">12. </w:t>
      </w:r>
      <w:r w:rsidRPr="00884637">
        <w:rPr>
          <w:noProof/>
        </w:rPr>
        <w:tab/>
        <w:t xml:space="preserve">Dubern B, Clément K, Pelloux V, et al. Mutational analysis of melanocortin-4 receptor, agouti-related protein, and  alpha-melanocyte-stimulating hormone genes in severely obese children. </w:t>
      </w:r>
      <w:r w:rsidRPr="00884637">
        <w:rPr>
          <w:i/>
          <w:iCs/>
          <w:noProof/>
        </w:rPr>
        <w:t>J Pediatr</w:t>
      </w:r>
      <w:r w:rsidRPr="00884637">
        <w:rPr>
          <w:noProof/>
        </w:rPr>
        <w:t>. 2001;139(2):204-209. doi:10.1067/mpd.2001.116284</w:t>
      </w:r>
    </w:p>
    <w:p w14:paraId="3C9CD354" w14:textId="77777777" w:rsidR="00DC2DB2" w:rsidRPr="00884637" w:rsidRDefault="00DC2DB2" w:rsidP="00DC2DB2">
      <w:pPr>
        <w:widowControl w:val="0"/>
        <w:autoSpaceDE w:val="0"/>
        <w:autoSpaceDN w:val="0"/>
        <w:adjustRightInd w:val="0"/>
        <w:rPr>
          <w:noProof/>
        </w:rPr>
      </w:pPr>
      <w:r w:rsidRPr="00884637">
        <w:rPr>
          <w:noProof/>
        </w:rPr>
        <w:t xml:space="preserve">13. </w:t>
      </w:r>
      <w:r w:rsidRPr="00884637">
        <w:rPr>
          <w:noProof/>
        </w:rPr>
        <w:tab/>
        <w:t xml:space="preserve">Miraglia Del Giudice E, Cirillo G, Nigro V, et al. Low frequency of melanocortin-4 receptor (MC4R) mutations in a Mediterranean  population with early-onset obesity. </w:t>
      </w:r>
      <w:r w:rsidRPr="00884637">
        <w:rPr>
          <w:i/>
          <w:iCs/>
          <w:noProof/>
        </w:rPr>
        <w:t>Int J Obes Relat Metab Disord  J  Int Assoc Study Obes</w:t>
      </w:r>
      <w:r w:rsidRPr="00884637">
        <w:rPr>
          <w:noProof/>
        </w:rPr>
        <w:t>. 2002;26(5):647-651. doi:10.1038/sj.ijo.0801983</w:t>
      </w:r>
    </w:p>
    <w:p w14:paraId="6764206B" w14:textId="77777777" w:rsidR="00DC2DB2" w:rsidRPr="00884637" w:rsidRDefault="00DC2DB2" w:rsidP="00DC2DB2">
      <w:pPr>
        <w:widowControl w:val="0"/>
        <w:autoSpaceDE w:val="0"/>
        <w:autoSpaceDN w:val="0"/>
        <w:adjustRightInd w:val="0"/>
        <w:rPr>
          <w:noProof/>
        </w:rPr>
      </w:pPr>
      <w:r w:rsidRPr="00884637">
        <w:rPr>
          <w:noProof/>
        </w:rPr>
        <w:t xml:space="preserve">14. </w:t>
      </w:r>
      <w:r w:rsidRPr="00884637">
        <w:rPr>
          <w:noProof/>
        </w:rPr>
        <w:tab/>
        <w:t xml:space="preserve">Lubrano-Berthelier C, Durand E, Dubern B, et al. Intracellular retention is a common characteristic of childhood obesity-associated  MC4R mutations. </w:t>
      </w:r>
      <w:r w:rsidRPr="00884637">
        <w:rPr>
          <w:i/>
          <w:iCs/>
          <w:noProof/>
        </w:rPr>
        <w:t>Hum Mol Genet</w:t>
      </w:r>
      <w:r w:rsidRPr="00884637">
        <w:rPr>
          <w:noProof/>
        </w:rPr>
        <w:t>. 2003;12(2):145-153. doi:10.1093/hmg/ddg016</w:t>
      </w:r>
    </w:p>
    <w:p w14:paraId="073CA016" w14:textId="77777777" w:rsidR="00DC2DB2" w:rsidRPr="00884637" w:rsidRDefault="00DC2DB2" w:rsidP="00DC2DB2">
      <w:pPr>
        <w:widowControl w:val="0"/>
        <w:autoSpaceDE w:val="0"/>
        <w:autoSpaceDN w:val="0"/>
        <w:adjustRightInd w:val="0"/>
        <w:rPr>
          <w:noProof/>
        </w:rPr>
      </w:pPr>
      <w:r w:rsidRPr="00884637">
        <w:rPr>
          <w:noProof/>
        </w:rPr>
        <w:t xml:space="preserve">15. </w:t>
      </w:r>
      <w:r w:rsidRPr="00884637">
        <w:rPr>
          <w:noProof/>
        </w:rPr>
        <w:tab/>
        <w:t xml:space="preserve">Marti A, Corbalán MS, Forga L, Martinez JA, Hinney A, Hebebrand J. A novel </w:t>
      </w:r>
      <w:r w:rsidRPr="00884637">
        <w:rPr>
          <w:noProof/>
        </w:rPr>
        <w:lastRenderedPageBreak/>
        <w:t xml:space="preserve">nonsense mutation in the melanocortin-4 receptor associated with obesity in  a Spanish population. </w:t>
      </w:r>
      <w:r w:rsidRPr="00884637">
        <w:rPr>
          <w:i/>
          <w:iCs/>
          <w:noProof/>
        </w:rPr>
        <w:t>Int J Obes Relat Metab Disord  J  Int Assoc Study Obes</w:t>
      </w:r>
      <w:r w:rsidRPr="00884637">
        <w:rPr>
          <w:noProof/>
        </w:rPr>
        <w:t>. 2003;27(3):385-388. doi:10.1038/sj.ijo.0802244</w:t>
      </w:r>
    </w:p>
    <w:p w14:paraId="3BD61F18" w14:textId="77777777" w:rsidR="00DC2DB2" w:rsidRPr="00884637" w:rsidRDefault="00DC2DB2" w:rsidP="00DC2DB2">
      <w:pPr>
        <w:widowControl w:val="0"/>
        <w:autoSpaceDE w:val="0"/>
        <w:autoSpaceDN w:val="0"/>
        <w:adjustRightInd w:val="0"/>
        <w:rPr>
          <w:noProof/>
        </w:rPr>
      </w:pPr>
      <w:r w:rsidRPr="00884637">
        <w:rPr>
          <w:noProof/>
        </w:rPr>
        <w:t xml:space="preserve">16. </w:t>
      </w:r>
      <w:r w:rsidRPr="00884637">
        <w:rPr>
          <w:noProof/>
        </w:rPr>
        <w:tab/>
        <w:t xml:space="preserve">Farooqi IS, Keogh JM, Yeo GSH, Lank EJ, Cheetham T, O’Rahilly S. Clinical spectrum of obesity and mutations in the melanocortin 4 receptor gene. </w:t>
      </w:r>
      <w:r w:rsidRPr="00884637">
        <w:rPr>
          <w:i/>
          <w:iCs/>
          <w:noProof/>
        </w:rPr>
        <w:t>N Engl J Med</w:t>
      </w:r>
      <w:r w:rsidRPr="00884637">
        <w:rPr>
          <w:noProof/>
        </w:rPr>
        <w:t>. 2003;348(12):1085-1095. doi:10.1056/NEJMoa022050</w:t>
      </w:r>
    </w:p>
    <w:p w14:paraId="2073B0EA" w14:textId="77777777" w:rsidR="00DC2DB2" w:rsidRPr="00884637" w:rsidRDefault="00DC2DB2" w:rsidP="00DC2DB2">
      <w:pPr>
        <w:widowControl w:val="0"/>
        <w:autoSpaceDE w:val="0"/>
        <w:autoSpaceDN w:val="0"/>
        <w:adjustRightInd w:val="0"/>
        <w:rPr>
          <w:noProof/>
        </w:rPr>
      </w:pPr>
      <w:r w:rsidRPr="00884637">
        <w:rPr>
          <w:noProof/>
        </w:rPr>
        <w:t xml:space="preserve">17. </w:t>
      </w:r>
      <w:r w:rsidRPr="00884637">
        <w:rPr>
          <w:noProof/>
        </w:rPr>
        <w:tab/>
        <w:t xml:space="preserve">Valli-Jaakola K, Lipsanen-Nyman M, Oksanen L, et al. Identification and characterization of melanocortin-4 receptor gene mutations in  morbidly obese finnish children and adults. </w:t>
      </w:r>
      <w:r w:rsidRPr="00884637">
        <w:rPr>
          <w:i/>
          <w:iCs/>
          <w:noProof/>
        </w:rPr>
        <w:t>J Clin Endocrinol Metab</w:t>
      </w:r>
      <w:r w:rsidRPr="00884637">
        <w:rPr>
          <w:noProof/>
        </w:rPr>
        <w:t>. 2004;89(2):940-945. doi:10.1210/jc.2003-031182</w:t>
      </w:r>
    </w:p>
    <w:p w14:paraId="1156C8A4" w14:textId="77777777" w:rsidR="00DC2DB2" w:rsidRPr="00884637" w:rsidRDefault="00DC2DB2" w:rsidP="00DC2DB2">
      <w:pPr>
        <w:widowControl w:val="0"/>
        <w:autoSpaceDE w:val="0"/>
        <w:autoSpaceDN w:val="0"/>
        <w:adjustRightInd w:val="0"/>
        <w:rPr>
          <w:noProof/>
        </w:rPr>
      </w:pPr>
      <w:r w:rsidRPr="00884637">
        <w:rPr>
          <w:noProof/>
        </w:rPr>
        <w:t xml:space="preserve">18. </w:t>
      </w:r>
      <w:r w:rsidRPr="00884637">
        <w:rPr>
          <w:noProof/>
        </w:rPr>
        <w:tab/>
        <w:t xml:space="preserve">Ochoa MC, Azcona C, Biebermann H, et al. A novel mutation Thr162Arg of the melanocortin 4 receptor gene in a Spanish children  and adolescent population. </w:t>
      </w:r>
      <w:r w:rsidRPr="00884637">
        <w:rPr>
          <w:i/>
          <w:iCs/>
          <w:noProof/>
        </w:rPr>
        <w:t>Clin Endocrinol (Oxf)</w:t>
      </w:r>
      <w:r w:rsidRPr="00884637">
        <w:rPr>
          <w:noProof/>
        </w:rPr>
        <w:t>. 2007;66(5):652-658. doi:10.1111/j.1365-2265.2007.02788.x</w:t>
      </w:r>
    </w:p>
    <w:p w14:paraId="495C07EE" w14:textId="77777777" w:rsidR="00DC2DB2" w:rsidRPr="00884637" w:rsidRDefault="00DC2DB2" w:rsidP="00DC2DB2">
      <w:pPr>
        <w:widowControl w:val="0"/>
        <w:autoSpaceDE w:val="0"/>
        <w:autoSpaceDN w:val="0"/>
        <w:adjustRightInd w:val="0"/>
        <w:rPr>
          <w:noProof/>
        </w:rPr>
      </w:pPr>
      <w:r w:rsidRPr="00884637">
        <w:rPr>
          <w:noProof/>
        </w:rPr>
        <w:t xml:space="preserve">19. </w:t>
      </w:r>
      <w:r w:rsidRPr="00884637">
        <w:rPr>
          <w:noProof/>
        </w:rPr>
        <w:tab/>
        <w:t xml:space="preserve">Hainerová I, Larsen LH, Holst B, et al. Melanocortin 4 receptor mutations in obese Czech children: studies of prevalence,  phenotype development, weight reduction response, and functional analysis. </w:t>
      </w:r>
      <w:r w:rsidRPr="00884637">
        <w:rPr>
          <w:i/>
          <w:iCs/>
          <w:noProof/>
        </w:rPr>
        <w:t>J Clin Endocrinol Metab</w:t>
      </w:r>
      <w:r w:rsidRPr="00884637">
        <w:rPr>
          <w:noProof/>
        </w:rPr>
        <w:t>. 2007;92(9):3689-3696. doi:10.1210/jc.2007-0352</w:t>
      </w:r>
    </w:p>
    <w:p w14:paraId="6AA912D2" w14:textId="77777777" w:rsidR="00DC2DB2" w:rsidRPr="00884637" w:rsidRDefault="00DC2DB2" w:rsidP="00DC2DB2">
      <w:pPr>
        <w:widowControl w:val="0"/>
        <w:autoSpaceDE w:val="0"/>
        <w:autoSpaceDN w:val="0"/>
        <w:adjustRightInd w:val="0"/>
        <w:rPr>
          <w:noProof/>
        </w:rPr>
      </w:pPr>
      <w:r w:rsidRPr="00884637">
        <w:rPr>
          <w:noProof/>
        </w:rPr>
        <w:t xml:space="preserve">20. </w:t>
      </w:r>
      <w:r w:rsidRPr="00884637">
        <w:rPr>
          <w:noProof/>
        </w:rPr>
        <w:tab/>
        <w:t xml:space="preserve">Stutzmann F, Tan K, Vatin V, et al. Prevalence of melanocortin-4 receptor deficiency in Europeans and their  age-dependent penetrance in multigenerational pedigrees. </w:t>
      </w:r>
      <w:r w:rsidRPr="00884637">
        <w:rPr>
          <w:i/>
          <w:iCs/>
          <w:noProof/>
        </w:rPr>
        <w:t>Diabetes</w:t>
      </w:r>
      <w:r w:rsidRPr="00884637">
        <w:rPr>
          <w:noProof/>
        </w:rPr>
        <w:t>. 2008;57(9):2511-2518. doi:10.2337/db08-0153</w:t>
      </w:r>
    </w:p>
    <w:p w14:paraId="7343E890" w14:textId="77777777" w:rsidR="00DC2DB2" w:rsidRPr="00884637" w:rsidRDefault="00DC2DB2" w:rsidP="00DC2DB2">
      <w:pPr>
        <w:widowControl w:val="0"/>
        <w:autoSpaceDE w:val="0"/>
        <w:autoSpaceDN w:val="0"/>
        <w:adjustRightInd w:val="0"/>
        <w:rPr>
          <w:noProof/>
        </w:rPr>
      </w:pPr>
      <w:r w:rsidRPr="00884637">
        <w:rPr>
          <w:noProof/>
        </w:rPr>
        <w:t xml:space="preserve">21. </w:t>
      </w:r>
      <w:r w:rsidRPr="00884637">
        <w:rPr>
          <w:noProof/>
        </w:rPr>
        <w:tab/>
        <w:t xml:space="preserve">Santoro N, Cirillo G, Xiang Z, et al. Prevalence of pathogenetic MC4R mutations in Italian children with early onset  obesity, tall stature and familial history of obesity. </w:t>
      </w:r>
      <w:r w:rsidRPr="00884637">
        <w:rPr>
          <w:i/>
          <w:iCs/>
          <w:noProof/>
        </w:rPr>
        <w:t>BMC Med Genet</w:t>
      </w:r>
      <w:r w:rsidRPr="00884637">
        <w:rPr>
          <w:noProof/>
        </w:rPr>
        <w:t>. 2009;10:25. doi:10.1186/1471-2350-10-25</w:t>
      </w:r>
    </w:p>
    <w:p w14:paraId="0F3DDA32" w14:textId="77777777" w:rsidR="00DC2DB2" w:rsidRPr="00884637" w:rsidRDefault="00DC2DB2" w:rsidP="00DC2DB2">
      <w:pPr>
        <w:widowControl w:val="0"/>
        <w:autoSpaceDE w:val="0"/>
        <w:autoSpaceDN w:val="0"/>
        <w:adjustRightInd w:val="0"/>
        <w:rPr>
          <w:noProof/>
        </w:rPr>
      </w:pPr>
      <w:r w:rsidRPr="00884637">
        <w:rPr>
          <w:noProof/>
        </w:rPr>
        <w:t xml:space="preserve">22. </w:t>
      </w:r>
      <w:r w:rsidRPr="00884637">
        <w:rPr>
          <w:noProof/>
        </w:rPr>
        <w:tab/>
        <w:t xml:space="preserve">Albuquerque D, Estévez MN, Víbora PB, et al. Novel variants in the MC4R and LEPR genes among severely obese children from the  Iberian population. </w:t>
      </w:r>
      <w:r w:rsidRPr="00884637">
        <w:rPr>
          <w:i/>
          <w:iCs/>
          <w:noProof/>
        </w:rPr>
        <w:t>Ann Hum Genet</w:t>
      </w:r>
      <w:r w:rsidRPr="00884637">
        <w:rPr>
          <w:noProof/>
        </w:rPr>
        <w:t>. 2014;78(3):195-207. doi:10.1111/ahg.12058</w:t>
      </w:r>
    </w:p>
    <w:p w14:paraId="52E869A2" w14:textId="77777777" w:rsidR="00DC2DB2" w:rsidRPr="00884637" w:rsidRDefault="00DC2DB2" w:rsidP="00DC2DB2">
      <w:pPr>
        <w:widowControl w:val="0"/>
        <w:autoSpaceDE w:val="0"/>
        <w:autoSpaceDN w:val="0"/>
        <w:adjustRightInd w:val="0"/>
        <w:rPr>
          <w:noProof/>
        </w:rPr>
      </w:pPr>
      <w:r w:rsidRPr="00884637">
        <w:rPr>
          <w:noProof/>
        </w:rPr>
        <w:t xml:space="preserve">23. </w:t>
      </w:r>
      <w:r w:rsidRPr="00884637">
        <w:rPr>
          <w:noProof/>
        </w:rPr>
        <w:tab/>
        <w:t xml:space="preserve">Stanikova D, Surova M, Ticha L, et al. Melanocortin-4 receptor gene mutations in obese Slovak children. </w:t>
      </w:r>
      <w:r w:rsidRPr="00884637">
        <w:rPr>
          <w:i/>
          <w:iCs/>
          <w:noProof/>
        </w:rPr>
        <w:t>Physiol Res</w:t>
      </w:r>
      <w:r w:rsidRPr="00884637">
        <w:rPr>
          <w:noProof/>
        </w:rPr>
        <w:t>. 2015;64(6):883-890. doi:10.33549/physiolres.932968</w:t>
      </w:r>
    </w:p>
    <w:p w14:paraId="392951E8" w14:textId="77777777" w:rsidR="00DC2DB2" w:rsidRPr="00884637" w:rsidRDefault="00DC2DB2" w:rsidP="00DC2DB2">
      <w:pPr>
        <w:widowControl w:val="0"/>
        <w:autoSpaceDE w:val="0"/>
        <w:autoSpaceDN w:val="0"/>
        <w:adjustRightInd w:val="0"/>
        <w:rPr>
          <w:noProof/>
        </w:rPr>
      </w:pPr>
      <w:r w:rsidRPr="00884637">
        <w:rPr>
          <w:noProof/>
        </w:rPr>
        <w:t xml:space="preserve">24. </w:t>
      </w:r>
      <w:r w:rsidRPr="00884637">
        <w:rPr>
          <w:noProof/>
        </w:rPr>
        <w:tab/>
        <w:t xml:space="preserve">Granell S, Serra-Juhé C, Martos-Moreno GÁ, et al. A novel melanocortin-4 receptor mutation MC4R-P272L associated with severe obesity  has increased propensity to be ubiquitinated in the ER in the face of correct folding. </w:t>
      </w:r>
      <w:r w:rsidRPr="00884637">
        <w:rPr>
          <w:i/>
          <w:iCs/>
          <w:noProof/>
        </w:rPr>
        <w:t>PLoS One</w:t>
      </w:r>
      <w:r w:rsidRPr="00884637">
        <w:rPr>
          <w:noProof/>
        </w:rPr>
        <w:t>. 2012;7(12):e50894. doi:10.1371/journal.pone.0050894</w:t>
      </w:r>
    </w:p>
    <w:p w14:paraId="0137F3E6" w14:textId="77777777" w:rsidR="00DC2DB2" w:rsidRPr="00884637" w:rsidRDefault="00DC2DB2" w:rsidP="00DC2DB2">
      <w:pPr>
        <w:widowControl w:val="0"/>
        <w:autoSpaceDE w:val="0"/>
        <w:autoSpaceDN w:val="0"/>
        <w:adjustRightInd w:val="0"/>
        <w:rPr>
          <w:noProof/>
        </w:rPr>
      </w:pPr>
      <w:r w:rsidRPr="00884637">
        <w:rPr>
          <w:noProof/>
        </w:rPr>
        <w:t xml:space="preserve">25. </w:t>
      </w:r>
      <w:r w:rsidRPr="00884637">
        <w:rPr>
          <w:noProof/>
        </w:rPr>
        <w:tab/>
        <w:t xml:space="preserve">Vollbach H, Brandt S, Lahr G, et al. Prevalence and phenotypic characterization of MC4R variants in a large pediatric  cohort. </w:t>
      </w:r>
      <w:r w:rsidRPr="00884637">
        <w:rPr>
          <w:i/>
          <w:iCs/>
          <w:noProof/>
        </w:rPr>
        <w:t>Int J Obes (Lond)</w:t>
      </w:r>
      <w:r w:rsidRPr="00884637">
        <w:rPr>
          <w:noProof/>
        </w:rPr>
        <w:t>. 2017;41(1):13-22. doi:10.1038/ijo.2016.161</w:t>
      </w:r>
    </w:p>
    <w:p w14:paraId="5A945E06" w14:textId="77777777" w:rsidR="00DC2DB2" w:rsidRPr="00884637" w:rsidRDefault="00DC2DB2" w:rsidP="00DC2DB2">
      <w:pPr>
        <w:widowControl w:val="0"/>
        <w:autoSpaceDE w:val="0"/>
        <w:autoSpaceDN w:val="0"/>
        <w:adjustRightInd w:val="0"/>
        <w:rPr>
          <w:noProof/>
        </w:rPr>
      </w:pPr>
      <w:r w:rsidRPr="00884637">
        <w:rPr>
          <w:noProof/>
        </w:rPr>
        <w:t xml:space="preserve">26. </w:t>
      </w:r>
      <w:r w:rsidRPr="00884637">
        <w:rPr>
          <w:noProof/>
        </w:rPr>
        <w:tab/>
        <w:t xml:space="preserve">Gimeno-Ferrer F, Albuquerque D, García Banacloy A, et al. Genetic screening for MC4R gene identifies three novel mutations associated with  severe familiar obesity in a cohort of Spanish individuals. </w:t>
      </w:r>
      <w:r w:rsidRPr="00884637">
        <w:rPr>
          <w:i/>
          <w:iCs/>
          <w:noProof/>
        </w:rPr>
        <w:t>Gene</w:t>
      </w:r>
      <w:r w:rsidRPr="00884637">
        <w:rPr>
          <w:noProof/>
        </w:rPr>
        <w:t>. 2019;704:74-79. doi:10.1016/j.gene.2019.04.018</w:t>
      </w:r>
    </w:p>
    <w:p w14:paraId="08E7F11D" w14:textId="77777777" w:rsidR="00DC2DB2" w:rsidRPr="00884637" w:rsidRDefault="00DC2DB2" w:rsidP="00DC2DB2">
      <w:pPr>
        <w:widowControl w:val="0"/>
        <w:autoSpaceDE w:val="0"/>
        <w:autoSpaceDN w:val="0"/>
        <w:adjustRightInd w:val="0"/>
        <w:rPr>
          <w:noProof/>
        </w:rPr>
      </w:pPr>
      <w:r w:rsidRPr="00884637">
        <w:rPr>
          <w:noProof/>
        </w:rPr>
        <w:t xml:space="preserve">27. </w:t>
      </w:r>
      <w:r w:rsidRPr="00884637">
        <w:rPr>
          <w:noProof/>
        </w:rPr>
        <w:tab/>
        <w:t xml:space="preserve">Doche ME, Carter-su C, Farooqi IS, et al. Human SH2B1 mutations are associated with maladaptive behaviors and obesity. </w:t>
      </w:r>
      <w:r w:rsidRPr="00884637">
        <w:rPr>
          <w:i/>
          <w:iCs/>
          <w:noProof/>
        </w:rPr>
        <w:t>J Clin Invest</w:t>
      </w:r>
      <w:r w:rsidRPr="00884637">
        <w:rPr>
          <w:noProof/>
        </w:rPr>
        <w:t>. 2012;122(12):4732-4736. doi:10.1172/JCI62696.4732</w:t>
      </w:r>
    </w:p>
    <w:p w14:paraId="451997D0" w14:textId="77777777" w:rsidR="00DC2DB2" w:rsidRPr="00884637" w:rsidRDefault="00DC2DB2" w:rsidP="00DC2DB2">
      <w:pPr>
        <w:widowControl w:val="0"/>
        <w:autoSpaceDE w:val="0"/>
        <w:autoSpaceDN w:val="0"/>
        <w:adjustRightInd w:val="0"/>
        <w:rPr>
          <w:noProof/>
        </w:rPr>
      </w:pPr>
      <w:r w:rsidRPr="00884637">
        <w:rPr>
          <w:noProof/>
        </w:rPr>
        <w:t xml:space="preserve">28. </w:t>
      </w:r>
      <w:r w:rsidRPr="00884637">
        <w:rPr>
          <w:noProof/>
        </w:rPr>
        <w:tab/>
        <w:t xml:space="preserve">Miraglia del Giudice E, Cirillo G, Santoro N, et al. Molecular screening of the proopiomelanocortin (POMC ) gene in Italian obese  children: report of three new mutations. </w:t>
      </w:r>
      <w:r w:rsidRPr="00884637">
        <w:rPr>
          <w:i/>
          <w:iCs/>
          <w:noProof/>
        </w:rPr>
        <w:t>Int J Obes Relat Metab Disord  J  Int Assoc Study Obes</w:t>
      </w:r>
      <w:r w:rsidRPr="00884637">
        <w:rPr>
          <w:noProof/>
        </w:rPr>
        <w:t>. 2001;25(1):61-67. doi:10.1038/sj.ijo.0801485</w:t>
      </w:r>
    </w:p>
    <w:p w14:paraId="01E1DBD6" w14:textId="77777777" w:rsidR="00DC2DB2" w:rsidRPr="00884637" w:rsidRDefault="00DC2DB2" w:rsidP="00DC2DB2">
      <w:pPr>
        <w:widowControl w:val="0"/>
        <w:autoSpaceDE w:val="0"/>
        <w:autoSpaceDN w:val="0"/>
        <w:adjustRightInd w:val="0"/>
        <w:rPr>
          <w:noProof/>
        </w:rPr>
      </w:pPr>
      <w:r w:rsidRPr="00884637">
        <w:rPr>
          <w:noProof/>
        </w:rPr>
        <w:t xml:space="preserve">29. </w:t>
      </w:r>
      <w:r w:rsidRPr="00884637">
        <w:rPr>
          <w:noProof/>
        </w:rPr>
        <w:tab/>
        <w:t xml:space="preserve">Challis BG, Pritchard LE, Creemers JWM, et al. A missense mutation disrupting a dibasic prohormone processing site in  pro-opiomelanocortin (POMC) increases </w:t>
      </w:r>
      <w:r w:rsidRPr="00884637">
        <w:rPr>
          <w:noProof/>
        </w:rPr>
        <w:lastRenderedPageBreak/>
        <w:t xml:space="preserve">susceptibility to early-onset obesity through a novel molecular mechanism. </w:t>
      </w:r>
      <w:r w:rsidRPr="00884637">
        <w:rPr>
          <w:i/>
          <w:iCs/>
          <w:noProof/>
        </w:rPr>
        <w:t>Hum Mol Genet</w:t>
      </w:r>
      <w:r w:rsidRPr="00884637">
        <w:rPr>
          <w:noProof/>
        </w:rPr>
        <w:t>. 2002;11(17):1997-2004. doi:10.1093/hmg/11.17.1997</w:t>
      </w:r>
    </w:p>
    <w:p w14:paraId="50BB48FA" w14:textId="77777777" w:rsidR="00DC2DB2" w:rsidRPr="00884637" w:rsidRDefault="00DC2DB2" w:rsidP="00DC2DB2">
      <w:pPr>
        <w:widowControl w:val="0"/>
        <w:autoSpaceDE w:val="0"/>
        <w:autoSpaceDN w:val="0"/>
        <w:adjustRightInd w:val="0"/>
        <w:rPr>
          <w:noProof/>
        </w:rPr>
      </w:pPr>
      <w:r w:rsidRPr="00884637">
        <w:rPr>
          <w:noProof/>
        </w:rPr>
        <w:t xml:space="preserve">30. </w:t>
      </w:r>
      <w:r w:rsidRPr="00884637">
        <w:rPr>
          <w:noProof/>
        </w:rPr>
        <w:tab/>
        <w:t xml:space="preserve">Lee YS, Challis BG, Thompson DA, et al. A POMC variant implicates beta-melanocyte-stimulating hormone in the control of  human energy balance. </w:t>
      </w:r>
      <w:r w:rsidRPr="00884637">
        <w:rPr>
          <w:i/>
          <w:iCs/>
          <w:noProof/>
        </w:rPr>
        <w:t>Cell Metab</w:t>
      </w:r>
      <w:r w:rsidRPr="00884637">
        <w:rPr>
          <w:noProof/>
        </w:rPr>
        <w:t>. 2006;3(2):135-140. doi:10.1016/j.cmet.2006.01.006</w:t>
      </w:r>
    </w:p>
    <w:p w14:paraId="3BEB8D6B" w14:textId="77777777" w:rsidR="00DC2DB2" w:rsidRPr="00884637" w:rsidRDefault="00DC2DB2" w:rsidP="00DC2DB2">
      <w:pPr>
        <w:widowControl w:val="0"/>
        <w:autoSpaceDE w:val="0"/>
        <w:autoSpaceDN w:val="0"/>
        <w:adjustRightInd w:val="0"/>
        <w:rPr>
          <w:noProof/>
        </w:rPr>
      </w:pPr>
      <w:r w:rsidRPr="00884637">
        <w:rPr>
          <w:noProof/>
        </w:rPr>
        <w:t xml:space="preserve">31. </w:t>
      </w:r>
      <w:r w:rsidRPr="00884637">
        <w:rPr>
          <w:noProof/>
        </w:rPr>
        <w:tab/>
        <w:t xml:space="preserve">Biebermann H, Castañeda TR, van Landeghem F, et al. A role for beta-melanocyte-stimulating hormone in human body-weight regulation. </w:t>
      </w:r>
      <w:r w:rsidRPr="00884637">
        <w:rPr>
          <w:i/>
          <w:iCs/>
          <w:noProof/>
        </w:rPr>
        <w:t>Cell Metab</w:t>
      </w:r>
      <w:r w:rsidRPr="00884637">
        <w:rPr>
          <w:noProof/>
        </w:rPr>
        <w:t>. 2006;3(2):141-146. doi:10.1016/j.cmet.2006.01.007</w:t>
      </w:r>
    </w:p>
    <w:p w14:paraId="569D103F" w14:textId="77777777" w:rsidR="00DC2DB2" w:rsidRPr="00884637" w:rsidRDefault="00DC2DB2" w:rsidP="00DC2DB2">
      <w:pPr>
        <w:widowControl w:val="0"/>
        <w:autoSpaceDE w:val="0"/>
        <w:autoSpaceDN w:val="0"/>
        <w:adjustRightInd w:val="0"/>
        <w:rPr>
          <w:noProof/>
        </w:rPr>
      </w:pPr>
      <w:r w:rsidRPr="00884637">
        <w:rPr>
          <w:noProof/>
        </w:rPr>
        <w:t xml:space="preserve">32. </w:t>
      </w:r>
      <w:r w:rsidRPr="00884637">
        <w:rPr>
          <w:noProof/>
        </w:rPr>
        <w:tab/>
        <w:t xml:space="preserve">Dubern B, Lubrano-Berthelier C, Mencarelli M, et al. Mutational analysis of the pro-opiomelanocortin gene in French obese children led to  the identification of a novel deleterious heterozygous mutation located in the alpha-melanocyte stimulating hormone domain. </w:t>
      </w:r>
      <w:r w:rsidRPr="00884637">
        <w:rPr>
          <w:i/>
          <w:iCs/>
          <w:noProof/>
        </w:rPr>
        <w:t>Pediatr Res</w:t>
      </w:r>
      <w:r w:rsidRPr="00884637">
        <w:rPr>
          <w:noProof/>
        </w:rPr>
        <w:t>. 2008;63(2):211-216. doi:10.1203/PDR.0b013e31815ed62b</w:t>
      </w:r>
    </w:p>
    <w:p w14:paraId="62851A93" w14:textId="77777777" w:rsidR="00DC2DB2" w:rsidRPr="00884637" w:rsidRDefault="00DC2DB2" w:rsidP="00DC2DB2">
      <w:pPr>
        <w:widowControl w:val="0"/>
        <w:autoSpaceDE w:val="0"/>
        <w:autoSpaceDN w:val="0"/>
        <w:adjustRightInd w:val="0"/>
        <w:rPr>
          <w:noProof/>
        </w:rPr>
      </w:pPr>
      <w:r w:rsidRPr="00884637">
        <w:rPr>
          <w:noProof/>
        </w:rPr>
        <w:t xml:space="preserve">33. </w:t>
      </w:r>
      <w:r w:rsidRPr="00884637">
        <w:rPr>
          <w:noProof/>
        </w:rPr>
        <w:tab/>
        <w:t xml:space="preserve">Creemers JWM, Lee YS, Oliver RL, et al. Mutations in the amino-terminal region of proopiomelanocortin (POMC) in patients  with early-onset obesity impair POMC sorting to the regulated secretory pathway. </w:t>
      </w:r>
      <w:r w:rsidRPr="00884637">
        <w:rPr>
          <w:i/>
          <w:iCs/>
          <w:noProof/>
        </w:rPr>
        <w:t>J Clin Endocrinol Metab</w:t>
      </w:r>
      <w:r w:rsidRPr="00884637">
        <w:rPr>
          <w:noProof/>
        </w:rPr>
        <w:t>. 2008;93(11):4494-4499. doi:10.1210/jc.2008-0954</w:t>
      </w:r>
    </w:p>
    <w:p w14:paraId="27596381" w14:textId="77777777" w:rsidR="00DC2DB2" w:rsidRPr="00884637" w:rsidRDefault="00DC2DB2" w:rsidP="00DC2DB2">
      <w:pPr>
        <w:widowControl w:val="0"/>
        <w:autoSpaceDE w:val="0"/>
        <w:autoSpaceDN w:val="0"/>
        <w:adjustRightInd w:val="0"/>
        <w:rPr>
          <w:noProof/>
        </w:rPr>
      </w:pPr>
      <w:r w:rsidRPr="00884637">
        <w:rPr>
          <w:noProof/>
        </w:rPr>
        <w:t xml:space="preserve">34. </w:t>
      </w:r>
      <w:r w:rsidRPr="00884637">
        <w:rPr>
          <w:noProof/>
        </w:rPr>
        <w:tab/>
        <w:t xml:space="preserve">Gray J, Yeo G, Hung C, et al. Functional characterization of human NTRK2 mutations identified in patients with  severe early-onset obesity. </w:t>
      </w:r>
      <w:r w:rsidRPr="00884637">
        <w:rPr>
          <w:i/>
          <w:iCs/>
          <w:noProof/>
        </w:rPr>
        <w:t>Int J Obes (Lond)</w:t>
      </w:r>
      <w:r w:rsidRPr="00884637">
        <w:rPr>
          <w:noProof/>
        </w:rPr>
        <w:t>. 2007;31(2):359-364. doi:10.1038/sj.ijo.0803390</w:t>
      </w:r>
    </w:p>
    <w:p w14:paraId="2B4B0722" w14:textId="77777777" w:rsidR="00DC2DB2" w:rsidRPr="00884637" w:rsidRDefault="00DC2DB2" w:rsidP="00DC2DB2">
      <w:pPr>
        <w:widowControl w:val="0"/>
        <w:autoSpaceDE w:val="0"/>
        <w:autoSpaceDN w:val="0"/>
        <w:adjustRightInd w:val="0"/>
        <w:rPr>
          <w:noProof/>
        </w:rPr>
      </w:pPr>
      <w:r w:rsidRPr="00884637">
        <w:rPr>
          <w:noProof/>
        </w:rPr>
        <w:t xml:space="preserve">35. </w:t>
      </w:r>
      <w:r w:rsidRPr="00884637">
        <w:rPr>
          <w:noProof/>
        </w:rPr>
        <w:tab/>
        <w:t xml:space="preserve">Hung C-CC, Luan J, Sims M, et al. Studies of the SIM1 gene in relation to human obesity and obesity-related traits. </w:t>
      </w:r>
      <w:r w:rsidRPr="00884637">
        <w:rPr>
          <w:i/>
          <w:iCs/>
          <w:noProof/>
        </w:rPr>
        <w:t>Int J Obes (Lond)</w:t>
      </w:r>
      <w:r w:rsidRPr="00884637">
        <w:rPr>
          <w:noProof/>
        </w:rPr>
        <w:t>. 2007;31(3):429-434. doi:10.1038/sj.ijo.0803443</w:t>
      </w:r>
    </w:p>
    <w:p w14:paraId="785D70D3" w14:textId="77777777" w:rsidR="00DC2DB2" w:rsidRPr="00884637" w:rsidRDefault="00DC2DB2" w:rsidP="00DC2DB2">
      <w:pPr>
        <w:widowControl w:val="0"/>
        <w:autoSpaceDE w:val="0"/>
        <w:autoSpaceDN w:val="0"/>
        <w:adjustRightInd w:val="0"/>
        <w:rPr>
          <w:noProof/>
        </w:rPr>
      </w:pPr>
      <w:r w:rsidRPr="00884637">
        <w:rPr>
          <w:noProof/>
        </w:rPr>
        <w:t xml:space="preserve">36. </w:t>
      </w:r>
      <w:r w:rsidRPr="00884637">
        <w:rPr>
          <w:noProof/>
        </w:rPr>
        <w:tab/>
        <w:t xml:space="preserve">Bonnefond A, Raimondo A, Stutzmann F, et al. Loss-of-function mutations in SIM1 contribute to obesity and Prader-Willi – like features. </w:t>
      </w:r>
      <w:r w:rsidRPr="00884637">
        <w:rPr>
          <w:i/>
          <w:iCs/>
          <w:noProof/>
        </w:rPr>
        <w:t>J Clin Invest</w:t>
      </w:r>
      <w:r w:rsidRPr="00884637">
        <w:rPr>
          <w:noProof/>
        </w:rPr>
        <w:t>. 2013;123(7):3037-3041. doi:10.1172/JCI68035DS1</w:t>
      </w:r>
    </w:p>
    <w:p w14:paraId="33BE47D0" w14:textId="77777777" w:rsidR="00DC2DB2" w:rsidRPr="00884637" w:rsidRDefault="00DC2DB2" w:rsidP="00DC2DB2">
      <w:pPr>
        <w:widowControl w:val="0"/>
        <w:autoSpaceDE w:val="0"/>
        <w:autoSpaceDN w:val="0"/>
        <w:adjustRightInd w:val="0"/>
        <w:rPr>
          <w:noProof/>
        </w:rPr>
      </w:pPr>
      <w:r w:rsidRPr="00884637">
        <w:rPr>
          <w:noProof/>
        </w:rPr>
        <w:t xml:space="preserve">37. </w:t>
      </w:r>
      <w:r w:rsidRPr="00884637">
        <w:rPr>
          <w:noProof/>
        </w:rPr>
        <w:tab/>
        <w:t xml:space="preserve">Ramachandrappa S, Raimondo A, Cali AMG, et al. Rare variants in single-minded 1 (SIM1) are associated with severe obesity. </w:t>
      </w:r>
      <w:r w:rsidRPr="00884637">
        <w:rPr>
          <w:i/>
          <w:iCs/>
          <w:noProof/>
        </w:rPr>
        <w:t>J Clin Invest</w:t>
      </w:r>
      <w:r w:rsidRPr="00884637">
        <w:rPr>
          <w:noProof/>
        </w:rPr>
        <w:t>. 2013;123(7):1-9. doi:10.1172/JCI68016DS1</w:t>
      </w:r>
    </w:p>
    <w:p w14:paraId="25D5C577" w14:textId="77777777" w:rsidR="00DC2DB2" w:rsidRPr="00884637" w:rsidRDefault="00DC2DB2" w:rsidP="00DC2DB2">
      <w:pPr>
        <w:widowControl w:val="0"/>
        <w:autoSpaceDE w:val="0"/>
        <w:autoSpaceDN w:val="0"/>
        <w:adjustRightInd w:val="0"/>
        <w:rPr>
          <w:noProof/>
        </w:rPr>
      </w:pPr>
      <w:r w:rsidRPr="00884637">
        <w:rPr>
          <w:noProof/>
        </w:rPr>
        <w:t xml:space="preserve">38. </w:t>
      </w:r>
      <w:r w:rsidRPr="00884637">
        <w:rPr>
          <w:noProof/>
        </w:rPr>
        <w:tab/>
        <w:t xml:space="preserve">Schonnop L, Kleinau G, Herrfurth N, et al. Decreased melanocortin-4 receptor function conferred by an infrequent variant at the  human melanocortin receptor accessory protein 2 gene. </w:t>
      </w:r>
      <w:r w:rsidRPr="00884637">
        <w:rPr>
          <w:i/>
          <w:iCs/>
          <w:noProof/>
        </w:rPr>
        <w:t>Obesity (Silver Spring)</w:t>
      </w:r>
      <w:r w:rsidRPr="00884637">
        <w:rPr>
          <w:noProof/>
        </w:rPr>
        <w:t>. 2016;24(9):1976-1982. doi:10.1002/oby.21576</w:t>
      </w:r>
    </w:p>
    <w:p w14:paraId="150523F9" w14:textId="77777777" w:rsidR="00DC2DB2" w:rsidRPr="00B63AB4" w:rsidRDefault="00DC2DB2" w:rsidP="00DC2DB2">
      <w:pPr>
        <w:spacing w:line="360" w:lineRule="auto"/>
        <w:jc w:val="both"/>
        <w:rPr>
          <w:color w:val="000000" w:themeColor="text1"/>
          <w:lang w:val="en-US"/>
        </w:rPr>
      </w:pPr>
      <w:r w:rsidRPr="00884637">
        <w:rPr>
          <w:lang w:val="en-US"/>
        </w:rPr>
        <w:fldChar w:fldCharType="end"/>
      </w:r>
    </w:p>
    <w:p w14:paraId="708510AE" w14:textId="4B810731" w:rsidR="00020472" w:rsidRPr="00DC2DB2" w:rsidRDefault="00020472" w:rsidP="00DC2DB2"/>
    <w:sectPr w:rsidR="00020472" w:rsidRPr="00DC2DB2" w:rsidSect="00DC2DB2">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32989F" w14:textId="77777777" w:rsidR="00163803" w:rsidRDefault="00163803" w:rsidP="00AA2858">
      <w:r>
        <w:separator/>
      </w:r>
    </w:p>
  </w:endnote>
  <w:endnote w:type="continuationSeparator" w:id="0">
    <w:p w14:paraId="5BCFE94D" w14:textId="77777777" w:rsidR="00163803" w:rsidRDefault="00163803" w:rsidP="00AA28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40E680" w14:textId="77777777" w:rsidR="00163803" w:rsidRDefault="00163803" w:rsidP="00AA2858">
      <w:r>
        <w:separator/>
      </w:r>
    </w:p>
  </w:footnote>
  <w:footnote w:type="continuationSeparator" w:id="0">
    <w:p w14:paraId="1AE44786" w14:textId="77777777" w:rsidR="00163803" w:rsidRDefault="00163803" w:rsidP="00AA285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393091"/>
    <w:multiLevelType w:val="hybridMultilevel"/>
    <w:tmpl w:val="C986943E"/>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59FD1486"/>
    <w:multiLevelType w:val="multilevel"/>
    <w:tmpl w:val="32100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6D3530E"/>
    <w:multiLevelType w:val="multilevel"/>
    <w:tmpl w:val="0BB20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F8E3EAC"/>
    <w:multiLevelType w:val="multilevel"/>
    <w:tmpl w:val="414EA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88609092">
    <w:abstractNumId w:val="3"/>
  </w:num>
  <w:num w:numId="2" w16cid:durableId="2050252200">
    <w:abstractNumId w:val="1"/>
  </w:num>
  <w:num w:numId="3" w16cid:durableId="1099792088">
    <w:abstractNumId w:val="2"/>
  </w:num>
  <w:num w:numId="4" w16cid:durableId="14126582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4"/>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5ED1"/>
    <w:rsid w:val="000020FF"/>
    <w:rsid w:val="0000355F"/>
    <w:rsid w:val="000069D8"/>
    <w:rsid w:val="00007AD4"/>
    <w:rsid w:val="00012ABE"/>
    <w:rsid w:val="000156D3"/>
    <w:rsid w:val="000203C2"/>
    <w:rsid w:val="00020472"/>
    <w:rsid w:val="00020AF6"/>
    <w:rsid w:val="00025C02"/>
    <w:rsid w:val="0002689C"/>
    <w:rsid w:val="00027E89"/>
    <w:rsid w:val="00032348"/>
    <w:rsid w:val="00032BEB"/>
    <w:rsid w:val="000342C4"/>
    <w:rsid w:val="0003606C"/>
    <w:rsid w:val="00040669"/>
    <w:rsid w:val="000415DB"/>
    <w:rsid w:val="000416F7"/>
    <w:rsid w:val="00042921"/>
    <w:rsid w:val="00045454"/>
    <w:rsid w:val="00050241"/>
    <w:rsid w:val="00050EC9"/>
    <w:rsid w:val="00051978"/>
    <w:rsid w:val="00053639"/>
    <w:rsid w:val="00053708"/>
    <w:rsid w:val="000557EE"/>
    <w:rsid w:val="00055996"/>
    <w:rsid w:val="00055CE9"/>
    <w:rsid w:val="00056FDB"/>
    <w:rsid w:val="00063783"/>
    <w:rsid w:val="00071FAB"/>
    <w:rsid w:val="000759B9"/>
    <w:rsid w:val="00075F56"/>
    <w:rsid w:val="00077A99"/>
    <w:rsid w:val="00080882"/>
    <w:rsid w:val="00084A9D"/>
    <w:rsid w:val="00084F36"/>
    <w:rsid w:val="00085DC8"/>
    <w:rsid w:val="00087736"/>
    <w:rsid w:val="0009413B"/>
    <w:rsid w:val="00094932"/>
    <w:rsid w:val="00094EC5"/>
    <w:rsid w:val="0009560B"/>
    <w:rsid w:val="000961E2"/>
    <w:rsid w:val="0009722E"/>
    <w:rsid w:val="000977C9"/>
    <w:rsid w:val="00097AD3"/>
    <w:rsid w:val="000A24EE"/>
    <w:rsid w:val="000B200C"/>
    <w:rsid w:val="000B30A4"/>
    <w:rsid w:val="000B382E"/>
    <w:rsid w:val="000B4BAF"/>
    <w:rsid w:val="000B5EA0"/>
    <w:rsid w:val="000B6D4D"/>
    <w:rsid w:val="000C2363"/>
    <w:rsid w:val="000D7C7C"/>
    <w:rsid w:val="000D7EC1"/>
    <w:rsid w:val="000E5EB6"/>
    <w:rsid w:val="000E646C"/>
    <w:rsid w:val="000F72F0"/>
    <w:rsid w:val="0010037D"/>
    <w:rsid w:val="00100F57"/>
    <w:rsid w:val="0010705B"/>
    <w:rsid w:val="00120B6C"/>
    <w:rsid w:val="00121459"/>
    <w:rsid w:val="0012186E"/>
    <w:rsid w:val="00124783"/>
    <w:rsid w:val="001261AD"/>
    <w:rsid w:val="00126691"/>
    <w:rsid w:val="00136637"/>
    <w:rsid w:val="00137AC9"/>
    <w:rsid w:val="00141340"/>
    <w:rsid w:val="001443D5"/>
    <w:rsid w:val="00144C49"/>
    <w:rsid w:val="001455AC"/>
    <w:rsid w:val="0015098A"/>
    <w:rsid w:val="0015200D"/>
    <w:rsid w:val="00156140"/>
    <w:rsid w:val="00162F5F"/>
    <w:rsid w:val="00163803"/>
    <w:rsid w:val="00165ED1"/>
    <w:rsid w:val="00172EEF"/>
    <w:rsid w:val="001770F7"/>
    <w:rsid w:val="00177404"/>
    <w:rsid w:val="00192DEC"/>
    <w:rsid w:val="0019505B"/>
    <w:rsid w:val="00195255"/>
    <w:rsid w:val="00196C35"/>
    <w:rsid w:val="00197C3D"/>
    <w:rsid w:val="001A04AA"/>
    <w:rsid w:val="001A37A8"/>
    <w:rsid w:val="001A61C3"/>
    <w:rsid w:val="001B3400"/>
    <w:rsid w:val="001C25D1"/>
    <w:rsid w:val="001C3E40"/>
    <w:rsid w:val="001C53F2"/>
    <w:rsid w:val="001C55E1"/>
    <w:rsid w:val="001C573B"/>
    <w:rsid w:val="001C6553"/>
    <w:rsid w:val="001D544C"/>
    <w:rsid w:val="001D5601"/>
    <w:rsid w:val="001E1F9D"/>
    <w:rsid w:val="001E43B4"/>
    <w:rsid w:val="001E6BC9"/>
    <w:rsid w:val="001E7BE8"/>
    <w:rsid w:val="001F377B"/>
    <w:rsid w:val="001F3D19"/>
    <w:rsid w:val="001F7892"/>
    <w:rsid w:val="002026C9"/>
    <w:rsid w:val="00203C35"/>
    <w:rsid w:val="00207E2A"/>
    <w:rsid w:val="002141A5"/>
    <w:rsid w:val="0021754E"/>
    <w:rsid w:val="00217926"/>
    <w:rsid w:val="00221A7C"/>
    <w:rsid w:val="00224837"/>
    <w:rsid w:val="00236F30"/>
    <w:rsid w:val="00237AB2"/>
    <w:rsid w:val="002420F1"/>
    <w:rsid w:val="00242937"/>
    <w:rsid w:val="00253338"/>
    <w:rsid w:val="00256B2D"/>
    <w:rsid w:val="0026015E"/>
    <w:rsid w:val="00260C3B"/>
    <w:rsid w:val="00263769"/>
    <w:rsid w:val="00266218"/>
    <w:rsid w:val="002714EA"/>
    <w:rsid w:val="002744D5"/>
    <w:rsid w:val="00276258"/>
    <w:rsid w:val="00291430"/>
    <w:rsid w:val="00292AC0"/>
    <w:rsid w:val="00294256"/>
    <w:rsid w:val="0029762D"/>
    <w:rsid w:val="002A0943"/>
    <w:rsid w:val="002A4217"/>
    <w:rsid w:val="002A4387"/>
    <w:rsid w:val="002A49A4"/>
    <w:rsid w:val="002A694F"/>
    <w:rsid w:val="002A7655"/>
    <w:rsid w:val="002A76B6"/>
    <w:rsid w:val="002B348C"/>
    <w:rsid w:val="002B3A8C"/>
    <w:rsid w:val="002B6AB6"/>
    <w:rsid w:val="002B6E5F"/>
    <w:rsid w:val="002C1317"/>
    <w:rsid w:val="002C1D96"/>
    <w:rsid w:val="002C3CCC"/>
    <w:rsid w:val="002D350D"/>
    <w:rsid w:val="002D6799"/>
    <w:rsid w:val="002E1042"/>
    <w:rsid w:val="002F7767"/>
    <w:rsid w:val="003032F2"/>
    <w:rsid w:val="003061F9"/>
    <w:rsid w:val="003067E2"/>
    <w:rsid w:val="0031154B"/>
    <w:rsid w:val="003153BC"/>
    <w:rsid w:val="003226C7"/>
    <w:rsid w:val="00325EBD"/>
    <w:rsid w:val="0034043F"/>
    <w:rsid w:val="00342284"/>
    <w:rsid w:val="003441E9"/>
    <w:rsid w:val="0034513C"/>
    <w:rsid w:val="00345608"/>
    <w:rsid w:val="003479D3"/>
    <w:rsid w:val="00351E49"/>
    <w:rsid w:val="003551D6"/>
    <w:rsid w:val="00356E84"/>
    <w:rsid w:val="00360DAD"/>
    <w:rsid w:val="00363E7F"/>
    <w:rsid w:val="00370CF8"/>
    <w:rsid w:val="00373126"/>
    <w:rsid w:val="003732B3"/>
    <w:rsid w:val="00377684"/>
    <w:rsid w:val="00380307"/>
    <w:rsid w:val="003807A3"/>
    <w:rsid w:val="003839A0"/>
    <w:rsid w:val="00385936"/>
    <w:rsid w:val="00393D9D"/>
    <w:rsid w:val="003949A8"/>
    <w:rsid w:val="00396288"/>
    <w:rsid w:val="00397FEF"/>
    <w:rsid w:val="003A0E3C"/>
    <w:rsid w:val="003A2B50"/>
    <w:rsid w:val="003A379F"/>
    <w:rsid w:val="003A39AF"/>
    <w:rsid w:val="003A5A4A"/>
    <w:rsid w:val="003A6BDF"/>
    <w:rsid w:val="003B33BC"/>
    <w:rsid w:val="003B5A1C"/>
    <w:rsid w:val="003B631F"/>
    <w:rsid w:val="003C2902"/>
    <w:rsid w:val="003C2C87"/>
    <w:rsid w:val="003C6A62"/>
    <w:rsid w:val="003D4820"/>
    <w:rsid w:val="003D51A5"/>
    <w:rsid w:val="003D5F96"/>
    <w:rsid w:val="003E52EA"/>
    <w:rsid w:val="003E642F"/>
    <w:rsid w:val="003E7C5C"/>
    <w:rsid w:val="003F0983"/>
    <w:rsid w:val="003F0CB8"/>
    <w:rsid w:val="003F0DB7"/>
    <w:rsid w:val="003F219B"/>
    <w:rsid w:val="003F4533"/>
    <w:rsid w:val="003F485E"/>
    <w:rsid w:val="003F5929"/>
    <w:rsid w:val="003F5992"/>
    <w:rsid w:val="003F5B9D"/>
    <w:rsid w:val="00400411"/>
    <w:rsid w:val="00402558"/>
    <w:rsid w:val="00404A98"/>
    <w:rsid w:val="00406759"/>
    <w:rsid w:val="00410549"/>
    <w:rsid w:val="00410ECB"/>
    <w:rsid w:val="004117F8"/>
    <w:rsid w:val="004127D7"/>
    <w:rsid w:val="004145AA"/>
    <w:rsid w:val="00414EBA"/>
    <w:rsid w:val="00415809"/>
    <w:rsid w:val="004222B4"/>
    <w:rsid w:val="004240CD"/>
    <w:rsid w:val="00427D61"/>
    <w:rsid w:val="004335C6"/>
    <w:rsid w:val="00436D6C"/>
    <w:rsid w:val="004405DE"/>
    <w:rsid w:val="00441ADA"/>
    <w:rsid w:val="0044423C"/>
    <w:rsid w:val="004508F6"/>
    <w:rsid w:val="00452B4B"/>
    <w:rsid w:val="0046130E"/>
    <w:rsid w:val="0046172B"/>
    <w:rsid w:val="0046479F"/>
    <w:rsid w:val="00473F6E"/>
    <w:rsid w:val="00475660"/>
    <w:rsid w:val="00477E6F"/>
    <w:rsid w:val="00480A8E"/>
    <w:rsid w:val="00481356"/>
    <w:rsid w:val="004866A7"/>
    <w:rsid w:val="00486EA4"/>
    <w:rsid w:val="004875E7"/>
    <w:rsid w:val="00496532"/>
    <w:rsid w:val="004A17A2"/>
    <w:rsid w:val="004A4AD3"/>
    <w:rsid w:val="004B4C31"/>
    <w:rsid w:val="004B6AA8"/>
    <w:rsid w:val="004C0AAD"/>
    <w:rsid w:val="004C2654"/>
    <w:rsid w:val="004D1864"/>
    <w:rsid w:val="004D242D"/>
    <w:rsid w:val="004D493B"/>
    <w:rsid w:val="004D5237"/>
    <w:rsid w:val="004D6936"/>
    <w:rsid w:val="004E2C74"/>
    <w:rsid w:val="004F2D32"/>
    <w:rsid w:val="004F58B4"/>
    <w:rsid w:val="004F7AB3"/>
    <w:rsid w:val="00501E40"/>
    <w:rsid w:val="00502FAF"/>
    <w:rsid w:val="005042F6"/>
    <w:rsid w:val="00507125"/>
    <w:rsid w:val="00511A93"/>
    <w:rsid w:val="005132EA"/>
    <w:rsid w:val="005142B4"/>
    <w:rsid w:val="0051452A"/>
    <w:rsid w:val="00515EBD"/>
    <w:rsid w:val="00516BD8"/>
    <w:rsid w:val="00522CF9"/>
    <w:rsid w:val="005312CF"/>
    <w:rsid w:val="00531D24"/>
    <w:rsid w:val="00535D5E"/>
    <w:rsid w:val="00537B38"/>
    <w:rsid w:val="00541386"/>
    <w:rsid w:val="00541CB4"/>
    <w:rsid w:val="005429BD"/>
    <w:rsid w:val="00543048"/>
    <w:rsid w:val="00547136"/>
    <w:rsid w:val="00552E0A"/>
    <w:rsid w:val="00555086"/>
    <w:rsid w:val="00556F12"/>
    <w:rsid w:val="0055734F"/>
    <w:rsid w:val="00562F5F"/>
    <w:rsid w:val="00567AFF"/>
    <w:rsid w:val="005707A2"/>
    <w:rsid w:val="005708CC"/>
    <w:rsid w:val="00573851"/>
    <w:rsid w:val="0057693C"/>
    <w:rsid w:val="00576E8D"/>
    <w:rsid w:val="00580C8E"/>
    <w:rsid w:val="005811D4"/>
    <w:rsid w:val="005828EA"/>
    <w:rsid w:val="00583CCC"/>
    <w:rsid w:val="00590241"/>
    <w:rsid w:val="00590E6A"/>
    <w:rsid w:val="00591602"/>
    <w:rsid w:val="00595ED8"/>
    <w:rsid w:val="0059694A"/>
    <w:rsid w:val="005A35ED"/>
    <w:rsid w:val="005B5209"/>
    <w:rsid w:val="005B64F9"/>
    <w:rsid w:val="005B6E5D"/>
    <w:rsid w:val="005C035F"/>
    <w:rsid w:val="005C503C"/>
    <w:rsid w:val="005C632A"/>
    <w:rsid w:val="005C6B51"/>
    <w:rsid w:val="005D075B"/>
    <w:rsid w:val="005D0799"/>
    <w:rsid w:val="005D18DA"/>
    <w:rsid w:val="005D231F"/>
    <w:rsid w:val="005D7C3E"/>
    <w:rsid w:val="005E0C91"/>
    <w:rsid w:val="005E237F"/>
    <w:rsid w:val="005E673C"/>
    <w:rsid w:val="005F0FFB"/>
    <w:rsid w:val="005F17A1"/>
    <w:rsid w:val="005F2298"/>
    <w:rsid w:val="006000F6"/>
    <w:rsid w:val="006002CB"/>
    <w:rsid w:val="0060438F"/>
    <w:rsid w:val="00604A35"/>
    <w:rsid w:val="00605787"/>
    <w:rsid w:val="00606D68"/>
    <w:rsid w:val="0060777A"/>
    <w:rsid w:val="006078FD"/>
    <w:rsid w:val="006100DF"/>
    <w:rsid w:val="00610315"/>
    <w:rsid w:val="00611CC9"/>
    <w:rsid w:val="006130DD"/>
    <w:rsid w:val="00620DC0"/>
    <w:rsid w:val="006219AB"/>
    <w:rsid w:val="00624E98"/>
    <w:rsid w:val="006270FA"/>
    <w:rsid w:val="00627893"/>
    <w:rsid w:val="006324E6"/>
    <w:rsid w:val="00634CBD"/>
    <w:rsid w:val="0063759B"/>
    <w:rsid w:val="006416F2"/>
    <w:rsid w:val="006448CF"/>
    <w:rsid w:val="0065132B"/>
    <w:rsid w:val="0065272E"/>
    <w:rsid w:val="00652B8F"/>
    <w:rsid w:val="00654239"/>
    <w:rsid w:val="00656B30"/>
    <w:rsid w:val="00657A70"/>
    <w:rsid w:val="00661297"/>
    <w:rsid w:val="00662C31"/>
    <w:rsid w:val="00662FB7"/>
    <w:rsid w:val="00665907"/>
    <w:rsid w:val="00667A58"/>
    <w:rsid w:val="0067076D"/>
    <w:rsid w:val="006708DA"/>
    <w:rsid w:val="00670D75"/>
    <w:rsid w:val="00674AE5"/>
    <w:rsid w:val="006756BC"/>
    <w:rsid w:val="006921C4"/>
    <w:rsid w:val="00696875"/>
    <w:rsid w:val="006976C7"/>
    <w:rsid w:val="006A7929"/>
    <w:rsid w:val="006B3B89"/>
    <w:rsid w:val="006C1948"/>
    <w:rsid w:val="006C2254"/>
    <w:rsid w:val="006C4810"/>
    <w:rsid w:val="006C6BAD"/>
    <w:rsid w:val="006D3854"/>
    <w:rsid w:val="006D40DE"/>
    <w:rsid w:val="006D5355"/>
    <w:rsid w:val="006D59E9"/>
    <w:rsid w:val="006D7408"/>
    <w:rsid w:val="006E323A"/>
    <w:rsid w:val="006E4850"/>
    <w:rsid w:val="006E563A"/>
    <w:rsid w:val="006E5F94"/>
    <w:rsid w:val="006F0F4D"/>
    <w:rsid w:val="006F408C"/>
    <w:rsid w:val="006F6AB6"/>
    <w:rsid w:val="006F757D"/>
    <w:rsid w:val="006F7C5C"/>
    <w:rsid w:val="0070076E"/>
    <w:rsid w:val="00701DB4"/>
    <w:rsid w:val="00702AB9"/>
    <w:rsid w:val="007056E0"/>
    <w:rsid w:val="007156A2"/>
    <w:rsid w:val="00717D51"/>
    <w:rsid w:val="00717E29"/>
    <w:rsid w:val="007200A8"/>
    <w:rsid w:val="00730BED"/>
    <w:rsid w:val="00730E5B"/>
    <w:rsid w:val="007333D5"/>
    <w:rsid w:val="00733F00"/>
    <w:rsid w:val="00735E4A"/>
    <w:rsid w:val="00736D12"/>
    <w:rsid w:val="00737720"/>
    <w:rsid w:val="007408CB"/>
    <w:rsid w:val="00745503"/>
    <w:rsid w:val="00747155"/>
    <w:rsid w:val="00756993"/>
    <w:rsid w:val="00757C0D"/>
    <w:rsid w:val="007605E9"/>
    <w:rsid w:val="00761B4B"/>
    <w:rsid w:val="00761B64"/>
    <w:rsid w:val="00766BC5"/>
    <w:rsid w:val="0077532D"/>
    <w:rsid w:val="00781BC1"/>
    <w:rsid w:val="00790CF2"/>
    <w:rsid w:val="00795E5A"/>
    <w:rsid w:val="007B06DB"/>
    <w:rsid w:val="007B4E7E"/>
    <w:rsid w:val="007B7532"/>
    <w:rsid w:val="007C008A"/>
    <w:rsid w:val="007C15FA"/>
    <w:rsid w:val="007C70F8"/>
    <w:rsid w:val="007D4F30"/>
    <w:rsid w:val="007D730A"/>
    <w:rsid w:val="007E08A9"/>
    <w:rsid w:val="007E0AA0"/>
    <w:rsid w:val="007E0F31"/>
    <w:rsid w:val="007F1C63"/>
    <w:rsid w:val="007F2A31"/>
    <w:rsid w:val="007F5600"/>
    <w:rsid w:val="007F5776"/>
    <w:rsid w:val="007F7AFE"/>
    <w:rsid w:val="008155AF"/>
    <w:rsid w:val="00822D9F"/>
    <w:rsid w:val="0082417A"/>
    <w:rsid w:val="008248E8"/>
    <w:rsid w:val="00825302"/>
    <w:rsid w:val="0082680C"/>
    <w:rsid w:val="008275FC"/>
    <w:rsid w:val="00831062"/>
    <w:rsid w:val="0083134F"/>
    <w:rsid w:val="00832851"/>
    <w:rsid w:val="00832ABA"/>
    <w:rsid w:val="00840D48"/>
    <w:rsid w:val="00841853"/>
    <w:rsid w:val="00842EC7"/>
    <w:rsid w:val="008437FF"/>
    <w:rsid w:val="00844199"/>
    <w:rsid w:val="00844401"/>
    <w:rsid w:val="008454EE"/>
    <w:rsid w:val="00854ABD"/>
    <w:rsid w:val="00855D5D"/>
    <w:rsid w:val="0085659B"/>
    <w:rsid w:val="008568B7"/>
    <w:rsid w:val="00856C25"/>
    <w:rsid w:val="00861E6D"/>
    <w:rsid w:val="00865B79"/>
    <w:rsid w:val="008724AA"/>
    <w:rsid w:val="0087374E"/>
    <w:rsid w:val="00876DE0"/>
    <w:rsid w:val="00880ED5"/>
    <w:rsid w:val="008820AE"/>
    <w:rsid w:val="00884637"/>
    <w:rsid w:val="00887F61"/>
    <w:rsid w:val="00892C8A"/>
    <w:rsid w:val="008935F1"/>
    <w:rsid w:val="0089418E"/>
    <w:rsid w:val="00896590"/>
    <w:rsid w:val="0089763F"/>
    <w:rsid w:val="0089790C"/>
    <w:rsid w:val="008A0190"/>
    <w:rsid w:val="008A20DB"/>
    <w:rsid w:val="008A374A"/>
    <w:rsid w:val="008A61A9"/>
    <w:rsid w:val="008B13FF"/>
    <w:rsid w:val="008B2D3F"/>
    <w:rsid w:val="008B42FD"/>
    <w:rsid w:val="008B7251"/>
    <w:rsid w:val="008C01D6"/>
    <w:rsid w:val="008C19F8"/>
    <w:rsid w:val="008C307F"/>
    <w:rsid w:val="008C3631"/>
    <w:rsid w:val="008C61E8"/>
    <w:rsid w:val="008C7570"/>
    <w:rsid w:val="008D2A91"/>
    <w:rsid w:val="008D3979"/>
    <w:rsid w:val="008D6243"/>
    <w:rsid w:val="008E13E9"/>
    <w:rsid w:val="008E2190"/>
    <w:rsid w:val="008E5DFE"/>
    <w:rsid w:val="008F0D65"/>
    <w:rsid w:val="008F3EC9"/>
    <w:rsid w:val="008F68DC"/>
    <w:rsid w:val="008F7B2F"/>
    <w:rsid w:val="0090350B"/>
    <w:rsid w:val="00913A31"/>
    <w:rsid w:val="009148EC"/>
    <w:rsid w:val="00922007"/>
    <w:rsid w:val="0092253F"/>
    <w:rsid w:val="0092437A"/>
    <w:rsid w:val="009266DD"/>
    <w:rsid w:val="009313E1"/>
    <w:rsid w:val="00931811"/>
    <w:rsid w:val="00936B2C"/>
    <w:rsid w:val="00937F8D"/>
    <w:rsid w:val="00943917"/>
    <w:rsid w:val="00947817"/>
    <w:rsid w:val="00947D9F"/>
    <w:rsid w:val="00950268"/>
    <w:rsid w:val="00953936"/>
    <w:rsid w:val="009544C5"/>
    <w:rsid w:val="00957EA3"/>
    <w:rsid w:val="0096051E"/>
    <w:rsid w:val="00962526"/>
    <w:rsid w:val="00966B7A"/>
    <w:rsid w:val="00967AB1"/>
    <w:rsid w:val="00970B0F"/>
    <w:rsid w:val="00973991"/>
    <w:rsid w:val="0098098D"/>
    <w:rsid w:val="0098449A"/>
    <w:rsid w:val="00984690"/>
    <w:rsid w:val="00986102"/>
    <w:rsid w:val="009871DF"/>
    <w:rsid w:val="009875D1"/>
    <w:rsid w:val="00991D22"/>
    <w:rsid w:val="009A2359"/>
    <w:rsid w:val="009A3376"/>
    <w:rsid w:val="009A451B"/>
    <w:rsid w:val="009A49CA"/>
    <w:rsid w:val="009A52D4"/>
    <w:rsid w:val="009A5C5F"/>
    <w:rsid w:val="009B1D27"/>
    <w:rsid w:val="009B2447"/>
    <w:rsid w:val="009B31EE"/>
    <w:rsid w:val="009B4662"/>
    <w:rsid w:val="009C665B"/>
    <w:rsid w:val="009C7A6C"/>
    <w:rsid w:val="009D1740"/>
    <w:rsid w:val="009D1C5E"/>
    <w:rsid w:val="009D5A52"/>
    <w:rsid w:val="009D5E05"/>
    <w:rsid w:val="009E6C86"/>
    <w:rsid w:val="009F0D3F"/>
    <w:rsid w:val="009F1BFE"/>
    <w:rsid w:val="009F500D"/>
    <w:rsid w:val="009F538E"/>
    <w:rsid w:val="00A02210"/>
    <w:rsid w:val="00A02677"/>
    <w:rsid w:val="00A04BF4"/>
    <w:rsid w:val="00A069D5"/>
    <w:rsid w:val="00A07B0F"/>
    <w:rsid w:val="00A14924"/>
    <w:rsid w:val="00A14D72"/>
    <w:rsid w:val="00A169E6"/>
    <w:rsid w:val="00A2356E"/>
    <w:rsid w:val="00A25C35"/>
    <w:rsid w:val="00A27D5C"/>
    <w:rsid w:val="00A327F0"/>
    <w:rsid w:val="00A32C9D"/>
    <w:rsid w:val="00A360B8"/>
    <w:rsid w:val="00A501DD"/>
    <w:rsid w:val="00A56E40"/>
    <w:rsid w:val="00A64723"/>
    <w:rsid w:val="00A66D47"/>
    <w:rsid w:val="00A671C9"/>
    <w:rsid w:val="00A706B8"/>
    <w:rsid w:val="00A722D2"/>
    <w:rsid w:val="00A72A7D"/>
    <w:rsid w:val="00A74EE3"/>
    <w:rsid w:val="00A76576"/>
    <w:rsid w:val="00A820EC"/>
    <w:rsid w:val="00A824B3"/>
    <w:rsid w:val="00A86A0A"/>
    <w:rsid w:val="00A91BCB"/>
    <w:rsid w:val="00A926E2"/>
    <w:rsid w:val="00A92A64"/>
    <w:rsid w:val="00A93B88"/>
    <w:rsid w:val="00A94FB7"/>
    <w:rsid w:val="00A97E1D"/>
    <w:rsid w:val="00AA0A19"/>
    <w:rsid w:val="00AA12CC"/>
    <w:rsid w:val="00AA1C00"/>
    <w:rsid w:val="00AA2858"/>
    <w:rsid w:val="00AA450A"/>
    <w:rsid w:val="00AA45A9"/>
    <w:rsid w:val="00AA48FB"/>
    <w:rsid w:val="00AA520A"/>
    <w:rsid w:val="00AB59A2"/>
    <w:rsid w:val="00AB5C1C"/>
    <w:rsid w:val="00AB7B08"/>
    <w:rsid w:val="00AC0A71"/>
    <w:rsid w:val="00AC2190"/>
    <w:rsid w:val="00AD1658"/>
    <w:rsid w:val="00AD4DE7"/>
    <w:rsid w:val="00AD4FCB"/>
    <w:rsid w:val="00AD605D"/>
    <w:rsid w:val="00AE217F"/>
    <w:rsid w:val="00AF3309"/>
    <w:rsid w:val="00AF33BF"/>
    <w:rsid w:val="00AF3751"/>
    <w:rsid w:val="00B0492C"/>
    <w:rsid w:val="00B0709A"/>
    <w:rsid w:val="00B10F1A"/>
    <w:rsid w:val="00B12FC0"/>
    <w:rsid w:val="00B168D6"/>
    <w:rsid w:val="00B17BE4"/>
    <w:rsid w:val="00B21270"/>
    <w:rsid w:val="00B2284D"/>
    <w:rsid w:val="00B22905"/>
    <w:rsid w:val="00B23DE7"/>
    <w:rsid w:val="00B2635D"/>
    <w:rsid w:val="00B269D7"/>
    <w:rsid w:val="00B26A1F"/>
    <w:rsid w:val="00B367E2"/>
    <w:rsid w:val="00B36841"/>
    <w:rsid w:val="00B37CE3"/>
    <w:rsid w:val="00B42E62"/>
    <w:rsid w:val="00B43B05"/>
    <w:rsid w:val="00B468DC"/>
    <w:rsid w:val="00B473B2"/>
    <w:rsid w:val="00B5109B"/>
    <w:rsid w:val="00B54886"/>
    <w:rsid w:val="00B5629A"/>
    <w:rsid w:val="00B56A5C"/>
    <w:rsid w:val="00B6029F"/>
    <w:rsid w:val="00B6235D"/>
    <w:rsid w:val="00B63AB4"/>
    <w:rsid w:val="00B70B0A"/>
    <w:rsid w:val="00B742D2"/>
    <w:rsid w:val="00B74FCE"/>
    <w:rsid w:val="00B76A0E"/>
    <w:rsid w:val="00B772D3"/>
    <w:rsid w:val="00B83D06"/>
    <w:rsid w:val="00B86BAD"/>
    <w:rsid w:val="00B90052"/>
    <w:rsid w:val="00B90E4D"/>
    <w:rsid w:val="00B9412C"/>
    <w:rsid w:val="00B95999"/>
    <w:rsid w:val="00B96D85"/>
    <w:rsid w:val="00BA0764"/>
    <w:rsid w:val="00BA3A8B"/>
    <w:rsid w:val="00BA7480"/>
    <w:rsid w:val="00BB3687"/>
    <w:rsid w:val="00BC2C05"/>
    <w:rsid w:val="00BC4146"/>
    <w:rsid w:val="00BC69E2"/>
    <w:rsid w:val="00BC6C45"/>
    <w:rsid w:val="00BD18E3"/>
    <w:rsid w:val="00BD335D"/>
    <w:rsid w:val="00BD3C34"/>
    <w:rsid w:val="00BD67AE"/>
    <w:rsid w:val="00BE4BD3"/>
    <w:rsid w:val="00BF1AE4"/>
    <w:rsid w:val="00BF5AEE"/>
    <w:rsid w:val="00BF79FB"/>
    <w:rsid w:val="00C00536"/>
    <w:rsid w:val="00C02244"/>
    <w:rsid w:val="00C02322"/>
    <w:rsid w:val="00C03CBC"/>
    <w:rsid w:val="00C106AB"/>
    <w:rsid w:val="00C10BE6"/>
    <w:rsid w:val="00C12793"/>
    <w:rsid w:val="00C1417C"/>
    <w:rsid w:val="00C144F9"/>
    <w:rsid w:val="00C149E3"/>
    <w:rsid w:val="00C15DCC"/>
    <w:rsid w:val="00C16B6F"/>
    <w:rsid w:val="00C310B6"/>
    <w:rsid w:val="00C320A2"/>
    <w:rsid w:val="00C33B71"/>
    <w:rsid w:val="00C33C9D"/>
    <w:rsid w:val="00C37181"/>
    <w:rsid w:val="00C37B40"/>
    <w:rsid w:val="00C37D8D"/>
    <w:rsid w:val="00C43AC7"/>
    <w:rsid w:val="00C46A8A"/>
    <w:rsid w:val="00C52C4D"/>
    <w:rsid w:val="00C54111"/>
    <w:rsid w:val="00C555FC"/>
    <w:rsid w:val="00C55C2F"/>
    <w:rsid w:val="00C60DE3"/>
    <w:rsid w:val="00C62B80"/>
    <w:rsid w:val="00C70859"/>
    <w:rsid w:val="00C730B3"/>
    <w:rsid w:val="00C75394"/>
    <w:rsid w:val="00C766F2"/>
    <w:rsid w:val="00C938B8"/>
    <w:rsid w:val="00C94B18"/>
    <w:rsid w:val="00CA3BA0"/>
    <w:rsid w:val="00CA4A3C"/>
    <w:rsid w:val="00CA4BC7"/>
    <w:rsid w:val="00CA7588"/>
    <w:rsid w:val="00CB2106"/>
    <w:rsid w:val="00CB4347"/>
    <w:rsid w:val="00CB5FE4"/>
    <w:rsid w:val="00CC129A"/>
    <w:rsid w:val="00CC1E64"/>
    <w:rsid w:val="00CC26BB"/>
    <w:rsid w:val="00CC31DB"/>
    <w:rsid w:val="00CD2645"/>
    <w:rsid w:val="00CD2763"/>
    <w:rsid w:val="00CD350F"/>
    <w:rsid w:val="00CD3586"/>
    <w:rsid w:val="00CE151F"/>
    <w:rsid w:val="00CE19E2"/>
    <w:rsid w:val="00CE28A2"/>
    <w:rsid w:val="00CE3323"/>
    <w:rsid w:val="00CE677C"/>
    <w:rsid w:val="00CE6E71"/>
    <w:rsid w:val="00CF10D8"/>
    <w:rsid w:val="00CF1922"/>
    <w:rsid w:val="00CF3DE0"/>
    <w:rsid w:val="00CF5483"/>
    <w:rsid w:val="00CF66C3"/>
    <w:rsid w:val="00CF7090"/>
    <w:rsid w:val="00D02EBD"/>
    <w:rsid w:val="00D030FC"/>
    <w:rsid w:val="00D03738"/>
    <w:rsid w:val="00D04735"/>
    <w:rsid w:val="00D06EB1"/>
    <w:rsid w:val="00D15C67"/>
    <w:rsid w:val="00D1679F"/>
    <w:rsid w:val="00D172E4"/>
    <w:rsid w:val="00D23E43"/>
    <w:rsid w:val="00D24424"/>
    <w:rsid w:val="00D261C6"/>
    <w:rsid w:val="00D261CB"/>
    <w:rsid w:val="00D26F5D"/>
    <w:rsid w:val="00D3536B"/>
    <w:rsid w:val="00D355A0"/>
    <w:rsid w:val="00D36ACA"/>
    <w:rsid w:val="00D36F0E"/>
    <w:rsid w:val="00D37C86"/>
    <w:rsid w:val="00D44C9A"/>
    <w:rsid w:val="00D4570C"/>
    <w:rsid w:val="00D57969"/>
    <w:rsid w:val="00D608B5"/>
    <w:rsid w:val="00D6499A"/>
    <w:rsid w:val="00D65081"/>
    <w:rsid w:val="00D659C7"/>
    <w:rsid w:val="00D71EE7"/>
    <w:rsid w:val="00D77A1E"/>
    <w:rsid w:val="00D80CBB"/>
    <w:rsid w:val="00D833A2"/>
    <w:rsid w:val="00D849F7"/>
    <w:rsid w:val="00D855EA"/>
    <w:rsid w:val="00D859DB"/>
    <w:rsid w:val="00D86CE3"/>
    <w:rsid w:val="00D93D6F"/>
    <w:rsid w:val="00D97A0D"/>
    <w:rsid w:val="00DA316F"/>
    <w:rsid w:val="00DA331A"/>
    <w:rsid w:val="00DA6649"/>
    <w:rsid w:val="00DA7641"/>
    <w:rsid w:val="00DB154D"/>
    <w:rsid w:val="00DB34C5"/>
    <w:rsid w:val="00DB4445"/>
    <w:rsid w:val="00DB5C91"/>
    <w:rsid w:val="00DB6EA9"/>
    <w:rsid w:val="00DC2DB2"/>
    <w:rsid w:val="00DD4396"/>
    <w:rsid w:val="00DD6491"/>
    <w:rsid w:val="00DD7A94"/>
    <w:rsid w:val="00DE0A26"/>
    <w:rsid w:val="00DE628D"/>
    <w:rsid w:val="00DF202A"/>
    <w:rsid w:val="00DF4DE2"/>
    <w:rsid w:val="00DF7423"/>
    <w:rsid w:val="00E0061E"/>
    <w:rsid w:val="00E00E46"/>
    <w:rsid w:val="00E01D72"/>
    <w:rsid w:val="00E12070"/>
    <w:rsid w:val="00E13379"/>
    <w:rsid w:val="00E14968"/>
    <w:rsid w:val="00E16F49"/>
    <w:rsid w:val="00E203D3"/>
    <w:rsid w:val="00E216D3"/>
    <w:rsid w:val="00E24B7B"/>
    <w:rsid w:val="00E32014"/>
    <w:rsid w:val="00E34C88"/>
    <w:rsid w:val="00E40B25"/>
    <w:rsid w:val="00E4111E"/>
    <w:rsid w:val="00E42E58"/>
    <w:rsid w:val="00E45EE6"/>
    <w:rsid w:val="00E477FF"/>
    <w:rsid w:val="00E47FA4"/>
    <w:rsid w:val="00E51688"/>
    <w:rsid w:val="00E5403F"/>
    <w:rsid w:val="00E62B89"/>
    <w:rsid w:val="00E64096"/>
    <w:rsid w:val="00E67C20"/>
    <w:rsid w:val="00E67FC7"/>
    <w:rsid w:val="00E70C79"/>
    <w:rsid w:val="00E72F97"/>
    <w:rsid w:val="00E82A8C"/>
    <w:rsid w:val="00E839F1"/>
    <w:rsid w:val="00E83E4E"/>
    <w:rsid w:val="00E83FF2"/>
    <w:rsid w:val="00E8530B"/>
    <w:rsid w:val="00E91398"/>
    <w:rsid w:val="00E94D35"/>
    <w:rsid w:val="00E96FC1"/>
    <w:rsid w:val="00E976CC"/>
    <w:rsid w:val="00EA1695"/>
    <w:rsid w:val="00EA28E7"/>
    <w:rsid w:val="00EA3A2C"/>
    <w:rsid w:val="00EA4846"/>
    <w:rsid w:val="00EA5FE0"/>
    <w:rsid w:val="00EB0A24"/>
    <w:rsid w:val="00EB2A4D"/>
    <w:rsid w:val="00EB2C0C"/>
    <w:rsid w:val="00EB5254"/>
    <w:rsid w:val="00EB6937"/>
    <w:rsid w:val="00EC1EA6"/>
    <w:rsid w:val="00EC2A6A"/>
    <w:rsid w:val="00EC5634"/>
    <w:rsid w:val="00EC5D5E"/>
    <w:rsid w:val="00EC6ED5"/>
    <w:rsid w:val="00ED24D5"/>
    <w:rsid w:val="00ED4C32"/>
    <w:rsid w:val="00ED6B7C"/>
    <w:rsid w:val="00ED72D2"/>
    <w:rsid w:val="00EE0F36"/>
    <w:rsid w:val="00EE1386"/>
    <w:rsid w:val="00EE1DBE"/>
    <w:rsid w:val="00EE1E17"/>
    <w:rsid w:val="00EE2EA2"/>
    <w:rsid w:val="00EE5A7E"/>
    <w:rsid w:val="00EE5EDD"/>
    <w:rsid w:val="00EE7734"/>
    <w:rsid w:val="00EF388B"/>
    <w:rsid w:val="00EF51BD"/>
    <w:rsid w:val="00F13EE8"/>
    <w:rsid w:val="00F1446D"/>
    <w:rsid w:val="00F1469F"/>
    <w:rsid w:val="00F174EE"/>
    <w:rsid w:val="00F23154"/>
    <w:rsid w:val="00F24B84"/>
    <w:rsid w:val="00F25373"/>
    <w:rsid w:val="00F26CA8"/>
    <w:rsid w:val="00F308B9"/>
    <w:rsid w:val="00F420E9"/>
    <w:rsid w:val="00F43D40"/>
    <w:rsid w:val="00F43F8D"/>
    <w:rsid w:val="00F45BDD"/>
    <w:rsid w:val="00F52B71"/>
    <w:rsid w:val="00F53028"/>
    <w:rsid w:val="00F54EA0"/>
    <w:rsid w:val="00F57C32"/>
    <w:rsid w:val="00F60CB3"/>
    <w:rsid w:val="00F619C9"/>
    <w:rsid w:val="00F652BC"/>
    <w:rsid w:val="00F657C2"/>
    <w:rsid w:val="00F72CF7"/>
    <w:rsid w:val="00F74164"/>
    <w:rsid w:val="00F77347"/>
    <w:rsid w:val="00F8110A"/>
    <w:rsid w:val="00F818E7"/>
    <w:rsid w:val="00F908C1"/>
    <w:rsid w:val="00F941A3"/>
    <w:rsid w:val="00F95CA0"/>
    <w:rsid w:val="00F96112"/>
    <w:rsid w:val="00F96D23"/>
    <w:rsid w:val="00FA0A99"/>
    <w:rsid w:val="00FA0E1E"/>
    <w:rsid w:val="00FA1955"/>
    <w:rsid w:val="00FA79EA"/>
    <w:rsid w:val="00FB6DE4"/>
    <w:rsid w:val="00FC27DA"/>
    <w:rsid w:val="00FC3511"/>
    <w:rsid w:val="00FC3987"/>
    <w:rsid w:val="00FC6656"/>
    <w:rsid w:val="00FC7664"/>
    <w:rsid w:val="00FD4D3B"/>
    <w:rsid w:val="00FD79EB"/>
    <w:rsid w:val="00FE23F4"/>
    <w:rsid w:val="00FE6D3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7D22B7C"/>
  <w15:docId w15:val="{E9EB6030-C0D2-4D75-B84A-C107750B3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5A7E"/>
    <w:pPr>
      <w:spacing w:after="0" w:line="240" w:lineRule="auto"/>
    </w:pPr>
    <w:rPr>
      <w:rFonts w:ascii="Times New Roman" w:eastAsia="Times New Roman" w:hAnsi="Times New Roman" w:cs="Times New Roman"/>
      <w:sz w:val="24"/>
      <w:szCs w:val="24"/>
      <w:lang w:val="es-ES" w:eastAsia="es-ES_tradnl"/>
    </w:rPr>
  </w:style>
  <w:style w:type="paragraph" w:styleId="Ttulo1">
    <w:name w:val="heading 1"/>
    <w:basedOn w:val="Normal"/>
    <w:next w:val="Normal"/>
    <w:link w:val="Ttulo1Car"/>
    <w:uiPriority w:val="9"/>
    <w:qFormat/>
    <w:rsid w:val="00AF3751"/>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tulo3">
    <w:name w:val="heading 3"/>
    <w:basedOn w:val="Normal"/>
    <w:link w:val="Ttulo3Car"/>
    <w:uiPriority w:val="9"/>
    <w:qFormat/>
    <w:rsid w:val="002B6E5F"/>
    <w:pPr>
      <w:spacing w:before="100" w:beforeAutospacing="1" w:after="100" w:afterAutospacing="1"/>
      <w:outlineLvl w:val="2"/>
    </w:pPr>
    <w:rPr>
      <w:rFonts w:ascii="Times" w:hAnsi="Times"/>
      <w:b/>
      <w:bCs/>
      <w:sz w:val="27"/>
      <w:szCs w:val="27"/>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2B6E5F"/>
    <w:rPr>
      <w:rFonts w:ascii="Times" w:hAnsi="Times"/>
      <w:b/>
      <w:bCs/>
      <w:sz w:val="27"/>
      <w:szCs w:val="27"/>
      <w:lang w:val="es-ES_tradnl" w:eastAsia="es-ES"/>
    </w:rPr>
  </w:style>
  <w:style w:type="table" w:styleId="Tablaconcuadrcula">
    <w:name w:val="Table Grid"/>
    <w:basedOn w:val="Tablanormal"/>
    <w:uiPriority w:val="59"/>
    <w:rsid w:val="005D7C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5D7C3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Hipervnculo">
    <w:name w:val="Hyperlink"/>
    <w:basedOn w:val="Fuentedeprrafopredeter"/>
    <w:uiPriority w:val="99"/>
    <w:unhideWhenUsed/>
    <w:rsid w:val="003F485E"/>
    <w:rPr>
      <w:color w:val="0000FF"/>
      <w:u w:val="single"/>
    </w:rPr>
  </w:style>
  <w:style w:type="paragraph" w:styleId="Textodeglobo">
    <w:name w:val="Balloon Text"/>
    <w:basedOn w:val="Normal"/>
    <w:link w:val="TextodegloboCar"/>
    <w:uiPriority w:val="99"/>
    <w:semiHidden/>
    <w:unhideWhenUsed/>
    <w:rsid w:val="00953936"/>
    <w:rPr>
      <w:rFonts w:ascii="Tahoma" w:hAnsi="Tahoma" w:cs="Tahoma"/>
      <w:sz w:val="16"/>
      <w:szCs w:val="16"/>
    </w:rPr>
  </w:style>
  <w:style w:type="character" w:customStyle="1" w:styleId="TextodegloboCar">
    <w:name w:val="Texto de globo Car"/>
    <w:basedOn w:val="Fuentedeprrafopredeter"/>
    <w:link w:val="Textodeglobo"/>
    <w:uiPriority w:val="99"/>
    <w:semiHidden/>
    <w:rsid w:val="00953936"/>
    <w:rPr>
      <w:rFonts w:ascii="Tahoma" w:hAnsi="Tahoma" w:cs="Tahoma"/>
      <w:sz w:val="16"/>
      <w:szCs w:val="16"/>
      <w:lang w:val="en-GB"/>
    </w:rPr>
  </w:style>
  <w:style w:type="table" w:customStyle="1" w:styleId="Taulasenzilla21">
    <w:name w:val="Taula senzilla 21"/>
    <w:basedOn w:val="Tablanormal"/>
    <w:uiPriority w:val="42"/>
    <w:rsid w:val="00861E6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labs-docsum-authors">
    <w:name w:val="labs-docsum-authors"/>
    <w:basedOn w:val="Fuentedeprrafopredeter"/>
    <w:rsid w:val="005C503C"/>
  </w:style>
  <w:style w:type="character" w:customStyle="1" w:styleId="labs-docsum-journal-citation">
    <w:name w:val="labs-docsum-journal-citation"/>
    <w:basedOn w:val="Fuentedeprrafopredeter"/>
    <w:rsid w:val="005C503C"/>
  </w:style>
  <w:style w:type="character" w:customStyle="1" w:styleId="citation-part">
    <w:name w:val="citation-part"/>
    <w:basedOn w:val="Fuentedeprrafopredeter"/>
    <w:rsid w:val="005C503C"/>
  </w:style>
  <w:style w:type="character" w:customStyle="1" w:styleId="docsum-pmid">
    <w:name w:val="docsum-pmid"/>
    <w:basedOn w:val="Fuentedeprrafopredeter"/>
    <w:rsid w:val="005C503C"/>
  </w:style>
  <w:style w:type="character" w:styleId="nfasis">
    <w:name w:val="Emphasis"/>
    <w:basedOn w:val="Fuentedeprrafopredeter"/>
    <w:uiPriority w:val="20"/>
    <w:qFormat/>
    <w:rsid w:val="00547136"/>
    <w:rPr>
      <w:i/>
      <w:iCs/>
    </w:rPr>
  </w:style>
  <w:style w:type="paragraph" w:styleId="NormalWeb">
    <w:name w:val="Normal (Web)"/>
    <w:basedOn w:val="Normal"/>
    <w:uiPriority w:val="99"/>
    <w:unhideWhenUsed/>
    <w:rsid w:val="00547136"/>
    <w:pPr>
      <w:spacing w:before="100" w:beforeAutospacing="1" w:after="100" w:afterAutospacing="1"/>
    </w:pPr>
    <w:rPr>
      <w:rFonts w:ascii="Times" w:hAnsi="Times"/>
      <w:sz w:val="20"/>
      <w:szCs w:val="20"/>
      <w:lang w:val="es-ES_tradnl" w:eastAsia="es-ES"/>
    </w:rPr>
  </w:style>
  <w:style w:type="character" w:customStyle="1" w:styleId="mixed-citation">
    <w:name w:val="mixed-citation"/>
    <w:basedOn w:val="Fuentedeprrafopredeter"/>
    <w:rsid w:val="00667A58"/>
  </w:style>
  <w:style w:type="character" w:customStyle="1" w:styleId="ref-title">
    <w:name w:val="ref-title"/>
    <w:basedOn w:val="Fuentedeprrafopredeter"/>
    <w:rsid w:val="00667A58"/>
  </w:style>
  <w:style w:type="character" w:customStyle="1" w:styleId="ref-journal">
    <w:name w:val="ref-journal"/>
    <w:basedOn w:val="Fuentedeprrafopredeter"/>
    <w:rsid w:val="00667A58"/>
  </w:style>
  <w:style w:type="character" w:customStyle="1" w:styleId="ref-vol">
    <w:name w:val="ref-vol"/>
    <w:basedOn w:val="Fuentedeprrafopredeter"/>
    <w:rsid w:val="00667A58"/>
  </w:style>
  <w:style w:type="paragraph" w:customStyle="1" w:styleId="p">
    <w:name w:val="p"/>
    <w:basedOn w:val="Normal"/>
    <w:rsid w:val="002B6E5F"/>
    <w:pPr>
      <w:spacing w:before="100" w:beforeAutospacing="1" w:after="100" w:afterAutospacing="1"/>
    </w:pPr>
    <w:rPr>
      <w:rFonts w:ascii="Times" w:hAnsi="Times"/>
      <w:sz w:val="20"/>
      <w:szCs w:val="20"/>
      <w:lang w:val="es-ES_tradnl" w:eastAsia="es-ES"/>
    </w:rPr>
  </w:style>
  <w:style w:type="character" w:styleId="Refdecomentario">
    <w:name w:val="annotation reference"/>
    <w:basedOn w:val="Fuentedeprrafopredeter"/>
    <w:uiPriority w:val="99"/>
    <w:semiHidden/>
    <w:unhideWhenUsed/>
    <w:rsid w:val="002D6799"/>
    <w:rPr>
      <w:sz w:val="18"/>
      <w:szCs w:val="18"/>
    </w:rPr>
  </w:style>
  <w:style w:type="paragraph" w:styleId="Textocomentario">
    <w:name w:val="annotation text"/>
    <w:basedOn w:val="Normal"/>
    <w:link w:val="TextocomentarioCar"/>
    <w:uiPriority w:val="99"/>
    <w:semiHidden/>
    <w:unhideWhenUsed/>
    <w:rsid w:val="002D6799"/>
  </w:style>
  <w:style w:type="character" w:customStyle="1" w:styleId="TextocomentarioCar">
    <w:name w:val="Texto comentario Car"/>
    <w:basedOn w:val="Fuentedeprrafopredeter"/>
    <w:link w:val="Textocomentario"/>
    <w:uiPriority w:val="99"/>
    <w:semiHidden/>
    <w:rsid w:val="002D6799"/>
    <w:rPr>
      <w:sz w:val="24"/>
      <w:szCs w:val="24"/>
      <w:lang w:val="en-GB"/>
    </w:rPr>
  </w:style>
  <w:style w:type="paragraph" w:styleId="Asuntodelcomentario">
    <w:name w:val="annotation subject"/>
    <w:basedOn w:val="Textocomentario"/>
    <w:next w:val="Textocomentario"/>
    <w:link w:val="AsuntodelcomentarioCar"/>
    <w:uiPriority w:val="99"/>
    <w:semiHidden/>
    <w:unhideWhenUsed/>
    <w:rsid w:val="002D6799"/>
    <w:rPr>
      <w:b/>
      <w:bCs/>
      <w:sz w:val="20"/>
      <w:szCs w:val="20"/>
    </w:rPr>
  </w:style>
  <w:style w:type="character" w:customStyle="1" w:styleId="AsuntodelcomentarioCar">
    <w:name w:val="Asunto del comentario Car"/>
    <w:basedOn w:val="TextocomentarioCar"/>
    <w:link w:val="Asuntodelcomentario"/>
    <w:uiPriority w:val="99"/>
    <w:semiHidden/>
    <w:rsid w:val="002D6799"/>
    <w:rPr>
      <w:b/>
      <w:bCs/>
      <w:sz w:val="20"/>
      <w:szCs w:val="20"/>
      <w:lang w:val="en-GB"/>
    </w:rPr>
  </w:style>
  <w:style w:type="character" w:styleId="Hipervnculovisitado">
    <w:name w:val="FollowedHyperlink"/>
    <w:basedOn w:val="Fuentedeprrafopredeter"/>
    <w:uiPriority w:val="99"/>
    <w:semiHidden/>
    <w:unhideWhenUsed/>
    <w:rsid w:val="00217926"/>
    <w:rPr>
      <w:color w:val="800080" w:themeColor="followedHyperlink"/>
      <w:u w:val="single"/>
    </w:rPr>
  </w:style>
  <w:style w:type="paragraph" w:styleId="Encabezado">
    <w:name w:val="header"/>
    <w:basedOn w:val="Normal"/>
    <w:link w:val="EncabezadoCar"/>
    <w:uiPriority w:val="99"/>
    <w:unhideWhenUsed/>
    <w:rsid w:val="00AA2858"/>
    <w:pPr>
      <w:tabs>
        <w:tab w:val="center" w:pos="4252"/>
        <w:tab w:val="right" w:pos="8504"/>
      </w:tabs>
    </w:pPr>
  </w:style>
  <w:style w:type="character" w:customStyle="1" w:styleId="EncabezadoCar">
    <w:name w:val="Encabezado Car"/>
    <w:basedOn w:val="Fuentedeprrafopredeter"/>
    <w:link w:val="Encabezado"/>
    <w:uiPriority w:val="99"/>
    <w:rsid w:val="00AA2858"/>
    <w:rPr>
      <w:lang w:val="en-GB"/>
    </w:rPr>
  </w:style>
  <w:style w:type="paragraph" w:styleId="Piedepgina">
    <w:name w:val="footer"/>
    <w:basedOn w:val="Normal"/>
    <w:link w:val="PiedepginaCar"/>
    <w:uiPriority w:val="99"/>
    <w:unhideWhenUsed/>
    <w:rsid w:val="00AA2858"/>
    <w:pPr>
      <w:tabs>
        <w:tab w:val="center" w:pos="4252"/>
        <w:tab w:val="right" w:pos="8504"/>
      </w:tabs>
    </w:pPr>
  </w:style>
  <w:style w:type="character" w:customStyle="1" w:styleId="PiedepginaCar">
    <w:name w:val="Pie de página Car"/>
    <w:basedOn w:val="Fuentedeprrafopredeter"/>
    <w:link w:val="Piedepgina"/>
    <w:uiPriority w:val="99"/>
    <w:rsid w:val="00AA2858"/>
    <w:rPr>
      <w:lang w:val="en-GB"/>
    </w:rPr>
  </w:style>
  <w:style w:type="paragraph" w:styleId="Prrafodelista">
    <w:name w:val="List Paragraph"/>
    <w:basedOn w:val="Normal"/>
    <w:uiPriority w:val="34"/>
    <w:qFormat/>
    <w:rsid w:val="007D4F30"/>
    <w:pPr>
      <w:ind w:left="720"/>
      <w:contextualSpacing/>
    </w:pPr>
  </w:style>
  <w:style w:type="character" w:customStyle="1" w:styleId="Ttulo1Car">
    <w:name w:val="Título 1 Car"/>
    <w:basedOn w:val="Fuentedeprrafopredeter"/>
    <w:link w:val="Ttulo1"/>
    <w:uiPriority w:val="9"/>
    <w:rsid w:val="00AF3751"/>
    <w:rPr>
      <w:rFonts w:asciiTheme="majorHAnsi" w:eastAsiaTheme="majorEastAsia" w:hAnsiTheme="majorHAnsi" w:cstheme="majorBidi"/>
      <w:color w:val="365F91" w:themeColor="accent1" w:themeShade="BF"/>
      <w:sz w:val="32"/>
      <w:szCs w:val="32"/>
      <w:lang w:val="en-GB"/>
    </w:rPr>
  </w:style>
  <w:style w:type="character" w:customStyle="1" w:styleId="docsum-authors">
    <w:name w:val="docsum-authors"/>
    <w:basedOn w:val="Fuentedeprrafopredeter"/>
    <w:rsid w:val="009148EC"/>
  </w:style>
  <w:style w:type="character" w:customStyle="1" w:styleId="docsum-journal-citation">
    <w:name w:val="docsum-journal-citation"/>
    <w:basedOn w:val="Fuentedeprrafopredeter"/>
    <w:rsid w:val="009148EC"/>
  </w:style>
  <w:style w:type="character" w:customStyle="1" w:styleId="topic-highlight">
    <w:name w:val="topic-highlight"/>
    <w:basedOn w:val="Fuentedeprrafopredeter"/>
    <w:rsid w:val="00562F5F"/>
  </w:style>
  <w:style w:type="character" w:customStyle="1" w:styleId="period">
    <w:name w:val="period"/>
    <w:basedOn w:val="Fuentedeprrafopredeter"/>
    <w:rsid w:val="00A2356E"/>
  </w:style>
  <w:style w:type="character" w:customStyle="1" w:styleId="cit">
    <w:name w:val="cit"/>
    <w:basedOn w:val="Fuentedeprrafopredeter"/>
    <w:rsid w:val="00A2356E"/>
  </w:style>
  <w:style w:type="character" w:customStyle="1" w:styleId="citation-doi">
    <w:name w:val="citation-doi"/>
    <w:basedOn w:val="Fuentedeprrafopredeter"/>
    <w:rsid w:val="00A2356E"/>
  </w:style>
  <w:style w:type="character" w:customStyle="1" w:styleId="secondary-date">
    <w:name w:val="secondary-date"/>
    <w:basedOn w:val="Fuentedeprrafopredeter"/>
    <w:rsid w:val="00A2356E"/>
  </w:style>
  <w:style w:type="character" w:customStyle="1" w:styleId="authors-list-item">
    <w:name w:val="authors-list-item"/>
    <w:basedOn w:val="Fuentedeprrafopredeter"/>
    <w:rsid w:val="00A2356E"/>
  </w:style>
  <w:style w:type="character" w:customStyle="1" w:styleId="author-sup-separator">
    <w:name w:val="author-sup-separator"/>
    <w:basedOn w:val="Fuentedeprrafopredeter"/>
    <w:rsid w:val="00A2356E"/>
  </w:style>
  <w:style w:type="character" w:customStyle="1" w:styleId="comma">
    <w:name w:val="comma"/>
    <w:basedOn w:val="Fuentedeprrafopredeter"/>
    <w:rsid w:val="00A2356E"/>
  </w:style>
  <w:style w:type="paragraph" w:customStyle="1" w:styleId="c-article-author-listitem">
    <w:name w:val="c-article-author-list__item"/>
    <w:basedOn w:val="Normal"/>
    <w:rsid w:val="00EE5A7E"/>
    <w:pPr>
      <w:spacing w:before="100" w:beforeAutospacing="1" w:after="100" w:afterAutospacing="1"/>
    </w:pPr>
  </w:style>
  <w:style w:type="paragraph" w:customStyle="1" w:styleId="c-article-info-details">
    <w:name w:val="c-article-info-details"/>
    <w:basedOn w:val="Normal"/>
    <w:rsid w:val="00EE5A7E"/>
    <w:pPr>
      <w:spacing w:before="100" w:beforeAutospacing="1" w:after="100" w:afterAutospacing="1"/>
    </w:pPr>
  </w:style>
  <w:style w:type="character" w:customStyle="1" w:styleId="u-visually-hidden">
    <w:name w:val="u-visually-hidden"/>
    <w:basedOn w:val="Fuentedeprrafopredeter"/>
    <w:rsid w:val="00EE5A7E"/>
  </w:style>
  <w:style w:type="character" w:customStyle="1" w:styleId="markedcontent">
    <w:name w:val="markedcontent"/>
    <w:basedOn w:val="Fuentedeprrafopredeter"/>
    <w:rsid w:val="00C55C2F"/>
  </w:style>
  <w:style w:type="paragraph" w:styleId="Revisin">
    <w:name w:val="Revision"/>
    <w:hidden/>
    <w:uiPriority w:val="99"/>
    <w:semiHidden/>
    <w:rsid w:val="001455AC"/>
    <w:pPr>
      <w:spacing w:after="0" w:line="240" w:lineRule="auto"/>
    </w:pPr>
    <w:rPr>
      <w:rFonts w:ascii="Times New Roman" w:eastAsia="Times New Roman" w:hAnsi="Times New Roman" w:cs="Times New Roman"/>
      <w:sz w:val="24"/>
      <w:szCs w:val="24"/>
      <w:lang w:val="es-ES" w:eastAsia="es-ES_tradnl"/>
    </w:rPr>
  </w:style>
  <w:style w:type="character" w:styleId="Nmerodelnea">
    <w:name w:val="line number"/>
    <w:basedOn w:val="Fuentedeprrafopredeter"/>
    <w:uiPriority w:val="99"/>
    <w:semiHidden/>
    <w:unhideWhenUsed/>
    <w:rsid w:val="004508F6"/>
  </w:style>
  <w:style w:type="character" w:styleId="Mencinsinresolver">
    <w:name w:val="Unresolved Mention"/>
    <w:basedOn w:val="Fuentedeprrafopredeter"/>
    <w:uiPriority w:val="99"/>
    <w:semiHidden/>
    <w:unhideWhenUsed/>
    <w:rsid w:val="00DC2D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51853">
      <w:bodyDiv w:val="1"/>
      <w:marLeft w:val="0"/>
      <w:marRight w:val="0"/>
      <w:marTop w:val="0"/>
      <w:marBottom w:val="0"/>
      <w:divBdr>
        <w:top w:val="none" w:sz="0" w:space="0" w:color="auto"/>
        <w:left w:val="none" w:sz="0" w:space="0" w:color="auto"/>
        <w:bottom w:val="none" w:sz="0" w:space="0" w:color="auto"/>
        <w:right w:val="none" w:sz="0" w:space="0" w:color="auto"/>
      </w:divBdr>
      <w:divsChild>
        <w:div w:id="230967031">
          <w:marLeft w:val="0"/>
          <w:marRight w:val="0"/>
          <w:marTop w:val="0"/>
          <w:marBottom w:val="0"/>
          <w:divBdr>
            <w:top w:val="none" w:sz="0" w:space="0" w:color="auto"/>
            <w:left w:val="none" w:sz="0" w:space="0" w:color="auto"/>
            <w:bottom w:val="none" w:sz="0" w:space="0" w:color="auto"/>
            <w:right w:val="none" w:sz="0" w:space="0" w:color="auto"/>
          </w:divBdr>
        </w:div>
      </w:divsChild>
    </w:div>
    <w:div w:id="70469588">
      <w:bodyDiv w:val="1"/>
      <w:marLeft w:val="0"/>
      <w:marRight w:val="0"/>
      <w:marTop w:val="0"/>
      <w:marBottom w:val="0"/>
      <w:divBdr>
        <w:top w:val="none" w:sz="0" w:space="0" w:color="auto"/>
        <w:left w:val="none" w:sz="0" w:space="0" w:color="auto"/>
        <w:bottom w:val="none" w:sz="0" w:space="0" w:color="auto"/>
        <w:right w:val="none" w:sz="0" w:space="0" w:color="auto"/>
      </w:divBdr>
      <w:divsChild>
        <w:div w:id="1470854532">
          <w:marLeft w:val="0"/>
          <w:marRight w:val="0"/>
          <w:marTop w:val="0"/>
          <w:marBottom w:val="0"/>
          <w:divBdr>
            <w:top w:val="none" w:sz="0" w:space="0" w:color="auto"/>
            <w:left w:val="none" w:sz="0" w:space="0" w:color="auto"/>
            <w:bottom w:val="none" w:sz="0" w:space="0" w:color="auto"/>
            <w:right w:val="none" w:sz="0" w:space="0" w:color="auto"/>
          </w:divBdr>
        </w:div>
      </w:divsChild>
    </w:div>
    <w:div w:id="80763120">
      <w:bodyDiv w:val="1"/>
      <w:marLeft w:val="0"/>
      <w:marRight w:val="0"/>
      <w:marTop w:val="0"/>
      <w:marBottom w:val="0"/>
      <w:divBdr>
        <w:top w:val="none" w:sz="0" w:space="0" w:color="auto"/>
        <w:left w:val="none" w:sz="0" w:space="0" w:color="auto"/>
        <w:bottom w:val="none" w:sz="0" w:space="0" w:color="auto"/>
        <w:right w:val="none" w:sz="0" w:space="0" w:color="auto"/>
      </w:divBdr>
    </w:div>
    <w:div w:id="98138924">
      <w:bodyDiv w:val="1"/>
      <w:marLeft w:val="0"/>
      <w:marRight w:val="0"/>
      <w:marTop w:val="0"/>
      <w:marBottom w:val="0"/>
      <w:divBdr>
        <w:top w:val="none" w:sz="0" w:space="0" w:color="auto"/>
        <w:left w:val="none" w:sz="0" w:space="0" w:color="auto"/>
        <w:bottom w:val="none" w:sz="0" w:space="0" w:color="auto"/>
        <w:right w:val="none" w:sz="0" w:space="0" w:color="auto"/>
      </w:divBdr>
      <w:divsChild>
        <w:div w:id="1267466654">
          <w:marLeft w:val="0"/>
          <w:marRight w:val="0"/>
          <w:marTop w:val="0"/>
          <w:marBottom w:val="0"/>
          <w:divBdr>
            <w:top w:val="none" w:sz="0" w:space="0" w:color="auto"/>
            <w:left w:val="none" w:sz="0" w:space="0" w:color="auto"/>
            <w:bottom w:val="none" w:sz="0" w:space="0" w:color="auto"/>
            <w:right w:val="none" w:sz="0" w:space="0" w:color="auto"/>
          </w:divBdr>
        </w:div>
      </w:divsChild>
    </w:div>
    <w:div w:id="110438058">
      <w:bodyDiv w:val="1"/>
      <w:marLeft w:val="0"/>
      <w:marRight w:val="0"/>
      <w:marTop w:val="0"/>
      <w:marBottom w:val="0"/>
      <w:divBdr>
        <w:top w:val="none" w:sz="0" w:space="0" w:color="auto"/>
        <w:left w:val="none" w:sz="0" w:space="0" w:color="auto"/>
        <w:bottom w:val="none" w:sz="0" w:space="0" w:color="auto"/>
        <w:right w:val="none" w:sz="0" w:space="0" w:color="auto"/>
      </w:divBdr>
    </w:div>
    <w:div w:id="174535153">
      <w:bodyDiv w:val="1"/>
      <w:marLeft w:val="0"/>
      <w:marRight w:val="0"/>
      <w:marTop w:val="0"/>
      <w:marBottom w:val="0"/>
      <w:divBdr>
        <w:top w:val="none" w:sz="0" w:space="0" w:color="auto"/>
        <w:left w:val="none" w:sz="0" w:space="0" w:color="auto"/>
        <w:bottom w:val="none" w:sz="0" w:space="0" w:color="auto"/>
        <w:right w:val="none" w:sz="0" w:space="0" w:color="auto"/>
      </w:divBdr>
    </w:div>
    <w:div w:id="246815296">
      <w:bodyDiv w:val="1"/>
      <w:marLeft w:val="0"/>
      <w:marRight w:val="0"/>
      <w:marTop w:val="0"/>
      <w:marBottom w:val="0"/>
      <w:divBdr>
        <w:top w:val="none" w:sz="0" w:space="0" w:color="auto"/>
        <w:left w:val="none" w:sz="0" w:space="0" w:color="auto"/>
        <w:bottom w:val="none" w:sz="0" w:space="0" w:color="auto"/>
        <w:right w:val="none" w:sz="0" w:space="0" w:color="auto"/>
      </w:divBdr>
    </w:div>
    <w:div w:id="280696429">
      <w:bodyDiv w:val="1"/>
      <w:marLeft w:val="0"/>
      <w:marRight w:val="0"/>
      <w:marTop w:val="0"/>
      <w:marBottom w:val="0"/>
      <w:divBdr>
        <w:top w:val="none" w:sz="0" w:space="0" w:color="auto"/>
        <w:left w:val="none" w:sz="0" w:space="0" w:color="auto"/>
        <w:bottom w:val="none" w:sz="0" w:space="0" w:color="auto"/>
        <w:right w:val="none" w:sz="0" w:space="0" w:color="auto"/>
      </w:divBdr>
    </w:div>
    <w:div w:id="286932849">
      <w:bodyDiv w:val="1"/>
      <w:marLeft w:val="0"/>
      <w:marRight w:val="0"/>
      <w:marTop w:val="0"/>
      <w:marBottom w:val="0"/>
      <w:divBdr>
        <w:top w:val="none" w:sz="0" w:space="0" w:color="auto"/>
        <w:left w:val="none" w:sz="0" w:space="0" w:color="auto"/>
        <w:bottom w:val="none" w:sz="0" w:space="0" w:color="auto"/>
        <w:right w:val="none" w:sz="0" w:space="0" w:color="auto"/>
      </w:divBdr>
    </w:div>
    <w:div w:id="305008910">
      <w:bodyDiv w:val="1"/>
      <w:marLeft w:val="0"/>
      <w:marRight w:val="0"/>
      <w:marTop w:val="0"/>
      <w:marBottom w:val="0"/>
      <w:divBdr>
        <w:top w:val="none" w:sz="0" w:space="0" w:color="auto"/>
        <w:left w:val="none" w:sz="0" w:space="0" w:color="auto"/>
        <w:bottom w:val="none" w:sz="0" w:space="0" w:color="auto"/>
        <w:right w:val="none" w:sz="0" w:space="0" w:color="auto"/>
      </w:divBdr>
    </w:div>
    <w:div w:id="322851687">
      <w:bodyDiv w:val="1"/>
      <w:marLeft w:val="0"/>
      <w:marRight w:val="0"/>
      <w:marTop w:val="0"/>
      <w:marBottom w:val="0"/>
      <w:divBdr>
        <w:top w:val="none" w:sz="0" w:space="0" w:color="auto"/>
        <w:left w:val="none" w:sz="0" w:space="0" w:color="auto"/>
        <w:bottom w:val="none" w:sz="0" w:space="0" w:color="auto"/>
        <w:right w:val="none" w:sz="0" w:space="0" w:color="auto"/>
      </w:divBdr>
      <w:divsChild>
        <w:div w:id="1152451314">
          <w:marLeft w:val="0"/>
          <w:marRight w:val="0"/>
          <w:marTop w:val="0"/>
          <w:marBottom w:val="0"/>
          <w:divBdr>
            <w:top w:val="none" w:sz="0" w:space="0" w:color="auto"/>
            <w:left w:val="none" w:sz="0" w:space="0" w:color="auto"/>
            <w:bottom w:val="none" w:sz="0" w:space="0" w:color="auto"/>
            <w:right w:val="none" w:sz="0" w:space="0" w:color="auto"/>
          </w:divBdr>
          <w:divsChild>
            <w:div w:id="2007710229">
              <w:marLeft w:val="0"/>
              <w:marRight w:val="0"/>
              <w:marTop w:val="0"/>
              <w:marBottom w:val="0"/>
              <w:divBdr>
                <w:top w:val="none" w:sz="0" w:space="0" w:color="auto"/>
                <w:left w:val="none" w:sz="0" w:space="0" w:color="auto"/>
                <w:bottom w:val="none" w:sz="0" w:space="0" w:color="auto"/>
                <w:right w:val="none" w:sz="0" w:space="0" w:color="auto"/>
              </w:divBdr>
              <w:divsChild>
                <w:div w:id="67379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532129">
      <w:bodyDiv w:val="1"/>
      <w:marLeft w:val="0"/>
      <w:marRight w:val="0"/>
      <w:marTop w:val="0"/>
      <w:marBottom w:val="0"/>
      <w:divBdr>
        <w:top w:val="none" w:sz="0" w:space="0" w:color="auto"/>
        <w:left w:val="none" w:sz="0" w:space="0" w:color="auto"/>
        <w:bottom w:val="none" w:sz="0" w:space="0" w:color="auto"/>
        <w:right w:val="none" w:sz="0" w:space="0" w:color="auto"/>
      </w:divBdr>
    </w:div>
    <w:div w:id="370810886">
      <w:bodyDiv w:val="1"/>
      <w:marLeft w:val="0"/>
      <w:marRight w:val="0"/>
      <w:marTop w:val="0"/>
      <w:marBottom w:val="0"/>
      <w:divBdr>
        <w:top w:val="none" w:sz="0" w:space="0" w:color="auto"/>
        <w:left w:val="none" w:sz="0" w:space="0" w:color="auto"/>
        <w:bottom w:val="none" w:sz="0" w:space="0" w:color="auto"/>
        <w:right w:val="none" w:sz="0" w:space="0" w:color="auto"/>
      </w:divBdr>
    </w:div>
    <w:div w:id="401803006">
      <w:bodyDiv w:val="1"/>
      <w:marLeft w:val="0"/>
      <w:marRight w:val="0"/>
      <w:marTop w:val="0"/>
      <w:marBottom w:val="0"/>
      <w:divBdr>
        <w:top w:val="none" w:sz="0" w:space="0" w:color="auto"/>
        <w:left w:val="none" w:sz="0" w:space="0" w:color="auto"/>
        <w:bottom w:val="none" w:sz="0" w:space="0" w:color="auto"/>
        <w:right w:val="none" w:sz="0" w:space="0" w:color="auto"/>
      </w:divBdr>
      <w:divsChild>
        <w:div w:id="1913153711">
          <w:marLeft w:val="0"/>
          <w:marRight w:val="0"/>
          <w:marTop w:val="0"/>
          <w:marBottom w:val="0"/>
          <w:divBdr>
            <w:top w:val="none" w:sz="0" w:space="0" w:color="auto"/>
            <w:left w:val="none" w:sz="0" w:space="0" w:color="auto"/>
            <w:bottom w:val="none" w:sz="0" w:space="0" w:color="auto"/>
            <w:right w:val="none" w:sz="0" w:space="0" w:color="auto"/>
          </w:divBdr>
        </w:div>
      </w:divsChild>
    </w:div>
    <w:div w:id="430513939">
      <w:bodyDiv w:val="1"/>
      <w:marLeft w:val="0"/>
      <w:marRight w:val="0"/>
      <w:marTop w:val="0"/>
      <w:marBottom w:val="0"/>
      <w:divBdr>
        <w:top w:val="none" w:sz="0" w:space="0" w:color="auto"/>
        <w:left w:val="none" w:sz="0" w:space="0" w:color="auto"/>
        <w:bottom w:val="none" w:sz="0" w:space="0" w:color="auto"/>
        <w:right w:val="none" w:sz="0" w:space="0" w:color="auto"/>
      </w:divBdr>
    </w:div>
    <w:div w:id="454376758">
      <w:bodyDiv w:val="1"/>
      <w:marLeft w:val="0"/>
      <w:marRight w:val="0"/>
      <w:marTop w:val="0"/>
      <w:marBottom w:val="0"/>
      <w:divBdr>
        <w:top w:val="none" w:sz="0" w:space="0" w:color="auto"/>
        <w:left w:val="none" w:sz="0" w:space="0" w:color="auto"/>
        <w:bottom w:val="none" w:sz="0" w:space="0" w:color="auto"/>
        <w:right w:val="none" w:sz="0" w:space="0" w:color="auto"/>
      </w:divBdr>
      <w:divsChild>
        <w:div w:id="16318882">
          <w:marLeft w:val="0"/>
          <w:marRight w:val="0"/>
          <w:marTop w:val="0"/>
          <w:marBottom w:val="0"/>
          <w:divBdr>
            <w:top w:val="none" w:sz="0" w:space="0" w:color="auto"/>
            <w:left w:val="none" w:sz="0" w:space="0" w:color="auto"/>
            <w:bottom w:val="none" w:sz="0" w:space="0" w:color="auto"/>
            <w:right w:val="none" w:sz="0" w:space="0" w:color="auto"/>
          </w:divBdr>
        </w:div>
      </w:divsChild>
    </w:div>
    <w:div w:id="457601932">
      <w:bodyDiv w:val="1"/>
      <w:marLeft w:val="0"/>
      <w:marRight w:val="0"/>
      <w:marTop w:val="0"/>
      <w:marBottom w:val="0"/>
      <w:divBdr>
        <w:top w:val="none" w:sz="0" w:space="0" w:color="auto"/>
        <w:left w:val="none" w:sz="0" w:space="0" w:color="auto"/>
        <w:bottom w:val="none" w:sz="0" w:space="0" w:color="auto"/>
        <w:right w:val="none" w:sz="0" w:space="0" w:color="auto"/>
      </w:divBdr>
    </w:div>
    <w:div w:id="489566531">
      <w:bodyDiv w:val="1"/>
      <w:marLeft w:val="0"/>
      <w:marRight w:val="0"/>
      <w:marTop w:val="0"/>
      <w:marBottom w:val="0"/>
      <w:divBdr>
        <w:top w:val="none" w:sz="0" w:space="0" w:color="auto"/>
        <w:left w:val="none" w:sz="0" w:space="0" w:color="auto"/>
        <w:bottom w:val="none" w:sz="0" w:space="0" w:color="auto"/>
        <w:right w:val="none" w:sz="0" w:space="0" w:color="auto"/>
      </w:divBdr>
    </w:div>
    <w:div w:id="528376808">
      <w:bodyDiv w:val="1"/>
      <w:marLeft w:val="0"/>
      <w:marRight w:val="0"/>
      <w:marTop w:val="0"/>
      <w:marBottom w:val="0"/>
      <w:divBdr>
        <w:top w:val="none" w:sz="0" w:space="0" w:color="auto"/>
        <w:left w:val="none" w:sz="0" w:space="0" w:color="auto"/>
        <w:bottom w:val="none" w:sz="0" w:space="0" w:color="auto"/>
        <w:right w:val="none" w:sz="0" w:space="0" w:color="auto"/>
      </w:divBdr>
    </w:div>
    <w:div w:id="542668765">
      <w:bodyDiv w:val="1"/>
      <w:marLeft w:val="0"/>
      <w:marRight w:val="0"/>
      <w:marTop w:val="0"/>
      <w:marBottom w:val="0"/>
      <w:divBdr>
        <w:top w:val="none" w:sz="0" w:space="0" w:color="auto"/>
        <w:left w:val="none" w:sz="0" w:space="0" w:color="auto"/>
        <w:bottom w:val="none" w:sz="0" w:space="0" w:color="auto"/>
        <w:right w:val="none" w:sz="0" w:space="0" w:color="auto"/>
      </w:divBdr>
    </w:div>
    <w:div w:id="630863886">
      <w:bodyDiv w:val="1"/>
      <w:marLeft w:val="0"/>
      <w:marRight w:val="0"/>
      <w:marTop w:val="0"/>
      <w:marBottom w:val="0"/>
      <w:divBdr>
        <w:top w:val="none" w:sz="0" w:space="0" w:color="auto"/>
        <w:left w:val="none" w:sz="0" w:space="0" w:color="auto"/>
        <w:bottom w:val="none" w:sz="0" w:space="0" w:color="auto"/>
        <w:right w:val="none" w:sz="0" w:space="0" w:color="auto"/>
      </w:divBdr>
    </w:div>
    <w:div w:id="645471579">
      <w:bodyDiv w:val="1"/>
      <w:marLeft w:val="0"/>
      <w:marRight w:val="0"/>
      <w:marTop w:val="0"/>
      <w:marBottom w:val="0"/>
      <w:divBdr>
        <w:top w:val="none" w:sz="0" w:space="0" w:color="auto"/>
        <w:left w:val="none" w:sz="0" w:space="0" w:color="auto"/>
        <w:bottom w:val="none" w:sz="0" w:space="0" w:color="auto"/>
        <w:right w:val="none" w:sz="0" w:space="0" w:color="auto"/>
      </w:divBdr>
    </w:div>
    <w:div w:id="692996909">
      <w:bodyDiv w:val="1"/>
      <w:marLeft w:val="0"/>
      <w:marRight w:val="0"/>
      <w:marTop w:val="0"/>
      <w:marBottom w:val="0"/>
      <w:divBdr>
        <w:top w:val="none" w:sz="0" w:space="0" w:color="auto"/>
        <w:left w:val="none" w:sz="0" w:space="0" w:color="auto"/>
        <w:bottom w:val="none" w:sz="0" w:space="0" w:color="auto"/>
        <w:right w:val="none" w:sz="0" w:space="0" w:color="auto"/>
      </w:divBdr>
    </w:div>
    <w:div w:id="778529348">
      <w:bodyDiv w:val="1"/>
      <w:marLeft w:val="0"/>
      <w:marRight w:val="0"/>
      <w:marTop w:val="0"/>
      <w:marBottom w:val="0"/>
      <w:divBdr>
        <w:top w:val="none" w:sz="0" w:space="0" w:color="auto"/>
        <w:left w:val="none" w:sz="0" w:space="0" w:color="auto"/>
        <w:bottom w:val="none" w:sz="0" w:space="0" w:color="auto"/>
        <w:right w:val="none" w:sz="0" w:space="0" w:color="auto"/>
      </w:divBdr>
    </w:div>
    <w:div w:id="910771912">
      <w:bodyDiv w:val="1"/>
      <w:marLeft w:val="0"/>
      <w:marRight w:val="0"/>
      <w:marTop w:val="0"/>
      <w:marBottom w:val="0"/>
      <w:divBdr>
        <w:top w:val="none" w:sz="0" w:space="0" w:color="auto"/>
        <w:left w:val="none" w:sz="0" w:space="0" w:color="auto"/>
        <w:bottom w:val="none" w:sz="0" w:space="0" w:color="auto"/>
        <w:right w:val="none" w:sz="0" w:space="0" w:color="auto"/>
      </w:divBdr>
    </w:div>
    <w:div w:id="954751156">
      <w:bodyDiv w:val="1"/>
      <w:marLeft w:val="0"/>
      <w:marRight w:val="0"/>
      <w:marTop w:val="0"/>
      <w:marBottom w:val="0"/>
      <w:divBdr>
        <w:top w:val="none" w:sz="0" w:space="0" w:color="auto"/>
        <w:left w:val="none" w:sz="0" w:space="0" w:color="auto"/>
        <w:bottom w:val="none" w:sz="0" w:space="0" w:color="auto"/>
        <w:right w:val="none" w:sz="0" w:space="0" w:color="auto"/>
      </w:divBdr>
    </w:div>
    <w:div w:id="1021127586">
      <w:bodyDiv w:val="1"/>
      <w:marLeft w:val="0"/>
      <w:marRight w:val="0"/>
      <w:marTop w:val="0"/>
      <w:marBottom w:val="0"/>
      <w:divBdr>
        <w:top w:val="none" w:sz="0" w:space="0" w:color="auto"/>
        <w:left w:val="none" w:sz="0" w:space="0" w:color="auto"/>
        <w:bottom w:val="none" w:sz="0" w:space="0" w:color="auto"/>
        <w:right w:val="none" w:sz="0" w:space="0" w:color="auto"/>
      </w:divBdr>
    </w:div>
    <w:div w:id="1037270463">
      <w:bodyDiv w:val="1"/>
      <w:marLeft w:val="0"/>
      <w:marRight w:val="0"/>
      <w:marTop w:val="0"/>
      <w:marBottom w:val="0"/>
      <w:divBdr>
        <w:top w:val="none" w:sz="0" w:space="0" w:color="auto"/>
        <w:left w:val="none" w:sz="0" w:space="0" w:color="auto"/>
        <w:bottom w:val="none" w:sz="0" w:space="0" w:color="auto"/>
        <w:right w:val="none" w:sz="0" w:space="0" w:color="auto"/>
      </w:divBdr>
      <w:divsChild>
        <w:div w:id="1511526052">
          <w:marLeft w:val="0"/>
          <w:marRight w:val="0"/>
          <w:marTop w:val="0"/>
          <w:marBottom w:val="0"/>
          <w:divBdr>
            <w:top w:val="none" w:sz="0" w:space="0" w:color="auto"/>
            <w:left w:val="none" w:sz="0" w:space="0" w:color="auto"/>
            <w:bottom w:val="none" w:sz="0" w:space="0" w:color="auto"/>
            <w:right w:val="none" w:sz="0" w:space="0" w:color="auto"/>
          </w:divBdr>
          <w:divsChild>
            <w:div w:id="1615357057">
              <w:marLeft w:val="0"/>
              <w:marRight w:val="0"/>
              <w:marTop w:val="0"/>
              <w:marBottom w:val="0"/>
              <w:divBdr>
                <w:top w:val="none" w:sz="0" w:space="0" w:color="auto"/>
                <w:left w:val="none" w:sz="0" w:space="0" w:color="auto"/>
                <w:bottom w:val="none" w:sz="0" w:space="0" w:color="auto"/>
                <w:right w:val="none" w:sz="0" w:space="0" w:color="auto"/>
              </w:divBdr>
              <w:divsChild>
                <w:div w:id="476996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7366829">
      <w:bodyDiv w:val="1"/>
      <w:marLeft w:val="0"/>
      <w:marRight w:val="0"/>
      <w:marTop w:val="0"/>
      <w:marBottom w:val="0"/>
      <w:divBdr>
        <w:top w:val="none" w:sz="0" w:space="0" w:color="auto"/>
        <w:left w:val="none" w:sz="0" w:space="0" w:color="auto"/>
        <w:bottom w:val="none" w:sz="0" w:space="0" w:color="auto"/>
        <w:right w:val="none" w:sz="0" w:space="0" w:color="auto"/>
      </w:divBdr>
      <w:divsChild>
        <w:div w:id="747769018">
          <w:marLeft w:val="0"/>
          <w:marRight w:val="0"/>
          <w:marTop w:val="0"/>
          <w:marBottom w:val="0"/>
          <w:divBdr>
            <w:top w:val="none" w:sz="0" w:space="0" w:color="auto"/>
            <w:left w:val="none" w:sz="0" w:space="0" w:color="auto"/>
            <w:bottom w:val="none" w:sz="0" w:space="0" w:color="auto"/>
            <w:right w:val="none" w:sz="0" w:space="0" w:color="auto"/>
          </w:divBdr>
        </w:div>
      </w:divsChild>
    </w:div>
    <w:div w:id="1094131504">
      <w:bodyDiv w:val="1"/>
      <w:marLeft w:val="0"/>
      <w:marRight w:val="0"/>
      <w:marTop w:val="0"/>
      <w:marBottom w:val="0"/>
      <w:divBdr>
        <w:top w:val="none" w:sz="0" w:space="0" w:color="auto"/>
        <w:left w:val="none" w:sz="0" w:space="0" w:color="auto"/>
        <w:bottom w:val="none" w:sz="0" w:space="0" w:color="auto"/>
        <w:right w:val="none" w:sz="0" w:space="0" w:color="auto"/>
      </w:divBdr>
      <w:divsChild>
        <w:div w:id="1131052687">
          <w:marLeft w:val="0"/>
          <w:marRight w:val="0"/>
          <w:marTop w:val="0"/>
          <w:marBottom w:val="0"/>
          <w:divBdr>
            <w:top w:val="none" w:sz="0" w:space="0" w:color="auto"/>
            <w:left w:val="none" w:sz="0" w:space="0" w:color="auto"/>
            <w:bottom w:val="none" w:sz="0" w:space="0" w:color="auto"/>
            <w:right w:val="none" w:sz="0" w:space="0" w:color="auto"/>
          </w:divBdr>
        </w:div>
        <w:div w:id="1422137645">
          <w:marLeft w:val="0"/>
          <w:marRight w:val="0"/>
          <w:marTop w:val="0"/>
          <w:marBottom w:val="0"/>
          <w:divBdr>
            <w:top w:val="none" w:sz="0" w:space="0" w:color="auto"/>
            <w:left w:val="none" w:sz="0" w:space="0" w:color="auto"/>
            <w:bottom w:val="none" w:sz="0" w:space="0" w:color="auto"/>
            <w:right w:val="none" w:sz="0" w:space="0" w:color="auto"/>
          </w:divBdr>
        </w:div>
        <w:div w:id="1663896618">
          <w:marLeft w:val="0"/>
          <w:marRight w:val="0"/>
          <w:marTop w:val="0"/>
          <w:marBottom w:val="0"/>
          <w:divBdr>
            <w:top w:val="none" w:sz="0" w:space="0" w:color="auto"/>
            <w:left w:val="none" w:sz="0" w:space="0" w:color="auto"/>
            <w:bottom w:val="none" w:sz="0" w:space="0" w:color="auto"/>
            <w:right w:val="none" w:sz="0" w:space="0" w:color="auto"/>
          </w:divBdr>
        </w:div>
        <w:div w:id="683555373">
          <w:marLeft w:val="0"/>
          <w:marRight w:val="0"/>
          <w:marTop w:val="0"/>
          <w:marBottom w:val="0"/>
          <w:divBdr>
            <w:top w:val="none" w:sz="0" w:space="0" w:color="auto"/>
            <w:left w:val="none" w:sz="0" w:space="0" w:color="auto"/>
            <w:bottom w:val="none" w:sz="0" w:space="0" w:color="auto"/>
            <w:right w:val="none" w:sz="0" w:space="0" w:color="auto"/>
          </w:divBdr>
        </w:div>
        <w:div w:id="1977443681">
          <w:marLeft w:val="0"/>
          <w:marRight w:val="0"/>
          <w:marTop w:val="0"/>
          <w:marBottom w:val="0"/>
          <w:divBdr>
            <w:top w:val="none" w:sz="0" w:space="0" w:color="auto"/>
            <w:left w:val="none" w:sz="0" w:space="0" w:color="auto"/>
            <w:bottom w:val="none" w:sz="0" w:space="0" w:color="auto"/>
            <w:right w:val="none" w:sz="0" w:space="0" w:color="auto"/>
          </w:divBdr>
        </w:div>
        <w:div w:id="1579746533">
          <w:marLeft w:val="0"/>
          <w:marRight w:val="0"/>
          <w:marTop w:val="0"/>
          <w:marBottom w:val="0"/>
          <w:divBdr>
            <w:top w:val="none" w:sz="0" w:space="0" w:color="auto"/>
            <w:left w:val="none" w:sz="0" w:space="0" w:color="auto"/>
            <w:bottom w:val="none" w:sz="0" w:space="0" w:color="auto"/>
            <w:right w:val="none" w:sz="0" w:space="0" w:color="auto"/>
          </w:divBdr>
          <w:divsChild>
            <w:div w:id="1340697847">
              <w:marLeft w:val="0"/>
              <w:marRight w:val="0"/>
              <w:marTop w:val="0"/>
              <w:marBottom w:val="0"/>
              <w:divBdr>
                <w:top w:val="none" w:sz="0" w:space="0" w:color="auto"/>
                <w:left w:val="none" w:sz="0" w:space="0" w:color="auto"/>
                <w:bottom w:val="none" w:sz="0" w:space="0" w:color="auto"/>
                <w:right w:val="none" w:sz="0" w:space="0" w:color="auto"/>
              </w:divBdr>
            </w:div>
            <w:div w:id="1977831297">
              <w:marLeft w:val="0"/>
              <w:marRight w:val="0"/>
              <w:marTop w:val="0"/>
              <w:marBottom w:val="0"/>
              <w:divBdr>
                <w:top w:val="none" w:sz="0" w:space="0" w:color="auto"/>
                <w:left w:val="none" w:sz="0" w:space="0" w:color="auto"/>
                <w:bottom w:val="none" w:sz="0" w:space="0" w:color="auto"/>
                <w:right w:val="none" w:sz="0" w:space="0" w:color="auto"/>
              </w:divBdr>
            </w:div>
            <w:div w:id="790130615">
              <w:marLeft w:val="0"/>
              <w:marRight w:val="0"/>
              <w:marTop w:val="0"/>
              <w:marBottom w:val="0"/>
              <w:divBdr>
                <w:top w:val="none" w:sz="0" w:space="0" w:color="auto"/>
                <w:left w:val="none" w:sz="0" w:space="0" w:color="auto"/>
                <w:bottom w:val="none" w:sz="0" w:space="0" w:color="auto"/>
                <w:right w:val="none" w:sz="0" w:space="0" w:color="auto"/>
              </w:divBdr>
            </w:div>
            <w:div w:id="1916015770">
              <w:marLeft w:val="0"/>
              <w:marRight w:val="0"/>
              <w:marTop w:val="0"/>
              <w:marBottom w:val="0"/>
              <w:divBdr>
                <w:top w:val="none" w:sz="0" w:space="0" w:color="auto"/>
                <w:left w:val="none" w:sz="0" w:space="0" w:color="auto"/>
                <w:bottom w:val="none" w:sz="0" w:space="0" w:color="auto"/>
                <w:right w:val="none" w:sz="0" w:space="0" w:color="auto"/>
              </w:divBdr>
            </w:div>
            <w:div w:id="1441797088">
              <w:marLeft w:val="0"/>
              <w:marRight w:val="0"/>
              <w:marTop w:val="0"/>
              <w:marBottom w:val="0"/>
              <w:divBdr>
                <w:top w:val="none" w:sz="0" w:space="0" w:color="auto"/>
                <w:left w:val="none" w:sz="0" w:space="0" w:color="auto"/>
                <w:bottom w:val="none" w:sz="0" w:space="0" w:color="auto"/>
                <w:right w:val="none" w:sz="0" w:space="0" w:color="auto"/>
              </w:divBdr>
            </w:div>
            <w:div w:id="373311999">
              <w:marLeft w:val="0"/>
              <w:marRight w:val="0"/>
              <w:marTop w:val="0"/>
              <w:marBottom w:val="0"/>
              <w:divBdr>
                <w:top w:val="none" w:sz="0" w:space="0" w:color="auto"/>
                <w:left w:val="none" w:sz="0" w:space="0" w:color="auto"/>
                <w:bottom w:val="none" w:sz="0" w:space="0" w:color="auto"/>
                <w:right w:val="none" w:sz="0" w:space="0" w:color="auto"/>
              </w:divBdr>
            </w:div>
            <w:div w:id="1816070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038742">
      <w:bodyDiv w:val="1"/>
      <w:marLeft w:val="0"/>
      <w:marRight w:val="0"/>
      <w:marTop w:val="0"/>
      <w:marBottom w:val="0"/>
      <w:divBdr>
        <w:top w:val="none" w:sz="0" w:space="0" w:color="auto"/>
        <w:left w:val="none" w:sz="0" w:space="0" w:color="auto"/>
        <w:bottom w:val="none" w:sz="0" w:space="0" w:color="auto"/>
        <w:right w:val="none" w:sz="0" w:space="0" w:color="auto"/>
      </w:divBdr>
    </w:div>
    <w:div w:id="1106850810">
      <w:bodyDiv w:val="1"/>
      <w:marLeft w:val="0"/>
      <w:marRight w:val="0"/>
      <w:marTop w:val="0"/>
      <w:marBottom w:val="0"/>
      <w:divBdr>
        <w:top w:val="none" w:sz="0" w:space="0" w:color="auto"/>
        <w:left w:val="none" w:sz="0" w:space="0" w:color="auto"/>
        <w:bottom w:val="none" w:sz="0" w:space="0" w:color="auto"/>
        <w:right w:val="none" w:sz="0" w:space="0" w:color="auto"/>
      </w:divBdr>
    </w:div>
    <w:div w:id="1124546701">
      <w:bodyDiv w:val="1"/>
      <w:marLeft w:val="0"/>
      <w:marRight w:val="0"/>
      <w:marTop w:val="0"/>
      <w:marBottom w:val="0"/>
      <w:divBdr>
        <w:top w:val="none" w:sz="0" w:space="0" w:color="auto"/>
        <w:left w:val="none" w:sz="0" w:space="0" w:color="auto"/>
        <w:bottom w:val="none" w:sz="0" w:space="0" w:color="auto"/>
        <w:right w:val="none" w:sz="0" w:space="0" w:color="auto"/>
      </w:divBdr>
      <w:divsChild>
        <w:div w:id="1593512823">
          <w:marLeft w:val="0"/>
          <w:marRight w:val="0"/>
          <w:marTop w:val="0"/>
          <w:marBottom w:val="0"/>
          <w:divBdr>
            <w:top w:val="none" w:sz="0" w:space="0" w:color="auto"/>
            <w:left w:val="none" w:sz="0" w:space="0" w:color="auto"/>
            <w:bottom w:val="none" w:sz="0" w:space="0" w:color="auto"/>
            <w:right w:val="none" w:sz="0" w:space="0" w:color="auto"/>
          </w:divBdr>
        </w:div>
      </w:divsChild>
    </w:div>
    <w:div w:id="1125731301">
      <w:bodyDiv w:val="1"/>
      <w:marLeft w:val="0"/>
      <w:marRight w:val="0"/>
      <w:marTop w:val="0"/>
      <w:marBottom w:val="0"/>
      <w:divBdr>
        <w:top w:val="none" w:sz="0" w:space="0" w:color="auto"/>
        <w:left w:val="none" w:sz="0" w:space="0" w:color="auto"/>
        <w:bottom w:val="none" w:sz="0" w:space="0" w:color="auto"/>
        <w:right w:val="none" w:sz="0" w:space="0" w:color="auto"/>
      </w:divBdr>
    </w:div>
    <w:div w:id="1173422426">
      <w:bodyDiv w:val="1"/>
      <w:marLeft w:val="0"/>
      <w:marRight w:val="0"/>
      <w:marTop w:val="0"/>
      <w:marBottom w:val="0"/>
      <w:divBdr>
        <w:top w:val="none" w:sz="0" w:space="0" w:color="auto"/>
        <w:left w:val="none" w:sz="0" w:space="0" w:color="auto"/>
        <w:bottom w:val="none" w:sz="0" w:space="0" w:color="auto"/>
        <w:right w:val="none" w:sz="0" w:space="0" w:color="auto"/>
      </w:divBdr>
    </w:div>
    <w:div w:id="1190146490">
      <w:bodyDiv w:val="1"/>
      <w:marLeft w:val="0"/>
      <w:marRight w:val="0"/>
      <w:marTop w:val="0"/>
      <w:marBottom w:val="0"/>
      <w:divBdr>
        <w:top w:val="none" w:sz="0" w:space="0" w:color="auto"/>
        <w:left w:val="none" w:sz="0" w:space="0" w:color="auto"/>
        <w:bottom w:val="none" w:sz="0" w:space="0" w:color="auto"/>
        <w:right w:val="none" w:sz="0" w:space="0" w:color="auto"/>
      </w:divBdr>
      <w:divsChild>
        <w:div w:id="2074765888">
          <w:marLeft w:val="0"/>
          <w:marRight w:val="0"/>
          <w:marTop w:val="0"/>
          <w:marBottom w:val="0"/>
          <w:divBdr>
            <w:top w:val="none" w:sz="0" w:space="0" w:color="auto"/>
            <w:left w:val="none" w:sz="0" w:space="0" w:color="auto"/>
            <w:bottom w:val="none" w:sz="0" w:space="0" w:color="auto"/>
            <w:right w:val="none" w:sz="0" w:space="0" w:color="auto"/>
          </w:divBdr>
        </w:div>
        <w:div w:id="1391422994">
          <w:marLeft w:val="0"/>
          <w:marRight w:val="0"/>
          <w:marTop w:val="0"/>
          <w:marBottom w:val="0"/>
          <w:divBdr>
            <w:top w:val="none" w:sz="0" w:space="0" w:color="auto"/>
            <w:left w:val="none" w:sz="0" w:space="0" w:color="auto"/>
            <w:bottom w:val="none" w:sz="0" w:space="0" w:color="auto"/>
            <w:right w:val="none" w:sz="0" w:space="0" w:color="auto"/>
          </w:divBdr>
        </w:div>
        <w:div w:id="1184978662">
          <w:marLeft w:val="0"/>
          <w:marRight w:val="0"/>
          <w:marTop w:val="0"/>
          <w:marBottom w:val="0"/>
          <w:divBdr>
            <w:top w:val="none" w:sz="0" w:space="0" w:color="auto"/>
            <w:left w:val="none" w:sz="0" w:space="0" w:color="auto"/>
            <w:bottom w:val="none" w:sz="0" w:space="0" w:color="auto"/>
            <w:right w:val="none" w:sz="0" w:space="0" w:color="auto"/>
          </w:divBdr>
        </w:div>
      </w:divsChild>
    </w:div>
    <w:div w:id="1257203443">
      <w:bodyDiv w:val="1"/>
      <w:marLeft w:val="0"/>
      <w:marRight w:val="0"/>
      <w:marTop w:val="0"/>
      <w:marBottom w:val="0"/>
      <w:divBdr>
        <w:top w:val="none" w:sz="0" w:space="0" w:color="auto"/>
        <w:left w:val="none" w:sz="0" w:space="0" w:color="auto"/>
        <w:bottom w:val="none" w:sz="0" w:space="0" w:color="auto"/>
        <w:right w:val="none" w:sz="0" w:space="0" w:color="auto"/>
      </w:divBdr>
      <w:divsChild>
        <w:div w:id="1094395636">
          <w:marLeft w:val="0"/>
          <w:marRight w:val="0"/>
          <w:marTop w:val="0"/>
          <w:marBottom w:val="0"/>
          <w:divBdr>
            <w:top w:val="none" w:sz="0" w:space="0" w:color="auto"/>
            <w:left w:val="none" w:sz="0" w:space="0" w:color="auto"/>
            <w:bottom w:val="none" w:sz="0" w:space="0" w:color="auto"/>
            <w:right w:val="none" w:sz="0" w:space="0" w:color="auto"/>
          </w:divBdr>
          <w:divsChild>
            <w:div w:id="1313101835">
              <w:marLeft w:val="0"/>
              <w:marRight w:val="0"/>
              <w:marTop w:val="0"/>
              <w:marBottom w:val="0"/>
              <w:divBdr>
                <w:top w:val="none" w:sz="0" w:space="0" w:color="auto"/>
                <w:left w:val="none" w:sz="0" w:space="0" w:color="auto"/>
                <w:bottom w:val="none" w:sz="0" w:space="0" w:color="auto"/>
                <w:right w:val="none" w:sz="0" w:space="0" w:color="auto"/>
              </w:divBdr>
              <w:divsChild>
                <w:div w:id="949970783">
                  <w:marLeft w:val="0"/>
                  <w:marRight w:val="0"/>
                  <w:marTop w:val="0"/>
                  <w:marBottom w:val="0"/>
                  <w:divBdr>
                    <w:top w:val="none" w:sz="0" w:space="0" w:color="auto"/>
                    <w:left w:val="none" w:sz="0" w:space="0" w:color="auto"/>
                    <w:bottom w:val="none" w:sz="0" w:space="0" w:color="auto"/>
                    <w:right w:val="none" w:sz="0" w:space="0" w:color="auto"/>
                  </w:divBdr>
                  <w:divsChild>
                    <w:div w:id="1369456809">
                      <w:marLeft w:val="0"/>
                      <w:marRight w:val="0"/>
                      <w:marTop w:val="0"/>
                      <w:marBottom w:val="0"/>
                      <w:divBdr>
                        <w:top w:val="none" w:sz="0" w:space="0" w:color="auto"/>
                        <w:left w:val="none" w:sz="0" w:space="0" w:color="auto"/>
                        <w:bottom w:val="none" w:sz="0" w:space="0" w:color="auto"/>
                        <w:right w:val="none" w:sz="0" w:space="0" w:color="auto"/>
                      </w:divBdr>
                      <w:divsChild>
                        <w:div w:id="926352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7059795">
          <w:marLeft w:val="0"/>
          <w:marRight w:val="0"/>
          <w:marTop w:val="0"/>
          <w:marBottom w:val="0"/>
          <w:divBdr>
            <w:top w:val="none" w:sz="0" w:space="0" w:color="auto"/>
            <w:left w:val="none" w:sz="0" w:space="0" w:color="auto"/>
            <w:bottom w:val="none" w:sz="0" w:space="0" w:color="auto"/>
            <w:right w:val="none" w:sz="0" w:space="0" w:color="auto"/>
          </w:divBdr>
          <w:divsChild>
            <w:div w:id="1788084547">
              <w:marLeft w:val="0"/>
              <w:marRight w:val="0"/>
              <w:marTop w:val="0"/>
              <w:marBottom w:val="0"/>
              <w:divBdr>
                <w:top w:val="none" w:sz="0" w:space="0" w:color="auto"/>
                <w:left w:val="none" w:sz="0" w:space="0" w:color="auto"/>
                <w:bottom w:val="none" w:sz="0" w:space="0" w:color="auto"/>
                <w:right w:val="none" w:sz="0" w:space="0" w:color="auto"/>
              </w:divBdr>
              <w:divsChild>
                <w:div w:id="170166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2878894">
      <w:bodyDiv w:val="1"/>
      <w:marLeft w:val="0"/>
      <w:marRight w:val="0"/>
      <w:marTop w:val="0"/>
      <w:marBottom w:val="0"/>
      <w:divBdr>
        <w:top w:val="none" w:sz="0" w:space="0" w:color="auto"/>
        <w:left w:val="none" w:sz="0" w:space="0" w:color="auto"/>
        <w:bottom w:val="none" w:sz="0" w:space="0" w:color="auto"/>
        <w:right w:val="none" w:sz="0" w:space="0" w:color="auto"/>
      </w:divBdr>
    </w:div>
    <w:div w:id="1324627207">
      <w:bodyDiv w:val="1"/>
      <w:marLeft w:val="0"/>
      <w:marRight w:val="0"/>
      <w:marTop w:val="0"/>
      <w:marBottom w:val="0"/>
      <w:divBdr>
        <w:top w:val="none" w:sz="0" w:space="0" w:color="auto"/>
        <w:left w:val="none" w:sz="0" w:space="0" w:color="auto"/>
        <w:bottom w:val="none" w:sz="0" w:space="0" w:color="auto"/>
        <w:right w:val="none" w:sz="0" w:space="0" w:color="auto"/>
      </w:divBdr>
    </w:div>
    <w:div w:id="1325861476">
      <w:bodyDiv w:val="1"/>
      <w:marLeft w:val="0"/>
      <w:marRight w:val="0"/>
      <w:marTop w:val="0"/>
      <w:marBottom w:val="0"/>
      <w:divBdr>
        <w:top w:val="none" w:sz="0" w:space="0" w:color="auto"/>
        <w:left w:val="none" w:sz="0" w:space="0" w:color="auto"/>
        <w:bottom w:val="none" w:sz="0" w:space="0" w:color="auto"/>
        <w:right w:val="none" w:sz="0" w:space="0" w:color="auto"/>
      </w:divBdr>
      <w:divsChild>
        <w:div w:id="1521817155">
          <w:marLeft w:val="0"/>
          <w:marRight w:val="0"/>
          <w:marTop w:val="0"/>
          <w:marBottom w:val="0"/>
          <w:divBdr>
            <w:top w:val="none" w:sz="0" w:space="0" w:color="auto"/>
            <w:left w:val="none" w:sz="0" w:space="0" w:color="auto"/>
            <w:bottom w:val="none" w:sz="0" w:space="0" w:color="auto"/>
            <w:right w:val="none" w:sz="0" w:space="0" w:color="auto"/>
          </w:divBdr>
        </w:div>
        <w:div w:id="287663252">
          <w:marLeft w:val="0"/>
          <w:marRight w:val="0"/>
          <w:marTop w:val="0"/>
          <w:marBottom w:val="0"/>
          <w:divBdr>
            <w:top w:val="none" w:sz="0" w:space="0" w:color="auto"/>
            <w:left w:val="none" w:sz="0" w:space="0" w:color="auto"/>
            <w:bottom w:val="none" w:sz="0" w:space="0" w:color="auto"/>
            <w:right w:val="none" w:sz="0" w:space="0" w:color="auto"/>
          </w:divBdr>
        </w:div>
        <w:div w:id="865215269">
          <w:marLeft w:val="0"/>
          <w:marRight w:val="0"/>
          <w:marTop w:val="0"/>
          <w:marBottom w:val="0"/>
          <w:divBdr>
            <w:top w:val="none" w:sz="0" w:space="0" w:color="auto"/>
            <w:left w:val="none" w:sz="0" w:space="0" w:color="auto"/>
            <w:bottom w:val="none" w:sz="0" w:space="0" w:color="auto"/>
            <w:right w:val="none" w:sz="0" w:space="0" w:color="auto"/>
          </w:divBdr>
        </w:div>
      </w:divsChild>
    </w:div>
    <w:div w:id="1353608355">
      <w:bodyDiv w:val="1"/>
      <w:marLeft w:val="0"/>
      <w:marRight w:val="0"/>
      <w:marTop w:val="0"/>
      <w:marBottom w:val="0"/>
      <w:divBdr>
        <w:top w:val="none" w:sz="0" w:space="0" w:color="auto"/>
        <w:left w:val="none" w:sz="0" w:space="0" w:color="auto"/>
        <w:bottom w:val="none" w:sz="0" w:space="0" w:color="auto"/>
        <w:right w:val="none" w:sz="0" w:space="0" w:color="auto"/>
      </w:divBdr>
    </w:div>
    <w:div w:id="1356269386">
      <w:bodyDiv w:val="1"/>
      <w:marLeft w:val="0"/>
      <w:marRight w:val="0"/>
      <w:marTop w:val="0"/>
      <w:marBottom w:val="0"/>
      <w:divBdr>
        <w:top w:val="none" w:sz="0" w:space="0" w:color="auto"/>
        <w:left w:val="none" w:sz="0" w:space="0" w:color="auto"/>
        <w:bottom w:val="none" w:sz="0" w:space="0" w:color="auto"/>
        <w:right w:val="none" w:sz="0" w:space="0" w:color="auto"/>
      </w:divBdr>
      <w:divsChild>
        <w:div w:id="1521815602">
          <w:marLeft w:val="0"/>
          <w:marRight w:val="0"/>
          <w:marTop w:val="0"/>
          <w:marBottom w:val="0"/>
          <w:divBdr>
            <w:top w:val="none" w:sz="0" w:space="0" w:color="auto"/>
            <w:left w:val="none" w:sz="0" w:space="0" w:color="auto"/>
            <w:bottom w:val="none" w:sz="0" w:space="0" w:color="auto"/>
            <w:right w:val="none" w:sz="0" w:space="0" w:color="auto"/>
          </w:divBdr>
          <w:divsChild>
            <w:div w:id="243491946">
              <w:marLeft w:val="0"/>
              <w:marRight w:val="0"/>
              <w:marTop w:val="0"/>
              <w:marBottom w:val="165"/>
              <w:divBdr>
                <w:top w:val="none" w:sz="0" w:space="0" w:color="auto"/>
                <w:left w:val="none" w:sz="0" w:space="0" w:color="auto"/>
                <w:bottom w:val="none" w:sz="0" w:space="0" w:color="auto"/>
                <w:right w:val="none" w:sz="0" w:space="0" w:color="auto"/>
              </w:divBdr>
            </w:div>
          </w:divsChild>
        </w:div>
      </w:divsChild>
    </w:div>
    <w:div w:id="1420515802">
      <w:bodyDiv w:val="1"/>
      <w:marLeft w:val="0"/>
      <w:marRight w:val="0"/>
      <w:marTop w:val="0"/>
      <w:marBottom w:val="0"/>
      <w:divBdr>
        <w:top w:val="none" w:sz="0" w:space="0" w:color="auto"/>
        <w:left w:val="none" w:sz="0" w:space="0" w:color="auto"/>
        <w:bottom w:val="none" w:sz="0" w:space="0" w:color="auto"/>
        <w:right w:val="none" w:sz="0" w:space="0" w:color="auto"/>
      </w:divBdr>
    </w:div>
    <w:div w:id="1423183913">
      <w:bodyDiv w:val="1"/>
      <w:marLeft w:val="0"/>
      <w:marRight w:val="0"/>
      <w:marTop w:val="0"/>
      <w:marBottom w:val="0"/>
      <w:divBdr>
        <w:top w:val="none" w:sz="0" w:space="0" w:color="auto"/>
        <w:left w:val="none" w:sz="0" w:space="0" w:color="auto"/>
        <w:bottom w:val="none" w:sz="0" w:space="0" w:color="auto"/>
        <w:right w:val="none" w:sz="0" w:space="0" w:color="auto"/>
      </w:divBdr>
    </w:div>
    <w:div w:id="1435401114">
      <w:bodyDiv w:val="1"/>
      <w:marLeft w:val="0"/>
      <w:marRight w:val="0"/>
      <w:marTop w:val="0"/>
      <w:marBottom w:val="0"/>
      <w:divBdr>
        <w:top w:val="none" w:sz="0" w:space="0" w:color="auto"/>
        <w:left w:val="none" w:sz="0" w:space="0" w:color="auto"/>
        <w:bottom w:val="none" w:sz="0" w:space="0" w:color="auto"/>
        <w:right w:val="none" w:sz="0" w:space="0" w:color="auto"/>
      </w:divBdr>
    </w:div>
    <w:div w:id="1465392231">
      <w:bodyDiv w:val="1"/>
      <w:marLeft w:val="0"/>
      <w:marRight w:val="0"/>
      <w:marTop w:val="0"/>
      <w:marBottom w:val="0"/>
      <w:divBdr>
        <w:top w:val="none" w:sz="0" w:space="0" w:color="auto"/>
        <w:left w:val="none" w:sz="0" w:space="0" w:color="auto"/>
        <w:bottom w:val="none" w:sz="0" w:space="0" w:color="auto"/>
        <w:right w:val="none" w:sz="0" w:space="0" w:color="auto"/>
      </w:divBdr>
    </w:div>
    <w:div w:id="1465583842">
      <w:bodyDiv w:val="1"/>
      <w:marLeft w:val="0"/>
      <w:marRight w:val="0"/>
      <w:marTop w:val="0"/>
      <w:marBottom w:val="0"/>
      <w:divBdr>
        <w:top w:val="none" w:sz="0" w:space="0" w:color="auto"/>
        <w:left w:val="none" w:sz="0" w:space="0" w:color="auto"/>
        <w:bottom w:val="none" w:sz="0" w:space="0" w:color="auto"/>
        <w:right w:val="none" w:sz="0" w:space="0" w:color="auto"/>
      </w:divBdr>
    </w:div>
    <w:div w:id="1482766808">
      <w:bodyDiv w:val="1"/>
      <w:marLeft w:val="0"/>
      <w:marRight w:val="0"/>
      <w:marTop w:val="0"/>
      <w:marBottom w:val="0"/>
      <w:divBdr>
        <w:top w:val="none" w:sz="0" w:space="0" w:color="auto"/>
        <w:left w:val="none" w:sz="0" w:space="0" w:color="auto"/>
        <w:bottom w:val="none" w:sz="0" w:space="0" w:color="auto"/>
        <w:right w:val="none" w:sz="0" w:space="0" w:color="auto"/>
      </w:divBdr>
    </w:div>
    <w:div w:id="1498109716">
      <w:bodyDiv w:val="1"/>
      <w:marLeft w:val="0"/>
      <w:marRight w:val="0"/>
      <w:marTop w:val="0"/>
      <w:marBottom w:val="0"/>
      <w:divBdr>
        <w:top w:val="none" w:sz="0" w:space="0" w:color="auto"/>
        <w:left w:val="none" w:sz="0" w:space="0" w:color="auto"/>
        <w:bottom w:val="none" w:sz="0" w:space="0" w:color="auto"/>
        <w:right w:val="none" w:sz="0" w:space="0" w:color="auto"/>
      </w:divBdr>
    </w:div>
    <w:div w:id="1517495726">
      <w:bodyDiv w:val="1"/>
      <w:marLeft w:val="0"/>
      <w:marRight w:val="0"/>
      <w:marTop w:val="0"/>
      <w:marBottom w:val="0"/>
      <w:divBdr>
        <w:top w:val="none" w:sz="0" w:space="0" w:color="auto"/>
        <w:left w:val="none" w:sz="0" w:space="0" w:color="auto"/>
        <w:bottom w:val="none" w:sz="0" w:space="0" w:color="auto"/>
        <w:right w:val="none" w:sz="0" w:space="0" w:color="auto"/>
      </w:divBdr>
    </w:div>
    <w:div w:id="1529023957">
      <w:bodyDiv w:val="1"/>
      <w:marLeft w:val="0"/>
      <w:marRight w:val="0"/>
      <w:marTop w:val="0"/>
      <w:marBottom w:val="0"/>
      <w:divBdr>
        <w:top w:val="none" w:sz="0" w:space="0" w:color="auto"/>
        <w:left w:val="none" w:sz="0" w:space="0" w:color="auto"/>
        <w:bottom w:val="none" w:sz="0" w:space="0" w:color="auto"/>
        <w:right w:val="none" w:sz="0" w:space="0" w:color="auto"/>
      </w:divBdr>
    </w:div>
    <w:div w:id="1571428619">
      <w:bodyDiv w:val="1"/>
      <w:marLeft w:val="0"/>
      <w:marRight w:val="0"/>
      <w:marTop w:val="0"/>
      <w:marBottom w:val="0"/>
      <w:divBdr>
        <w:top w:val="none" w:sz="0" w:space="0" w:color="auto"/>
        <w:left w:val="none" w:sz="0" w:space="0" w:color="auto"/>
        <w:bottom w:val="none" w:sz="0" w:space="0" w:color="auto"/>
        <w:right w:val="none" w:sz="0" w:space="0" w:color="auto"/>
      </w:divBdr>
    </w:div>
    <w:div w:id="1574512073">
      <w:bodyDiv w:val="1"/>
      <w:marLeft w:val="0"/>
      <w:marRight w:val="0"/>
      <w:marTop w:val="0"/>
      <w:marBottom w:val="0"/>
      <w:divBdr>
        <w:top w:val="none" w:sz="0" w:space="0" w:color="auto"/>
        <w:left w:val="none" w:sz="0" w:space="0" w:color="auto"/>
        <w:bottom w:val="none" w:sz="0" w:space="0" w:color="auto"/>
        <w:right w:val="none" w:sz="0" w:space="0" w:color="auto"/>
      </w:divBdr>
      <w:divsChild>
        <w:div w:id="1840463028">
          <w:marLeft w:val="0"/>
          <w:marRight w:val="0"/>
          <w:marTop w:val="0"/>
          <w:marBottom w:val="0"/>
          <w:divBdr>
            <w:top w:val="none" w:sz="0" w:space="0" w:color="auto"/>
            <w:left w:val="none" w:sz="0" w:space="0" w:color="auto"/>
            <w:bottom w:val="none" w:sz="0" w:space="0" w:color="auto"/>
            <w:right w:val="none" w:sz="0" w:space="0" w:color="auto"/>
          </w:divBdr>
        </w:div>
        <w:div w:id="1748915659">
          <w:marLeft w:val="0"/>
          <w:marRight w:val="0"/>
          <w:marTop w:val="0"/>
          <w:marBottom w:val="0"/>
          <w:divBdr>
            <w:top w:val="none" w:sz="0" w:space="0" w:color="auto"/>
            <w:left w:val="none" w:sz="0" w:space="0" w:color="auto"/>
            <w:bottom w:val="none" w:sz="0" w:space="0" w:color="auto"/>
            <w:right w:val="none" w:sz="0" w:space="0" w:color="auto"/>
          </w:divBdr>
        </w:div>
      </w:divsChild>
    </w:div>
    <w:div w:id="1617718501">
      <w:bodyDiv w:val="1"/>
      <w:marLeft w:val="0"/>
      <w:marRight w:val="0"/>
      <w:marTop w:val="0"/>
      <w:marBottom w:val="0"/>
      <w:divBdr>
        <w:top w:val="none" w:sz="0" w:space="0" w:color="auto"/>
        <w:left w:val="none" w:sz="0" w:space="0" w:color="auto"/>
        <w:bottom w:val="none" w:sz="0" w:space="0" w:color="auto"/>
        <w:right w:val="none" w:sz="0" w:space="0" w:color="auto"/>
      </w:divBdr>
      <w:divsChild>
        <w:div w:id="1415778312">
          <w:marLeft w:val="0"/>
          <w:marRight w:val="0"/>
          <w:marTop w:val="0"/>
          <w:marBottom w:val="0"/>
          <w:divBdr>
            <w:top w:val="none" w:sz="0" w:space="0" w:color="auto"/>
            <w:left w:val="none" w:sz="0" w:space="0" w:color="auto"/>
            <w:bottom w:val="none" w:sz="0" w:space="0" w:color="auto"/>
            <w:right w:val="none" w:sz="0" w:space="0" w:color="auto"/>
          </w:divBdr>
          <w:divsChild>
            <w:div w:id="1783646705">
              <w:marLeft w:val="0"/>
              <w:marRight w:val="0"/>
              <w:marTop w:val="0"/>
              <w:marBottom w:val="0"/>
              <w:divBdr>
                <w:top w:val="none" w:sz="0" w:space="0" w:color="auto"/>
                <w:left w:val="none" w:sz="0" w:space="0" w:color="auto"/>
                <w:bottom w:val="none" w:sz="0" w:space="0" w:color="auto"/>
                <w:right w:val="none" w:sz="0" w:space="0" w:color="auto"/>
              </w:divBdr>
            </w:div>
            <w:div w:id="975333112">
              <w:marLeft w:val="0"/>
              <w:marRight w:val="0"/>
              <w:marTop w:val="0"/>
              <w:marBottom w:val="0"/>
              <w:divBdr>
                <w:top w:val="none" w:sz="0" w:space="0" w:color="auto"/>
                <w:left w:val="none" w:sz="0" w:space="0" w:color="auto"/>
                <w:bottom w:val="none" w:sz="0" w:space="0" w:color="auto"/>
                <w:right w:val="none" w:sz="0" w:space="0" w:color="auto"/>
              </w:divBdr>
              <w:divsChild>
                <w:div w:id="1942758911">
                  <w:marLeft w:val="0"/>
                  <w:marRight w:val="0"/>
                  <w:marTop w:val="0"/>
                  <w:marBottom w:val="0"/>
                  <w:divBdr>
                    <w:top w:val="none" w:sz="0" w:space="0" w:color="auto"/>
                    <w:left w:val="none" w:sz="0" w:space="0" w:color="auto"/>
                    <w:bottom w:val="none" w:sz="0" w:space="0" w:color="auto"/>
                    <w:right w:val="none" w:sz="0" w:space="0" w:color="auto"/>
                  </w:divBdr>
                  <w:divsChild>
                    <w:div w:id="1869751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6518986">
          <w:marLeft w:val="0"/>
          <w:marRight w:val="0"/>
          <w:marTop w:val="0"/>
          <w:marBottom w:val="0"/>
          <w:divBdr>
            <w:top w:val="none" w:sz="0" w:space="0" w:color="auto"/>
            <w:left w:val="none" w:sz="0" w:space="0" w:color="auto"/>
            <w:bottom w:val="none" w:sz="0" w:space="0" w:color="auto"/>
            <w:right w:val="none" w:sz="0" w:space="0" w:color="auto"/>
          </w:divBdr>
          <w:divsChild>
            <w:div w:id="1924758830">
              <w:marLeft w:val="0"/>
              <w:marRight w:val="0"/>
              <w:marTop w:val="0"/>
              <w:marBottom w:val="0"/>
              <w:divBdr>
                <w:top w:val="none" w:sz="0" w:space="0" w:color="auto"/>
                <w:left w:val="none" w:sz="0" w:space="0" w:color="auto"/>
                <w:bottom w:val="none" w:sz="0" w:space="0" w:color="auto"/>
                <w:right w:val="none" w:sz="0" w:space="0" w:color="auto"/>
              </w:divBdr>
              <w:divsChild>
                <w:div w:id="39862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82837">
      <w:bodyDiv w:val="1"/>
      <w:marLeft w:val="0"/>
      <w:marRight w:val="0"/>
      <w:marTop w:val="0"/>
      <w:marBottom w:val="0"/>
      <w:divBdr>
        <w:top w:val="none" w:sz="0" w:space="0" w:color="auto"/>
        <w:left w:val="none" w:sz="0" w:space="0" w:color="auto"/>
        <w:bottom w:val="none" w:sz="0" w:space="0" w:color="auto"/>
        <w:right w:val="none" w:sz="0" w:space="0" w:color="auto"/>
      </w:divBdr>
    </w:div>
    <w:div w:id="1639912687">
      <w:bodyDiv w:val="1"/>
      <w:marLeft w:val="0"/>
      <w:marRight w:val="0"/>
      <w:marTop w:val="0"/>
      <w:marBottom w:val="0"/>
      <w:divBdr>
        <w:top w:val="none" w:sz="0" w:space="0" w:color="auto"/>
        <w:left w:val="none" w:sz="0" w:space="0" w:color="auto"/>
        <w:bottom w:val="none" w:sz="0" w:space="0" w:color="auto"/>
        <w:right w:val="none" w:sz="0" w:space="0" w:color="auto"/>
      </w:divBdr>
    </w:div>
    <w:div w:id="1709724002">
      <w:bodyDiv w:val="1"/>
      <w:marLeft w:val="0"/>
      <w:marRight w:val="0"/>
      <w:marTop w:val="0"/>
      <w:marBottom w:val="0"/>
      <w:divBdr>
        <w:top w:val="none" w:sz="0" w:space="0" w:color="auto"/>
        <w:left w:val="none" w:sz="0" w:space="0" w:color="auto"/>
        <w:bottom w:val="none" w:sz="0" w:space="0" w:color="auto"/>
        <w:right w:val="none" w:sz="0" w:space="0" w:color="auto"/>
      </w:divBdr>
    </w:div>
    <w:div w:id="1781140619">
      <w:bodyDiv w:val="1"/>
      <w:marLeft w:val="0"/>
      <w:marRight w:val="0"/>
      <w:marTop w:val="0"/>
      <w:marBottom w:val="0"/>
      <w:divBdr>
        <w:top w:val="none" w:sz="0" w:space="0" w:color="auto"/>
        <w:left w:val="none" w:sz="0" w:space="0" w:color="auto"/>
        <w:bottom w:val="none" w:sz="0" w:space="0" w:color="auto"/>
        <w:right w:val="none" w:sz="0" w:space="0" w:color="auto"/>
      </w:divBdr>
      <w:divsChild>
        <w:div w:id="1686133232">
          <w:marLeft w:val="0"/>
          <w:marRight w:val="0"/>
          <w:marTop w:val="0"/>
          <w:marBottom w:val="0"/>
          <w:divBdr>
            <w:top w:val="none" w:sz="0" w:space="0" w:color="auto"/>
            <w:left w:val="none" w:sz="0" w:space="0" w:color="auto"/>
            <w:bottom w:val="none" w:sz="0" w:space="0" w:color="auto"/>
            <w:right w:val="none" w:sz="0" w:space="0" w:color="auto"/>
          </w:divBdr>
        </w:div>
      </w:divsChild>
    </w:div>
    <w:div w:id="1832596849">
      <w:bodyDiv w:val="1"/>
      <w:marLeft w:val="0"/>
      <w:marRight w:val="0"/>
      <w:marTop w:val="0"/>
      <w:marBottom w:val="0"/>
      <w:divBdr>
        <w:top w:val="none" w:sz="0" w:space="0" w:color="auto"/>
        <w:left w:val="none" w:sz="0" w:space="0" w:color="auto"/>
        <w:bottom w:val="none" w:sz="0" w:space="0" w:color="auto"/>
        <w:right w:val="none" w:sz="0" w:space="0" w:color="auto"/>
      </w:divBdr>
    </w:div>
    <w:div w:id="1839804245">
      <w:bodyDiv w:val="1"/>
      <w:marLeft w:val="0"/>
      <w:marRight w:val="0"/>
      <w:marTop w:val="0"/>
      <w:marBottom w:val="0"/>
      <w:divBdr>
        <w:top w:val="none" w:sz="0" w:space="0" w:color="auto"/>
        <w:left w:val="none" w:sz="0" w:space="0" w:color="auto"/>
        <w:bottom w:val="none" w:sz="0" w:space="0" w:color="auto"/>
        <w:right w:val="none" w:sz="0" w:space="0" w:color="auto"/>
      </w:divBdr>
      <w:divsChild>
        <w:div w:id="1934245651">
          <w:marLeft w:val="0"/>
          <w:marRight w:val="0"/>
          <w:marTop w:val="0"/>
          <w:marBottom w:val="0"/>
          <w:divBdr>
            <w:top w:val="none" w:sz="0" w:space="0" w:color="auto"/>
            <w:left w:val="none" w:sz="0" w:space="0" w:color="auto"/>
            <w:bottom w:val="none" w:sz="0" w:space="0" w:color="auto"/>
            <w:right w:val="none" w:sz="0" w:space="0" w:color="auto"/>
          </w:divBdr>
          <w:divsChild>
            <w:div w:id="2098011254">
              <w:marLeft w:val="0"/>
              <w:marRight w:val="0"/>
              <w:marTop w:val="0"/>
              <w:marBottom w:val="0"/>
              <w:divBdr>
                <w:top w:val="none" w:sz="0" w:space="0" w:color="auto"/>
                <w:left w:val="none" w:sz="0" w:space="0" w:color="auto"/>
                <w:bottom w:val="none" w:sz="0" w:space="0" w:color="auto"/>
                <w:right w:val="none" w:sz="0" w:space="0" w:color="auto"/>
              </w:divBdr>
              <w:divsChild>
                <w:div w:id="55013374">
                  <w:marLeft w:val="0"/>
                  <w:marRight w:val="0"/>
                  <w:marTop w:val="0"/>
                  <w:marBottom w:val="0"/>
                  <w:divBdr>
                    <w:top w:val="none" w:sz="0" w:space="0" w:color="auto"/>
                    <w:left w:val="none" w:sz="0" w:space="0" w:color="auto"/>
                    <w:bottom w:val="none" w:sz="0" w:space="0" w:color="auto"/>
                    <w:right w:val="none" w:sz="0" w:space="0" w:color="auto"/>
                  </w:divBdr>
                  <w:divsChild>
                    <w:div w:id="628320373">
                      <w:marLeft w:val="0"/>
                      <w:marRight w:val="0"/>
                      <w:marTop w:val="0"/>
                      <w:marBottom w:val="0"/>
                      <w:divBdr>
                        <w:top w:val="none" w:sz="0" w:space="0" w:color="auto"/>
                        <w:left w:val="none" w:sz="0" w:space="0" w:color="auto"/>
                        <w:bottom w:val="none" w:sz="0" w:space="0" w:color="auto"/>
                        <w:right w:val="none" w:sz="0" w:space="0" w:color="auto"/>
                      </w:divBdr>
                      <w:divsChild>
                        <w:div w:id="1087000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9095032">
          <w:marLeft w:val="0"/>
          <w:marRight w:val="0"/>
          <w:marTop w:val="0"/>
          <w:marBottom w:val="0"/>
          <w:divBdr>
            <w:top w:val="none" w:sz="0" w:space="0" w:color="auto"/>
            <w:left w:val="none" w:sz="0" w:space="0" w:color="auto"/>
            <w:bottom w:val="none" w:sz="0" w:space="0" w:color="auto"/>
            <w:right w:val="none" w:sz="0" w:space="0" w:color="auto"/>
          </w:divBdr>
          <w:divsChild>
            <w:div w:id="981078206">
              <w:marLeft w:val="0"/>
              <w:marRight w:val="0"/>
              <w:marTop w:val="0"/>
              <w:marBottom w:val="0"/>
              <w:divBdr>
                <w:top w:val="none" w:sz="0" w:space="0" w:color="auto"/>
                <w:left w:val="none" w:sz="0" w:space="0" w:color="auto"/>
                <w:bottom w:val="none" w:sz="0" w:space="0" w:color="auto"/>
                <w:right w:val="none" w:sz="0" w:space="0" w:color="auto"/>
              </w:divBdr>
              <w:divsChild>
                <w:div w:id="1492255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6438856">
      <w:bodyDiv w:val="1"/>
      <w:marLeft w:val="0"/>
      <w:marRight w:val="0"/>
      <w:marTop w:val="0"/>
      <w:marBottom w:val="0"/>
      <w:divBdr>
        <w:top w:val="none" w:sz="0" w:space="0" w:color="auto"/>
        <w:left w:val="none" w:sz="0" w:space="0" w:color="auto"/>
        <w:bottom w:val="none" w:sz="0" w:space="0" w:color="auto"/>
        <w:right w:val="none" w:sz="0" w:space="0" w:color="auto"/>
      </w:divBdr>
    </w:div>
    <w:div w:id="1902935292">
      <w:bodyDiv w:val="1"/>
      <w:marLeft w:val="0"/>
      <w:marRight w:val="0"/>
      <w:marTop w:val="0"/>
      <w:marBottom w:val="0"/>
      <w:divBdr>
        <w:top w:val="none" w:sz="0" w:space="0" w:color="auto"/>
        <w:left w:val="none" w:sz="0" w:space="0" w:color="auto"/>
        <w:bottom w:val="none" w:sz="0" w:space="0" w:color="auto"/>
        <w:right w:val="none" w:sz="0" w:space="0" w:color="auto"/>
      </w:divBdr>
    </w:div>
    <w:div w:id="1953436603">
      <w:bodyDiv w:val="1"/>
      <w:marLeft w:val="0"/>
      <w:marRight w:val="0"/>
      <w:marTop w:val="0"/>
      <w:marBottom w:val="0"/>
      <w:divBdr>
        <w:top w:val="none" w:sz="0" w:space="0" w:color="auto"/>
        <w:left w:val="none" w:sz="0" w:space="0" w:color="auto"/>
        <w:bottom w:val="none" w:sz="0" w:space="0" w:color="auto"/>
        <w:right w:val="none" w:sz="0" w:space="0" w:color="auto"/>
      </w:divBdr>
    </w:div>
    <w:div w:id="1980530247">
      <w:bodyDiv w:val="1"/>
      <w:marLeft w:val="0"/>
      <w:marRight w:val="0"/>
      <w:marTop w:val="0"/>
      <w:marBottom w:val="0"/>
      <w:divBdr>
        <w:top w:val="none" w:sz="0" w:space="0" w:color="auto"/>
        <w:left w:val="none" w:sz="0" w:space="0" w:color="auto"/>
        <w:bottom w:val="none" w:sz="0" w:space="0" w:color="auto"/>
        <w:right w:val="none" w:sz="0" w:space="0" w:color="auto"/>
      </w:divBdr>
      <w:divsChild>
        <w:div w:id="462625170">
          <w:marLeft w:val="0"/>
          <w:marRight w:val="0"/>
          <w:marTop w:val="0"/>
          <w:marBottom w:val="0"/>
          <w:divBdr>
            <w:top w:val="none" w:sz="0" w:space="0" w:color="auto"/>
            <w:left w:val="none" w:sz="0" w:space="0" w:color="auto"/>
            <w:bottom w:val="none" w:sz="0" w:space="0" w:color="auto"/>
            <w:right w:val="none" w:sz="0" w:space="0" w:color="auto"/>
          </w:divBdr>
          <w:divsChild>
            <w:div w:id="2031637791">
              <w:marLeft w:val="0"/>
              <w:marRight w:val="0"/>
              <w:marTop w:val="0"/>
              <w:marBottom w:val="0"/>
              <w:divBdr>
                <w:top w:val="none" w:sz="0" w:space="0" w:color="auto"/>
                <w:left w:val="none" w:sz="0" w:space="0" w:color="auto"/>
                <w:bottom w:val="none" w:sz="0" w:space="0" w:color="auto"/>
                <w:right w:val="none" w:sz="0" w:space="0" w:color="auto"/>
              </w:divBdr>
              <w:divsChild>
                <w:div w:id="212449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7852293">
      <w:bodyDiv w:val="1"/>
      <w:marLeft w:val="0"/>
      <w:marRight w:val="0"/>
      <w:marTop w:val="0"/>
      <w:marBottom w:val="0"/>
      <w:divBdr>
        <w:top w:val="none" w:sz="0" w:space="0" w:color="auto"/>
        <w:left w:val="none" w:sz="0" w:space="0" w:color="auto"/>
        <w:bottom w:val="none" w:sz="0" w:space="0" w:color="auto"/>
        <w:right w:val="none" w:sz="0" w:space="0" w:color="auto"/>
      </w:divBdr>
    </w:div>
    <w:div w:id="2118939171">
      <w:bodyDiv w:val="1"/>
      <w:marLeft w:val="0"/>
      <w:marRight w:val="0"/>
      <w:marTop w:val="0"/>
      <w:marBottom w:val="0"/>
      <w:divBdr>
        <w:top w:val="none" w:sz="0" w:space="0" w:color="auto"/>
        <w:left w:val="none" w:sz="0" w:space="0" w:color="auto"/>
        <w:bottom w:val="none" w:sz="0" w:space="0" w:color="auto"/>
        <w:right w:val="none" w:sz="0" w:space="0" w:color="auto"/>
      </w:divBdr>
    </w:div>
    <w:div w:id="2119635711">
      <w:bodyDiv w:val="1"/>
      <w:marLeft w:val="0"/>
      <w:marRight w:val="0"/>
      <w:marTop w:val="0"/>
      <w:marBottom w:val="0"/>
      <w:divBdr>
        <w:top w:val="none" w:sz="0" w:space="0" w:color="auto"/>
        <w:left w:val="none" w:sz="0" w:space="0" w:color="auto"/>
        <w:bottom w:val="none" w:sz="0" w:space="0" w:color="auto"/>
        <w:right w:val="none" w:sz="0" w:space="0" w:color="auto"/>
      </w:divBdr>
    </w:div>
    <w:div w:id="2124760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5543F9-3CC3-4585-80AB-F07F09F25B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25218</Words>
  <Characters>138699</Characters>
  <Application>Microsoft Office Word</Application>
  <DocSecurity>0</DocSecurity>
  <Lines>1155</Lines>
  <Paragraphs>327</Paragraphs>
  <ScaleCrop>false</ScaleCrop>
  <HeadingPairs>
    <vt:vector size="4" baseType="variant">
      <vt:variant>
        <vt:lpstr>Títol</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163590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UPF</dc:creator>
  <cp:lastModifiedBy>LUIS ALBERTO PEREZ JURADO</cp:lastModifiedBy>
  <cp:revision>2</cp:revision>
  <dcterms:created xsi:type="dcterms:W3CDTF">2022-08-23T21:49:00Z</dcterms:created>
  <dcterms:modified xsi:type="dcterms:W3CDTF">2022-08-23T21:49:00Z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b6321ea4-808d-3643-9a35-1640dd6f4c21</vt:lpwstr>
  </property>
  <property fmtid="{D5CDD505-2E9C-101B-9397-08002B2CF9AE}" pid="4" name="Mendeley Citation Style_1">
    <vt:lpwstr>http://www.zotero.org/styles/american-medical-association</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 6th edition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