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0A160" w14:textId="77777777" w:rsidR="00393BAB" w:rsidRDefault="00393BAB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793AAF66" w:rsidR="002C030F" w:rsidRDefault="004E4055" w:rsidP="003B40E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Immunobiology of a rationally-designed AAV2 capsid following intravitreal delivery in mice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230E4906" w14:textId="58005A20" w:rsidR="004E4055" w:rsidRPr="004E4055" w:rsidRDefault="004E4055" w:rsidP="004E4055">
      <w:pPr>
        <w:pStyle w:val="Author"/>
        <w:spacing w:line="480" w:lineRule="auto"/>
        <w:rPr>
          <w:rFonts w:cs="Times New Roman"/>
          <w:i w:val="0"/>
          <w:iCs/>
          <w:color w:val="000000" w:themeColor="text1"/>
          <w:sz w:val="22"/>
          <w:szCs w:val="22"/>
          <w:vertAlign w:val="superscript"/>
          <w:lang w:val="en-GB"/>
        </w:rPr>
      </w:pPr>
      <w:r w:rsidRPr="004E4055">
        <w:rPr>
          <w:rFonts w:cs="Times New Roman"/>
          <w:i w:val="0"/>
          <w:iCs/>
          <w:color w:val="000000" w:themeColor="text1"/>
          <w:sz w:val="22"/>
          <w:szCs w:val="22"/>
          <w:lang w:val="en-GB"/>
        </w:rPr>
        <w:t>Michael Whitehead*, Andrew Sage, Andrew Osborne, Patrick Yu-Wai-Man and Keith R Martin</w:t>
      </w:r>
    </w:p>
    <w:p w14:paraId="0648E06D" w14:textId="77777777" w:rsidR="000F0DCE" w:rsidRPr="004E4055" w:rsidRDefault="000F0DCE" w:rsidP="005001AC">
      <w:pPr>
        <w:jc w:val="center"/>
        <w:rPr>
          <w:szCs w:val="24"/>
          <w:lang w:val="en-GB"/>
        </w:rPr>
      </w:pPr>
    </w:p>
    <w:p w14:paraId="34D67477" w14:textId="487E4EA9" w:rsidR="004779CB" w:rsidRPr="00ED2CBE" w:rsidRDefault="00533910" w:rsidP="005001AC">
      <w:pPr>
        <w:jc w:val="center"/>
        <w:rPr>
          <w:sz w:val="20"/>
        </w:rPr>
      </w:pPr>
      <w:r w:rsidRPr="00ED2CBE">
        <w:rPr>
          <w:sz w:val="20"/>
        </w:rPr>
        <w:t>*</w:t>
      </w:r>
      <w:r w:rsidR="00E4519A" w:rsidRPr="00ED2CBE">
        <w:rPr>
          <w:sz w:val="20"/>
        </w:rPr>
        <w:t>Correspond</w:t>
      </w:r>
      <w:r w:rsidRPr="00ED2CBE">
        <w:rPr>
          <w:sz w:val="20"/>
        </w:rPr>
        <w:t>ing author</w:t>
      </w:r>
      <w:r w:rsidR="00392402" w:rsidRPr="00ED2CBE">
        <w:rPr>
          <w:sz w:val="20"/>
        </w:rPr>
        <w:t>. Email</w:t>
      </w:r>
      <w:r w:rsidR="004779CB" w:rsidRPr="00ED2CBE">
        <w:rPr>
          <w:sz w:val="20"/>
        </w:rPr>
        <w:t>:</w:t>
      </w:r>
      <w:r w:rsidR="00BC3E04" w:rsidRPr="00ED2CBE">
        <w:rPr>
          <w:sz w:val="20"/>
        </w:rPr>
        <w:t xml:space="preserve"> </w:t>
      </w:r>
      <w:hyperlink r:id="rId10" w:history="1">
        <w:r w:rsidR="004E4055">
          <w:rPr>
            <w:sz w:val="20"/>
          </w:rPr>
          <w:t>michael1</w:t>
        </w:r>
      </w:hyperlink>
      <w:r w:rsidR="004E4055">
        <w:rPr>
          <w:sz w:val="20"/>
        </w:rPr>
        <w:t>993whitehead@gmail.com</w:t>
      </w:r>
    </w:p>
    <w:p w14:paraId="050BA42C" w14:textId="77777777" w:rsidR="00ED2CBE" w:rsidRDefault="00ED2CBE" w:rsidP="00533910">
      <w:pPr>
        <w:pStyle w:val="PubInfo"/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4DB19C03" w14:textId="1DEBEF48" w:rsidR="00304D60" w:rsidRPr="00304D60" w:rsidRDefault="00304D60" w:rsidP="00304D60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Fig. S1.</w:t>
      </w:r>
    </w:p>
    <w:p w14:paraId="6FCC7306" w14:textId="77777777" w:rsidR="00304D60" w:rsidRDefault="00304D60">
      <w:pPr>
        <w:rPr>
          <w:b/>
        </w:rPr>
      </w:pPr>
    </w:p>
    <w:p w14:paraId="01C83C3C" w14:textId="77777777" w:rsidR="00304D60" w:rsidRDefault="00304D60">
      <w:pPr>
        <w:rPr>
          <w:b/>
        </w:rPr>
      </w:pPr>
    </w:p>
    <w:p w14:paraId="2A908349" w14:textId="6FEDA085" w:rsidR="00304D60" w:rsidRDefault="005F797B">
      <w:pPr>
        <w:rPr>
          <w:b/>
        </w:rPr>
      </w:pPr>
      <w:r>
        <w:rPr>
          <w:noProof/>
        </w:rPr>
        <w:drawing>
          <wp:inline distT="0" distB="0" distL="0" distR="0" wp14:anchorId="0A3409A7" wp14:editId="0962FE8C">
            <wp:extent cx="3915333" cy="3796182"/>
            <wp:effectExtent l="0" t="0" r="9525" b="0"/>
            <wp:docPr id="22" name="Picture 2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333" cy="379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846E9" w14:textId="77777777" w:rsidR="00304D60" w:rsidRDefault="00304D60">
      <w:pPr>
        <w:rPr>
          <w:b/>
        </w:rPr>
      </w:pPr>
    </w:p>
    <w:p w14:paraId="285698FF" w14:textId="77777777" w:rsidR="00304D60" w:rsidRDefault="00304D60">
      <w:pPr>
        <w:rPr>
          <w:b/>
        </w:rPr>
      </w:pPr>
    </w:p>
    <w:p w14:paraId="0D78F55E" w14:textId="10CA8044" w:rsidR="005F797B" w:rsidRPr="004E4055" w:rsidRDefault="00B129A4" w:rsidP="005F797B">
      <w:pPr>
        <w:pStyle w:val="SMcaption"/>
        <w:rPr>
          <w:lang w:val="en-GB"/>
        </w:rPr>
      </w:pPr>
      <w:r>
        <w:t xml:space="preserve">Fig. S1 - </w:t>
      </w:r>
      <w:r w:rsidR="005F797B" w:rsidRPr="004E4055">
        <w:t>Transduction of AAV2 (TM) in vitro.</w:t>
      </w:r>
      <w:r w:rsidR="005F797B">
        <w:t xml:space="preserve">  </w:t>
      </w:r>
      <w:r w:rsidR="005F797B" w:rsidRPr="004E4055">
        <w:t xml:space="preserve">(a) Representative images of GFP expression levels following a 24h incubation with the triple phosphodegron mutant AAV2 and WT AAV2 and Mock (DMEM-only).  Here, 5E7 VP/mL was used for the HEK-293T cell line, 2E8 VP/mL for the ARPE-19 cell line.  (b &amp; c) Flow cytometry analysis of GFP expression in (b) HEK-293T cells and (c) ARPE-19 cells.  A two-tailed Student’s t-test was used to assess statistical significance between groups.  **** = </w:t>
      </w:r>
      <w:r w:rsidR="005F797B" w:rsidRPr="004E4055">
        <w:rPr>
          <w:i/>
          <w:iCs/>
        </w:rPr>
        <w:t xml:space="preserve">p </w:t>
      </w:r>
      <w:r w:rsidR="005F797B" w:rsidRPr="004E4055">
        <w:t xml:space="preserve">&lt; 0.0001.  </w:t>
      </w:r>
    </w:p>
    <w:p w14:paraId="7FC81517" w14:textId="6E26A5EF" w:rsidR="002C030F" w:rsidRPr="00304D60" w:rsidRDefault="002C030F" w:rsidP="00304D60">
      <w:pPr>
        <w:ind w:left="720"/>
        <w:jc w:val="center"/>
        <w:rPr>
          <w:b/>
          <w:bCs/>
          <w:sz w:val="28"/>
          <w:szCs w:val="22"/>
        </w:rPr>
      </w:pPr>
      <w:r w:rsidRPr="00304D60">
        <w:rPr>
          <w:b/>
          <w:bCs/>
          <w:sz w:val="28"/>
          <w:szCs w:val="22"/>
        </w:rPr>
        <w:lastRenderedPageBreak/>
        <w:t>Fig</w:t>
      </w:r>
      <w:r w:rsidR="00A3403B" w:rsidRPr="00304D60">
        <w:rPr>
          <w:b/>
          <w:bCs/>
          <w:sz w:val="28"/>
          <w:szCs w:val="22"/>
        </w:rPr>
        <w:t xml:space="preserve">. </w:t>
      </w:r>
      <w:r w:rsidRPr="00304D60">
        <w:rPr>
          <w:b/>
          <w:bCs/>
          <w:sz w:val="28"/>
          <w:szCs w:val="22"/>
        </w:rPr>
        <w:t>S</w:t>
      </w:r>
      <w:r w:rsidR="00304D60">
        <w:rPr>
          <w:b/>
          <w:bCs/>
          <w:sz w:val="28"/>
          <w:szCs w:val="22"/>
        </w:rPr>
        <w:t>2</w:t>
      </w:r>
    </w:p>
    <w:p w14:paraId="56F29DC2" w14:textId="2EA7A18E" w:rsidR="008218C4" w:rsidRDefault="008218C4" w:rsidP="009A5287">
      <w:pPr>
        <w:pStyle w:val="SMText"/>
        <w:ind w:firstLine="0"/>
      </w:pPr>
      <w:bookmarkStart w:id="0" w:name="Tables"/>
      <w:bookmarkStart w:id="1" w:name="MaterialsMethods"/>
      <w:bookmarkEnd w:id="0"/>
      <w:bookmarkEnd w:id="1"/>
    </w:p>
    <w:p w14:paraId="29D453A1" w14:textId="14663ACB" w:rsidR="009A5287" w:rsidRDefault="009A5287" w:rsidP="00431B03">
      <w:pPr>
        <w:pStyle w:val="SMText"/>
        <w:ind w:firstLine="0"/>
      </w:pPr>
    </w:p>
    <w:p w14:paraId="6D50BBEF" w14:textId="591262A2" w:rsidR="00015F74" w:rsidRPr="00355362" w:rsidRDefault="007411A1" w:rsidP="00B9440A">
      <w:pPr>
        <w:pStyle w:val="SMHeading"/>
      </w:pPr>
      <w:r w:rsidRPr="00355362">
        <w:t>Fig. S</w:t>
      </w:r>
      <w:r w:rsidR="00304D60">
        <w:t>2</w:t>
      </w:r>
      <w:r w:rsidRPr="00355362">
        <w:t>.</w:t>
      </w:r>
    </w:p>
    <w:p w14:paraId="10BF7DE9" w14:textId="6B6D78C9" w:rsidR="00B9440A" w:rsidRDefault="005F797B" w:rsidP="00B9440A">
      <w:pPr>
        <w:pStyle w:val="SMcaption"/>
      </w:pPr>
      <w:r>
        <w:rPr>
          <w:noProof/>
        </w:rPr>
        <w:drawing>
          <wp:inline distT="0" distB="0" distL="0" distR="0" wp14:anchorId="61BFAC81" wp14:editId="37051127">
            <wp:extent cx="5943600" cy="415988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33414" w14:textId="7ADF609D" w:rsidR="005F797B" w:rsidRPr="00015F74" w:rsidRDefault="00B129A4" w:rsidP="00B9440A">
      <w:pPr>
        <w:pStyle w:val="SMcaption"/>
      </w:pPr>
      <w:r>
        <w:t xml:space="preserve">Fig. S2 </w:t>
      </w:r>
      <w:r w:rsidR="001B4909">
        <w:t>–</w:t>
      </w:r>
      <w:r>
        <w:t xml:space="preserve"> </w:t>
      </w:r>
      <w:r w:rsidR="001B4909">
        <w:t>Phosphodegron mutations were selected for assessment and introduced into AAV2 capsids.  Mice were injected bilaterally with 2E8 VG/eye</w:t>
      </w:r>
      <w:r w:rsidR="001150B2">
        <w:t>.  After three weeks, samples were collected for assessment after ERG.</w:t>
      </w:r>
    </w:p>
    <w:sectPr w:rsidR="005F797B" w:rsidRPr="00015F74" w:rsidSect="00E853D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028EF" w14:textId="77777777" w:rsidR="005D712F" w:rsidRDefault="005D712F">
      <w:r>
        <w:separator/>
      </w:r>
    </w:p>
  </w:endnote>
  <w:endnote w:type="continuationSeparator" w:id="0">
    <w:p w14:paraId="0D4BE9B9" w14:textId="77777777" w:rsidR="005D712F" w:rsidRDefault="005D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1CDA7" w14:textId="77777777" w:rsidR="005D712F" w:rsidRDefault="005D712F">
      <w:r>
        <w:separator/>
      </w:r>
    </w:p>
  </w:footnote>
  <w:footnote w:type="continuationSeparator" w:id="0">
    <w:p w14:paraId="40C580DE" w14:textId="77777777" w:rsidR="005D712F" w:rsidRDefault="005D7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2008342">
    <w:abstractNumId w:val="9"/>
  </w:num>
  <w:num w:numId="2" w16cid:durableId="1953974931">
    <w:abstractNumId w:val="7"/>
  </w:num>
  <w:num w:numId="3" w16cid:durableId="1284772403">
    <w:abstractNumId w:val="6"/>
  </w:num>
  <w:num w:numId="4" w16cid:durableId="1794403779">
    <w:abstractNumId w:val="5"/>
  </w:num>
  <w:num w:numId="5" w16cid:durableId="1056661564">
    <w:abstractNumId w:val="4"/>
  </w:num>
  <w:num w:numId="6" w16cid:durableId="1362634826">
    <w:abstractNumId w:val="8"/>
  </w:num>
  <w:num w:numId="7" w16cid:durableId="2096052866">
    <w:abstractNumId w:val="3"/>
  </w:num>
  <w:num w:numId="8" w16cid:durableId="1867788090">
    <w:abstractNumId w:val="2"/>
  </w:num>
  <w:num w:numId="9" w16cid:durableId="1586262752">
    <w:abstractNumId w:val="1"/>
  </w:num>
  <w:num w:numId="10" w16cid:durableId="565116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66D0C"/>
    <w:rsid w:val="00083B44"/>
    <w:rsid w:val="000850DC"/>
    <w:rsid w:val="000C07BF"/>
    <w:rsid w:val="000C2771"/>
    <w:rsid w:val="000D46F4"/>
    <w:rsid w:val="000F0DCE"/>
    <w:rsid w:val="000F6BE3"/>
    <w:rsid w:val="00112C5B"/>
    <w:rsid w:val="00114193"/>
    <w:rsid w:val="001150B2"/>
    <w:rsid w:val="00115A38"/>
    <w:rsid w:val="0011687B"/>
    <w:rsid w:val="00124F82"/>
    <w:rsid w:val="0016337A"/>
    <w:rsid w:val="00164269"/>
    <w:rsid w:val="001A1BDE"/>
    <w:rsid w:val="001B13CE"/>
    <w:rsid w:val="001B4909"/>
    <w:rsid w:val="001F0876"/>
    <w:rsid w:val="001F167C"/>
    <w:rsid w:val="001F5E91"/>
    <w:rsid w:val="002077B9"/>
    <w:rsid w:val="00262D72"/>
    <w:rsid w:val="00294FBB"/>
    <w:rsid w:val="002C030F"/>
    <w:rsid w:val="002F0FB6"/>
    <w:rsid w:val="00304D60"/>
    <w:rsid w:val="0031671A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1B03"/>
    <w:rsid w:val="00435ABE"/>
    <w:rsid w:val="004571D5"/>
    <w:rsid w:val="00461D81"/>
    <w:rsid w:val="0046356B"/>
    <w:rsid w:val="00477182"/>
    <w:rsid w:val="004779CB"/>
    <w:rsid w:val="004A6F57"/>
    <w:rsid w:val="004E4055"/>
    <w:rsid w:val="004E42D8"/>
    <w:rsid w:val="004E7BA2"/>
    <w:rsid w:val="004F7EDF"/>
    <w:rsid w:val="005001AC"/>
    <w:rsid w:val="00527D71"/>
    <w:rsid w:val="00533910"/>
    <w:rsid w:val="005520A8"/>
    <w:rsid w:val="005607DD"/>
    <w:rsid w:val="005A558C"/>
    <w:rsid w:val="005D712F"/>
    <w:rsid w:val="005E28F8"/>
    <w:rsid w:val="005E6513"/>
    <w:rsid w:val="005F797B"/>
    <w:rsid w:val="00607E8E"/>
    <w:rsid w:val="00632CA3"/>
    <w:rsid w:val="00651114"/>
    <w:rsid w:val="00664560"/>
    <w:rsid w:val="00670299"/>
    <w:rsid w:val="00691985"/>
    <w:rsid w:val="00697611"/>
    <w:rsid w:val="006A1B64"/>
    <w:rsid w:val="007108F5"/>
    <w:rsid w:val="00713E5B"/>
    <w:rsid w:val="007402FC"/>
    <w:rsid w:val="007411A1"/>
    <w:rsid w:val="00793072"/>
    <w:rsid w:val="007E2786"/>
    <w:rsid w:val="00807D35"/>
    <w:rsid w:val="008218C4"/>
    <w:rsid w:val="00867A98"/>
    <w:rsid w:val="00870867"/>
    <w:rsid w:val="00885C9B"/>
    <w:rsid w:val="008D5D2A"/>
    <w:rsid w:val="00914B63"/>
    <w:rsid w:val="009354F3"/>
    <w:rsid w:val="009447DC"/>
    <w:rsid w:val="00945471"/>
    <w:rsid w:val="00950234"/>
    <w:rsid w:val="00961BA5"/>
    <w:rsid w:val="009743A9"/>
    <w:rsid w:val="009A5287"/>
    <w:rsid w:val="009A7C5F"/>
    <w:rsid w:val="009B2AC5"/>
    <w:rsid w:val="009B7984"/>
    <w:rsid w:val="009F4BED"/>
    <w:rsid w:val="009F7D93"/>
    <w:rsid w:val="00A02E0C"/>
    <w:rsid w:val="00A3403B"/>
    <w:rsid w:val="00A51A12"/>
    <w:rsid w:val="00A53A78"/>
    <w:rsid w:val="00A627D4"/>
    <w:rsid w:val="00A74DA2"/>
    <w:rsid w:val="00A77632"/>
    <w:rsid w:val="00AB399E"/>
    <w:rsid w:val="00AC59D0"/>
    <w:rsid w:val="00AD16B1"/>
    <w:rsid w:val="00AD499C"/>
    <w:rsid w:val="00B129A4"/>
    <w:rsid w:val="00B36869"/>
    <w:rsid w:val="00B43B31"/>
    <w:rsid w:val="00B47CFA"/>
    <w:rsid w:val="00B574A3"/>
    <w:rsid w:val="00B57F00"/>
    <w:rsid w:val="00B63245"/>
    <w:rsid w:val="00B77B2A"/>
    <w:rsid w:val="00B82C22"/>
    <w:rsid w:val="00B93DBA"/>
    <w:rsid w:val="00B9440A"/>
    <w:rsid w:val="00BB2D2A"/>
    <w:rsid w:val="00BC290E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D3720"/>
    <w:rsid w:val="00CF1848"/>
    <w:rsid w:val="00CF5C2F"/>
    <w:rsid w:val="00D04BCF"/>
    <w:rsid w:val="00D11A56"/>
    <w:rsid w:val="00D143D9"/>
    <w:rsid w:val="00D30C95"/>
    <w:rsid w:val="00D51C15"/>
    <w:rsid w:val="00D5511B"/>
    <w:rsid w:val="00D60A0B"/>
    <w:rsid w:val="00D766F1"/>
    <w:rsid w:val="00DD2E17"/>
    <w:rsid w:val="00DF7D88"/>
    <w:rsid w:val="00E257C8"/>
    <w:rsid w:val="00E40A10"/>
    <w:rsid w:val="00E41512"/>
    <w:rsid w:val="00E4519A"/>
    <w:rsid w:val="00E853D5"/>
    <w:rsid w:val="00E9773B"/>
    <w:rsid w:val="00EA6F42"/>
    <w:rsid w:val="00EC13A3"/>
    <w:rsid w:val="00EC7C85"/>
    <w:rsid w:val="00ED2CBE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Author">
    <w:name w:val="Author"/>
    <w:basedOn w:val="Normal"/>
    <w:next w:val="Date"/>
    <w:rsid w:val="004E4055"/>
    <w:pPr>
      <w:widowControl w:val="0"/>
      <w:suppressAutoHyphens/>
      <w:autoSpaceDN w:val="0"/>
      <w:textAlignment w:val="baseline"/>
    </w:pPr>
    <w:rPr>
      <w:rFonts w:eastAsia="Lucida Sans Unicode" w:cs="Tahoma"/>
      <w:i/>
      <w:kern w:val="3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xxxxx@xxxx.xx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Michael Whitehead</cp:lastModifiedBy>
  <cp:revision>6</cp:revision>
  <cp:lastPrinted>2018-01-11T19:53:00Z</cp:lastPrinted>
  <dcterms:created xsi:type="dcterms:W3CDTF">2022-08-08T14:51:00Z</dcterms:created>
  <dcterms:modified xsi:type="dcterms:W3CDTF">2022-08-12T15:26:00Z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