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2E0CF" w14:textId="67796C87" w:rsidR="009C0FAF" w:rsidRDefault="009C0FAF" w:rsidP="009C0FAF">
      <w:pPr>
        <w:spacing w:line="480" w:lineRule="auto"/>
        <w:jc w:val="both"/>
        <w:rPr>
          <w:rFonts w:ascii="Arial" w:hAnsi="Arial" w:cs="Arial"/>
          <w:b/>
          <w:bCs/>
          <w:i/>
          <w:iCs/>
        </w:rPr>
      </w:pPr>
      <w:r>
        <w:rPr>
          <w:rFonts w:ascii="Arial" w:hAnsi="Arial" w:cs="Arial"/>
          <w:b/>
          <w:bCs/>
          <w:i/>
          <w:iCs/>
        </w:rPr>
        <w:t>Supplementary Methods:</w:t>
      </w:r>
    </w:p>
    <w:p w14:paraId="007EF4E4" w14:textId="77777777" w:rsidR="003F0C2C" w:rsidRPr="00474AF1" w:rsidRDefault="003F0C2C" w:rsidP="003F0C2C">
      <w:pPr>
        <w:spacing w:line="480" w:lineRule="auto"/>
        <w:jc w:val="both"/>
        <w:rPr>
          <w:rFonts w:ascii="Arial" w:hAnsi="Arial" w:cs="Arial"/>
          <w:b/>
        </w:rPr>
      </w:pPr>
      <w:r>
        <w:rPr>
          <w:rFonts w:ascii="Arial" w:hAnsi="Arial" w:cs="Arial"/>
          <w:b/>
        </w:rPr>
        <w:t xml:space="preserve">Search Strategy </w:t>
      </w:r>
    </w:p>
    <w:p w14:paraId="21857A10" w14:textId="77777777" w:rsidR="003F0C2C" w:rsidRDefault="003F0C2C" w:rsidP="003F0C2C">
      <w:pPr>
        <w:spacing w:line="480" w:lineRule="auto"/>
        <w:jc w:val="both"/>
        <w:rPr>
          <w:rFonts w:ascii="Arial" w:hAnsi="Arial" w:cs="Arial"/>
        </w:rPr>
      </w:pPr>
      <w:r>
        <w:rPr>
          <w:rFonts w:ascii="Arial" w:hAnsi="Arial" w:cs="Arial"/>
        </w:rPr>
        <w:t>S</w:t>
      </w:r>
      <w:r w:rsidRPr="00233B1A">
        <w:rPr>
          <w:rFonts w:ascii="Arial" w:hAnsi="Arial" w:cs="Arial"/>
        </w:rPr>
        <w:t xml:space="preserve">earch terms </w:t>
      </w:r>
      <w:r>
        <w:rPr>
          <w:rFonts w:ascii="Arial" w:hAnsi="Arial" w:cs="Arial"/>
        </w:rPr>
        <w:t>comprised of two categories</w:t>
      </w:r>
      <w:r w:rsidRPr="00233B1A">
        <w:rPr>
          <w:rFonts w:ascii="Arial" w:hAnsi="Arial" w:cs="Arial"/>
        </w:rPr>
        <w:t xml:space="preserve">: 1) cannabis, marijuana, marihuana, </w:t>
      </w:r>
      <w:r>
        <w:rPr>
          <w:rFonts w:ascii="Arial" w:hAnsi="Arial" w:cs="Arial"/>
        </w:rPr>
        <w:t>CBD</w:t>
      </w:r>
      <w:r w:rsidRPr="00233B1A">
        <w:rPr>
          <w:rFonts w:ascii="Arial" w:hAnsi="Arial" w:cs="Arial"/>
        </w:rPr>
        <w:t xml:space="preserve">, </w:t>
      </w:r>
      <w:r>
        <w:rPr>
          <w:rFonts w:ascii="Arial" w:hAnsi="Arial" w:cs="Arial"/>
        </w:rPr>
        <w:t>cannabidiol</w:t>
      </w:r>
      <w:r w:rsidRPr="00233B1A">
        <w:rPr>
          <w:rFonts w:ascii="Arial" w:hAnsi="Arial" w:cs="Arial"/>
        </w:rPr>
        <w:t xml:space="preserve"> and 2) fMRI, functional magnetic resonance, imaging, magnetic resonance, MRI, single photon emission tomography, SPECT, positron emission tomography, PET, perfusion, blood flow, ASL. Boolean Operator</w:t>
      </w:r>
      <w:r>
        <w:rPr>
          <w:rFonts w:ascii="Arial" w:hAnsi="Arial" w:cs="Arial"/>
        </w:rPr>
        <w:t xml:space="preserve">s were used to combine the categories. The search was restricted to </w:t>
      </w:r>
      <w:r w:rsidRPr="00233B1A">
        <w:rPr>
          <w:rFonts w:ascii="Arial" w:hAnsi="Arial" w:cs="Arial"/>
        </w:rPr>
        <w:t xml:space="preserve">titles and abstracts </w:t>
      </w:r>
      <w:r>
        <w:rPr>
          <w:rFonts w:ascii="Arial" w:hAnsi="Arial" w:cs="Arial"/>
        </w:rPr>
        <w:t>across</w:t>
      </w:r>
      <w:r w:rsidRPr="00233B1A">
        <w:rPr>
          <w:rFonts w:ascii="Arial" w:hAnsi="Arial" w:cs="Arial"/>
        </w:rPr>
        <w:t xml:space="preserve"> studies</w:t>
      </w:r>
      <w:r>
        <w:rPr>
          <w:rFonts w:ascii="Arial" w:hAnsi="Arial" w:cs="Arial"/>
        </w:rPr>
        <w:t xml:space="preserve"> in humans. </w:t>
      </w:r>
    </w:p>
    <w:p w14:paraId="18A88A3D" w14:textId="77777777" w:rsidR="003F0C2C" w:rsidRDefault="003F0C2C" w:rsidP="003F0C2C">
      <w:pPr>
        <w:spacing w:line="480" w:lineRule="auto"/>
        <w:jc w:val="both"/>
        <w:rPr>
          <w:rFonts w:ascii="Arial" w:hAnsi="Arial" w:cs="Arial"/>
        </w:rPr>
      </w:pPr>
      <w:r>
        <w:rPr>
          <w:rFonts w:ascii="Arial" w:hAnsi="Arial" w:cs="Arial"/>
        </w:rPr>
        <w:t>The literature</w:t>
      </w:r>
      <w:r w:rsidRPr="00233B1A">
        <w:rPr>
          <w:rFonts w:ascii="Arial" w:hAnsi="Arial" w:cs="Arial"/>
        </w:rPr>
        <w:t xml:space="preserve"> search and </w:t>
      </w:r>
      <w:r>
        <w:rPr>
          <w:rFonts w:ascii="Arial" w:hAnsi="Arial" w:cs="Arial"/>
        </w:rPr>
        <w:t xml:space="preserve">data </w:t>
      </w:r>
      <w:r w:rsidRPr="00233B1A">
        <w:rPr>
          <w:rFonts w:ascii="Arial" w:hAnsi="Arial" w:cs="Arial"/>
        </w:rPr>
        <w:t>extraction</w:t>
      </w:r>
      <w:r>
        <w:rPr>
          <w:rFonts w:ascii="Arial" w:hAnsi="Arial" w:cs="Arial"/>
        </w:rPr>
        <w:t xml:space="preserve"> were conducted </w:t>
      </w:r>
      <w:r w:rsidRPr="00233B1A">
        <w:rPr>
          <w:rFonts w:ascii="Arial" w:hAnsi="Arial" w:cs="Arial"/>
        </w:rPr>
        <w:t>independently</w:t>
      </w:r>
      <w:r>
        <w:rPr>
          <w:rFonts w:ascii="Arial" w:hAnsi="Arial" w:cs="Arial"/>
        </w:rPr>
        <w:t xml:space="preserve"> by two </w:t>
      </w:r>
      <w:r w:rsidRPr="00233B1A">
        <w:rPr>
          <w:rFonts w:ascii="Arial" w:hAnsi="Arial" w:cs="Arial"/>
        </w:rPr>
        <w:t>researchers</w:t>
      </w:r>
      <w:r>
        <w:rPr>
          <w:rFonts w:ascii="Arial" w:hAnsi="Arial" w:cs="Arial"/>
        </w:rPr>
        <w:t>. In the instance of any discrepancies, a senior investigator was consulted. T</w:t>
      </w:r>
      <w:r w:rsidRPr="00233B1A">
        <w:rPr>
          <w:rFonts w:ascii="Arial" w:hAnsi="Arial" w:cs="Arial"/>
        </w:rPr>
        <w:t xml:space="preserve">he final literature search </w:t>
      </w:r>
      <w:r>
        <w:rPr>
          <w:rFonts w:ascii="Arial" w:hAnsi="Arial" w:cs="Arial"/>
        </w:rPr>
        <w:t xml:space="preserve">was </w:t>
      </w:r>
      <w:r w:rsidRPr="00233B1A">
        <w:rPr>
          <w:rFonts w:ascii="Arial" w:hAnsi="Arial" w:cs="Arial"/>
        </w:rPr>
        <w:t xml:space="preserve">conducted on </w:t>
      </w:r>
      <w:r>
        <w:rPr>
          <w:rFonts w:ascii="Arial" w:hAnsi="Arial" w:cs="Arial"/>
        </w:rPr>
        <w:t>21</w:t>
      </w:r>
      <w:r w:rsidRPr="00233B1A">
        <w:rPr>
          <w:rFonts w:ascii="Arial" w:hAnsi="Arial" w:cs="Arial"/>
        </w:rPr>
        <w:t>/</w:t>
      </w:r>
      <w:r>
        <w:rPr>
          <w:rFonts w:ascii="Arial" w:hAnsi="Arial" w:cs="Arial"/>
        </w:rPr>
        <w:t>07</w:t>
      </w:r>
      <w:r w:rsidRPr="00233B1A">
        <w:rPr>
          <w:rFonts w:ascii="Arial" w:hAnsi="Arial" w:cs="Arial"/>
        </w:rPr>
        <w:t>/</w:t>
      </w:r>
      <w:r>
        <w:rPr>
          <w:rFonts w:ascii="Arial" w:hAnsi="Arial" w:cs="Arial"/>
        </w:rPr>
        <w:t>21</w:t>
      </w:r>
      <w:r w:rsidRPr="00233B1A">
        <w:rPr>
          <w:rFonts w:ascii="Arial" w:hAnsi="Arial" w:cs="Arial"/>
        </w:rPr>
        <w:t>.</w:t>
      </w:r>
    </w:p>
    <w:p w14:paraId="14CBFDA6" w14:textId="77777777" w:rsidR="003F0C2C" w:rsidRPr="00474AF1" w:rsidRDefault="003F0C2C" w:rsidP="003F0C2C">
      <w:pPr>
        <w:spacing w:line="480" w:lineRule="auto"/>
        <w:jc w:val="both"/>
        <w:rPr>
          <w:rFonts w:ascii="Arial" w:hAnsi="Arial" w:cs="Arial"/>
          <w:b/>
          <w:bCs/>
        </w:rPr>
      </w:pPr>
      <w:r>
        <w:rPr>
          <w:rFonts w:ascii="Arial" w:hAnsi="Arial" w:cs="Arial"/>
          <w:b/>
          <w:bCs/>
        </w:rPr>
        <w:t>Eligibility Criteria</w:t>
      </w:r>
    </w:p>
    <w:p w14:paraId="70CE7CF7" w14:textId="77777777" w:rsidR="003F0C2C" w:rsidRDefault="003F0C2C" w:rsidP="003F0C2C">
      <w:pPr>
        <w:spacing w:line="480" w:lineRule="auto"/>
        <w:jc w:val="both"/>
        <w:rPr>
          <w:rFonts w:ascii="Arial" w:hAnsi="Arial" w:cs="Arial"/>
        </w:rPr>
      </w:pPr>
      <w:r>
        <w:rPr>
          <w:rFonts w:ascii="Arial" w:hAnsi="Arial" w:cs="Arial"/>
        </w:rPr>
        <w:t xml:space="preserve">Studies that investigated functional connectivity or brain chemistry (e.g., </w:t>
      </w:r>
      <w:r w:rsidRPr="00233B1A">
        <w:rPr>
          <w:rFonts w:ascii="Arial" w:hAnsi="Arial" w:cs="Arial"/>
        </w:rPr>
        <w:t>Magnetic Resonance Spectroscopy</w:t>
      </w:r>
      <w:r>
        <w:rPr>
          <w:rFonts w:ascii="Arial" w:hAnsi="Arial" w:cs="Arial"/>
        </w:rPr>
        <w:t xml:space="preserve">) were excluded. Studies that investigated the effects of a sustained dose of CBD, that is a non-acute dose, were also excluded along with those that </w:t>
      </w:r>
      <w:r w:rsidRPr="00233B1A">
        <w:rPr>
          <w:rFonts w:ascii="Arial" w:hAnsi="Arial" w:cs="Arial"/>
        </w:rPr>
        <w:t>primarily assessed psychological effects</w:t>
      </w:r>
      <w:r>
        <w:rPr>
          <w:rFonts w:ascii="Arial" w:hAnsi="Arial" w:cs="Arial"/>
        </w:rPr>
        <w:t xml:space="preserve"> without neuroimaging</w:t>
      </w:r>
      <w:r w:rsidRPr="00233B1A">
        <w:rPr>
          <w:rFonts w:ascii="Arial" w:hAnsi="Arial" w:cs="Arial"/>
        </w:rPr>
        <w:t>.</w:t>
      </w:r>
      <w:r>
        <w:rPr>
          <w:rFonts w:ascii="Arial" w:hAnsi="Arial" w:cs="Arial"/>
        </w:rPr>
        <w:t xml:space="preserve"> The results of studies that reported the effects of CBD using different cognitive paradigms on the same group of subjects were treated as independent and were included. </w:t>
      </w:r>
    </w:p>
    <w:p w14:paraId="3C9D0601" w14:textId="77777777" w:rsidR="003F0C2C" w:rsidRDefault="003F0C2C" w:rsidP="003F0C2C">
      <w:pPr>
        <w:spacing w:line="480" w:lineRule="auto"/>
        <w:jc w:val="both"/>
        <w:rPr>
          <w:rFonts w:ascii="Arial" w:hAnsi="Arial" w:cs="Arial"/>
          <w:b/>
          <w:bCs/>
        </w:rPr>
      </w:pPr>
      <w:r>
        <w:rPr>
          <w:rFonts w:ascii="Arial" w:hAnsi="Arial" w:cs="Arial"/>
          <w:b/>
          <w:bCs/>
        </w:rPr>
        <w:t>Data analysis</w:t>
      </w:r>
    </w:p>
    <w:p w14:paraId="6EFC36BE" w14:textId="1EA664DE" w:rsidR="003F0C2C" w:rsidRDefault="003F0C2C" w:rsidP="003F0C2C">
      <w:pPr>
        <w:spacing w:line="480" w:lineRule="auto"/>
        <w:jc w:val="both"/>
        <w:rPr>
          <w:rFonts w:ascii="Arial" w:hAnsi="Arial" w:cs="Arial"/>
        </w:rPr>
      </w:pPr>
      <w:r>
        <w:rPr>
          <w:rFonts w:ascii="Arial" w:hAnsi="Arial" w:cs="Arial"/>
        </w:rPr>
        <w:t>A map of Q</w:t>
      </w:r>
      <w:r>
        <w:rPr>
          <w:rFonts w:ascii="Arial" w:hAnsi="Arial" w:cs="Arial"/>
          <w:vertAlign w:val="subscript"/>
        </w:rPr>
        <w:t xml:space="preserve">H </w:t>
      </w:r>
      <w:r>
        <w:rPr>
          <w:rFonts w:ascii="Arial" w:hAnsi="Arial" w:cs="Arial"/>
        </w:rPr>
        <w:t xml:space="preserve">statistics, created from standard z values derived from a chi-square distribution, was overlaid on the map of the main findings for </w:t>
      </w:r>
      <w:r w:rsidRPr="00B90E13">
        <w:rPr>
          <w:rFonts w:ascii="Arial" w:hAnsi="Arial" w:cs="Arial"/>
        </w:rPr>
        <w:t xml:space="preserve">visual inspection of </w:t>
      </w:r>
      <w:r>
        <w:rPr>
          <w:rFonts w:ascii="Arial" w:hAnsi="Arial" w:cs="Arial"/>
        </w:rPr>
        <w:t xml:space="preserve">overlapping </w:t>
      </w:r>
      <w:r w:rsidRPr="00B90E13">
        <w:rPr>
          <w:rFonts w:ascii="Arial" w:hAnsi="Arial" w:cs="Arial"/>
        </w:rPr>
        <w:t>areas of heterogeneity</w:t>
      </w:r>
      <w:r>
        <w:rPr>
          <w:rFonts w:ascii="Arial" w:hAnsi="Arial" w:cs="Arial"/>
        </w:rPr>
        <w:t xml:space="preserve">. </w:t>
      </w:r>
      <w:r w:rsidRPr="00233B1A">
        <w:rPr>
          <w:rFonts w:ascii="Arial" w:hAnsi="Arial" w:cs="Arial"/>
        </w:rPr>
        <w:t>Egger’s test</w:t>
      </w:r>
      <w:r>
        <w:rPr>
          <w:rFonts w:ascii="Arial" w:hAnsi="Arial" w:cs="Arial"/>
        </w:rPr>
        <w:t xml:space="preserve"> was conducted for all </w:t>
      </w:r>
      <w:r w:rsidRPr="00233B1A">
        <w:rPr>
          <w:rFonts w:ascii="Arial" w:hAnsi="Arial" w:cs="Arial"/>
        </w:rPr>
        <w:t>significant cluster</w:t>
      </w:r>
      <w:r>
        <w:rPr>
          <w:rFonts w:ascii="Arial" w:hAnsi="Arial" w:cs="Arial"/>
        </w:rPr>
        <w:t xml:space="preserve">s to assess the </w:t>
      </w:r>
      <w:r w:rsidRPr="00233B1A">
        <w:rPr>
          <w:rFonts w:ascii="Arial" w:hAnsi="Arial" w:cs="Arial"/>
        </w:rPr>
        <w:t xml:space="preserve">asymmetry of funnel plots to examine </w:t>
      </w:r>
      <w:r>
        <w:rPr>
          <w:rFonts w:ascii="Arial" w:hAnsi="Arial" w:cs="Arial"/>
        </w:rPr>
        <w:t xml:space="preserve">for </w:t>
      </w:r>
      <w:r w:rsidRPr="00233B1A">
        <w:rPr>
          <w:rFonts w:ascii="Arial" w:hAnsi="Arial" w:cs="Arial"/>
        </w:rPr>
        <w:t>potential publication bias</w:t>
      </w:r>
      <w:r>
        <w:rPr>
          <w:rFonts w:ascii="Arial" w:hAnsi="Arial" w:cs="Arial"/>
        </w:rPr>
        <w:t xml:space="preserve"> </w:t>
      </w:r>
      <w:r w:rsidRPr="00233B1A">
        <w:rPr>
          <w:rFonts w:ascii="Arial" w:hAnsi="Arial" w:cs="Arial"/>
        </w:rPr>
        <w:fldChar w:fldCharType="begin" w:fldLock="1"/>
      </w:r>
      <w:r w:rsidR="00317597">
        <w:rPr>
          <w:rFonts w:ascii="Arial" w:hAnsi="Arial" w:cs="Arial"/>
        </w:rPr>
        <w:instrText>ADDIN CSL_CITATION {"citationItems":[{"id":"ITEM-1","itemData":{"DOI":"10.1136/bmj.315.7109.629","ISSN":"09598146","PMID":"9310563","abstract":"Objective: Funnel plots (plots of effect estimates against sample size) may be useful to detect bias in meta-analyses that were later contradicted by large trials. We examined whether a simple test of asymmetry of funnel plots predicts discordance of results when meta-analyses are compared to large trials, and we assessed the prevalence of bias in published meta-analyses. Design: Medline search to identify pairs consisting of a meta-analysis and a single large trial (concordance of results was assumed if effects were in the same direction and the meta-analytic estimate was within 30% of the trial); analysis of funnel plots from 37 meta-analyses identified from a hand search of four leading general medicine journals 1993-6 and 38 meta-analyses from the second 1996 issue of the Cochrane Database of Systematic Reviews. Main outcome measure: Degree of funnel plot asymmetry as measured by the intercept from regression of standard normal deviates against precision. Results: In the eight pairs of meta-analysis and large trial that were identified (five from cardiovascular medicine, one from diabetic medicine, one from geriatric medicine, one from perinatal medicine) there were four concordant and four discordant pairs. In all cases discordance was due to meta-analyses showing larger effects. Funnel plot asymmetry was present in three out of four discordant pairs but in none of concordant pairs. In 14 (38%) journal meta-analyses and 5 (13%) Cochrane reviews, funnel plot asymmetry indicated that there was bias. Conclusions: A simple analysis of funnel plots provides a useful test for the likely presence of bias in meta-analyses, but as the capacity to detect bias will be limited when meta-analyses are based on a limited number of small trials the results from such analyses should be treated with considerable caution.","author":[{"dropping-particle":"","family":"Egger","given":"Matthias","non-dropping-particle":"","parse-names":false,"suffix":""},{"dropping-particle":"","family":"Smith","given":"George Davey","non-dropping-particle":"","parse-names":false,"suffix":""},{"dropping-particle":"","family":"Schneider","given":"Martin","non-dropping-particle":"","parse-names":false,"suffix":""},{"dropping-particle":"","family":"Minder","given":"Christoph","non-dropping-particle":"","parse-names":false,"suffix":""}],"container-title":"British Medical Journal","id":"ITEM-1","issue":"7109","issued":{"date-parts":[["1997"]]},"page":"629-634","publisher":"BMJ Publishing Group","title":"Bias in meta-analysis detected by a simple, graphical test","type":"article-journal","volume":"315"},"uris":["http://www.mendeley.com/documents/?uuid=d9f081d6-31c6-318e-881d-871051c09ca2"]}],"mendeley":{"formattedCitation":"(Egger &lt;i&gt;et al.&lt;/i&gt;, 1997)","plainTextFormattedCitation":"(Egger et al., 1997)","previouslyFormattedCitation":"(1)"},"properties":{"noteIndex":0},"schema":"https://github.com/citation-style-language/schema/raw/master/csl-citation.json"}</w:instrText>
      </w:r>
      <w:r w:rsidRPr="00233B1A">
        <w:rPr>
          <w:rFonts w:ascii="Arial" w:hAnsi="Arial" w:cs="Arial"/>
        </w:rPr>
        <w:fldChar w:fldCharType="separate"/>
      </w:r>
      <w:r w:rsidR="00317597" w:rsidRPr="00317597">
        <w:rPr>
          <w:rFonts w:ascii="Arial" w:hAnsi="Arial" w:cs="Arial"/>
          <w:noProof/>
        </w:rPr>
        <w:t xml:space="preserve">(Egger </w:t>
      </w:r>
      <w:r w:rsidR="00317597" w:rsidRPr="00317597">
        <w:rPr>
          <w:rFonts w:ascii="Arial" w:hAnsi="Arial" w:cs="Arial"/>
          <w:i/>
          <w:noProof/>
        </w:rPr>
        <w:t>et al.</w:t>
      </w:r>
      <w:r w:rsidR="00317597" w:rsidRPr="00317597">
        <w:rPr>
          <w:rFonts w:ascii="Arial" w:hAnsi="Arial" w:cs="Arial"/>
          <w:noProof/>
        </w:rPr>
        <w:t>, 1997)</w:t>
      </w:r>
      <w:r w:rsidRPr="00233B1A">
        <w:rPr>
          <w:rFonts w:ascii="Arial" w:hAnsi="Arial" w:cs="Arial"/>
        </w:rPr>
        <w:fldChar w:fldCharType="end"/>
      </w:r>
      <w:r>
        <w:rPr>
          <w:rFonts w:ascii="Arial" w:hAnsi="Arial" w:cs="Arial"/>
        </w:rPr>
        <w:t xml:space="preserve">. </w:t>
      </w:r>
      <w:r w:rsidRPr="0022175B">
        <w:rPr>
          <w:rFonts w:ascii="Arial" w:hAnsi="Arial" w:cs="Arial"/>
        </w:rPr>
        <w:t xml:space="preserve">This was conducted to </w:t>
      </w:r>
      <w:r>
        <w:rPr>
          <w:rFonts w:ascii="Arial" w:hAnsi="Arial" w:cs="Arial"/>
        </w:rPr>
        <w:t>evaluate</w:t>
      </w:r>
      <w:r w:rsidRPr="0022175B">
        <w:rPr>
          <w:rFonts w:ascii="Arial" w:hAnsi="Arial" w:cs="Arial"/>
        </w:rPr>
        <w:t xml:space="preserve"> </w:t>
      </w:r>
      <w:r>
        <w:rPr>
          <w:rFonts w:ascii="Arial" w:hAnsi="Arial" w:cs="Arial"/>
        </w:rPr>
        <w:t xml:space="preserve">the effect-sizes of small </w:t>
      </w:r>
      <w:r w:rsidRPr="0022175B">
        <w:rPr>
          <w:rFonts w:ascii="Arial" w:hAnsi="Arial" w:cs="Arial"/>
        </w:rPr>
        <w:t xml:space="preserve">or imprecise studies. </w:t>
      </w:r>
      <w:r>
        <w:rPr>
          <w:rFonts w:ascii="Arial" w:hAnsi="Arial" w:cs="Arial"/>
        </w:rPr>
        <w:t>While large studies are likely to be published even with negative findings, small studies with negative results may be less likely to be published. J</w:t>
      </w:r>
      <w:r w:rsidRPr="00233B1A">
        <w:rPr>
          <w:rFonts w:ascii="Arial" w:hAnsi="Arial" w:cs="Arial"/>
        </w:rPr>
        <w:t xml:space="preserve">ack-knife </w:t>
      </w:r>
      <w:r>
        <w:rPr>
          <w:rFonts w:ascii="Arial" w:hAnsi="Arial" w:cs="Arial"/>
        </w:rPr>
        <w:t xml:space="preserve">leave-one-out </w:t>
      </w:r>
      <w:r w:rsidRPr="00233B1A">
        <w:rPr>
          <w:rFonts w:ascii="Arial" w:hAnsi="Arial" w:cs="Arial"/>
        </w:rPr>
        <w:t>sensitivity analysis</w:t>
      </w:r>
      <w:r>
        <w:rPr>
          <w:rFonts w:ascii="Arial" w:hAnsi="Arial" w:cs="Arial"/>
        </w:rPr>
        <w:t xml:space="preserve"> was conducted </w:t>
      </w:r>
      <w:r w:rsidRPr="00233B1A">
        <w:rPr>
          <w:rFonts w:ascii="Arial" w:hAnsi="Arial" w:cs="Arial"/>
        </w:rPr>
        <w:t xml:space="preserve">to </w:t>
      </w:r>
      <w:r>
        <w:rPr>
          <w:rFonts w:ascii="Arial" w:hAnsi="Arial" w:cs="Arial"/>
        </w:rPr>
        <w:lastRenderedPageBreak/>
        <w:t>evaluate</w:t>
      </w:r>
      <w:r w:rsidRPr="00233B1A">
        <w:rPr>
          <w:rFonts w:ascii="Arial" w:hAnsi="Arial" w:cs="Arial"/>
        </w:rPr>
        <w:t xml:space="preserve"> whether each cluster remained </w:t>
      </w:r>
      <w:r>
        <w:rPr>
          <w:rFonts w:ascii="Arial" w:hAnsi="Arial" w:cs="Arial"/>
        </w:rPr>
        <w:t xml:space="preserve">statistically </w:t>
      </w:r>
      <w:r w:rsidRPr="00233B1A">
        <w:rPr>
          <w:rFonts w:ascii="Arial" w:hAnsi="Arial" w:cs="Arial"/>
        </w:rPr>
        <w:t>significant</w:t>
      </w:r>
      <w:r>
        <w:rPr>
          <w:rFonts w:ascii="Arial" w:hAnsi="Arial" w:cs="Arial"/>
        </w:rPr>
        <w:t xml:space="preserve"> in the absence of one study, repeated across all studies. C</w:t>
      </w:r>
      <w:r w:rsidRPr="00233B1A">
        <w:rPr>
          <w:rFonts w:ascii="Arial" w:hAnsi="Arial" w:cs="Arial"/>
        </w:rPr>
        <w:t xml:space="preserve">oordinates </w:t>
      </w:r>
      <w:r>
        <w:rPr>
          <w:rFonts w:ascii="Arial" w:hAnsi="Arial" w:cs="Arial"/>
        </w:rPr>
        <w:t>are</w:t>
      </w:r>
      <w:r w:rsidRPr="00233B1A">
        <w:rPr>
          <w:rFonts w:ascii="Arial" w:hAnsi="Arial" w:cs="Arial"/>
        </w:rPr>
        <w:t xml:space="preserve"> reported using MNI coordinates</w:t>
      </w:r>
      <w:r>
        <w:rPr>
          <w:rFonts w:ascii="Arial" w:hAnsi="Arial" w:cs="Arial"/>
        </w:rPr>
        <w:t xml:space="preserve"> examined using a </w:t>
      </w:r>
      <w:r w:rsidRPr="00233B1A">
        <w:rPr>
          <w:rFonts w:ascii="Arial" w:hAnsi="Arial" w:cs="Arial"/>
        </w:rPr>
        <w:t>human brain atlas</w:t>
      </w:r>
      <w:r w:rsidRPr="00233B1A">
        <w:rPr>
          <w:rFonts w:ascii="Arial" w:hAnsi="Arial" w:cs="Arial"/>
        </w:rPr>
        <w:fldChar w:fldCharType="begin" w:fldLock="1"/>
      </w:r>
      <w:r w:rsidR="00317597">
        <w:rPr>
          <w:rFonts w:ascii="Arial" w:hAnsi="Arial" w:cs="Arial"/>
        </w:rPr>
        <w:instrText>ADDIN CSL_CITATION {"citationItems":[{"id":"ITEM-1","itemData":{"DOI":"10.1136/jnnp.41.10.960-b","ISSN":"0022-3050","abstract":"High-resolution human imaging requires a high-resolution atlas. There is no atlas that approaches the accuracy and comprehensiveness of The Atlas of the Human Brain. This is the third, thoroughly revised, edition of the very successful atlas that received the Award of Excellence from the American Association of Publishers. Constructed by the recognized leaders in brain cartography, the atlas provides the most detailed and accurate delineations of brain structure available. It is intended as an atlas for day-to-day use in the research laboratory to identify macroscopic and microscopic structures in the human brain as collected in research data with a variety of methods. It will also be particularly useful for the interpretation of magnetic resonance imaging data. The atlas includes a DVD with not only the atlas in electronic format, providing electronic versions of drawings and photographs to facilitate use of atlas contents with researchers' own material, but also 3D visualisation software that allows easy browsing of the images, and a feature to allow direct retrieval of brain areas using coordinates obtained in magnetic resonance imaging.","author":[{"dropping-particle":"","family":"Adams","given":"H.","non-dropping-particle":"","parse-names":false,"suffix":""}],"container-title":"Journal of Neurology, Neurosurgery &amp; Psychiatry","edition":"3","id":"ITEM-1","issue":"10","issued":{"date-parts":[["1978"]]},"number-of-pages":"960-960","publisher":"Elsevier Academic Press","publisher-place":"Amsterdam","title":"Atlas of the Human Brain","type":"book","volume":"41"},"uris":["http://www.mendeley.com/documents/?uuid=33e636ea-bcda-3071-a263-593980df64af"]}],"mendeley":{"formattedCitation":"(Adams, 1978)","plainTextFormattedCitation":"(Adams, 1978)","previouslyFormattedCitation":"(2)"},"properties":{"noteIndex":0},"schema":"https://github.com/citation-style-language/schema/raw/master/csl-citation.json"}</w:instrText>
      </w:r>
      <w:r w:rsidRPr="00233B1A">
        <w:rPr>
          <w:rFonts w:ascii="Arial" w:hAnsi="Arial" w:cs="Arial"/>
        </w:rPr>
        <w:fldChar w:fldCharType="separate"/>
      </w:r>
      <w:r w:rsidR="00317597" w:rsidRPr="00317597">
        <w:rPr>
          <w:rFonts w:ascii="Arial" w:hAnsi="Arial" w:cs="Arial"/>
          <w:noProof/>
        </w:rPr>
        <w:t>(Adams, 1978)</w:t>
      </w:r>
      <w:r w:rsidRPr="00233B1A">
        <w:rPr>
          <w:rFonts w:ascii="Arial" w:hAnsi="Arial" w:cs="Arial"/>
        </w:rPr>
        <w:fldChar w:fldCharType="end"/>
      </w:r>
      <w:r w:rsidRPr="00233B1A">
        <w:rPr>
          <w:rFonts w:ascii="Arial" w:hAnsi="Arial" w:cs="Arial"/>
        </w:rPr>
        <w:t>.</w:t>
      </w:r>
      <w:r>
        <w:rPr>
          <w:rFonts w:ascii="Arial" w:hAnsi="Arial" w:cs="Arial"/>
        </w:rPr>
        <w:t xml:space="preserve"> </w:t>
      </w:r>
    </w:p>
    <w:p w14:paraId="5CCD03D1" w14:textId="77777777" w:rsidR="003F0C2C" w:rsidRPr="00474AF1" w:rsidRDefault="003F0C2C" w:rsidP="003F0C2C">
      <w:pPr>
        <w:spacing w:line="480" w:lineRule="auto"/>
        <w:jc w:val="both"/>
        <w:rPr>
          <w:rFonts w:ascii="Arial" w:hAnsi="Arial" w:cs="Arial"/>
          <w:b/>
          <w:bCs/>
        </w:rPr>
      </w:pPr>
      <w:r>
        <w:rPr>
          <w:rFonts w:ascii="Arial" w:hAnsi="Arial" w:cs="Arial"/>
          <w:b/>
          <w:bCs/>
        </w:rPr>
        <w:t xml:space="preserve">Whole brain correlation with </w:t>
      </w:r>
      <w:r w:rsidRPr="00C32E2F">
        <w:rPr>
          <w:rFonts w:ascii="Arial" w:hAnsi="Arial" w:cs="Arial"/>
          <w:b/>
          <w:bCs/>
          <w:i/>
          <w:iCs/>
        </w:rPr>
        <w:t>FAAH</w:t>
      </w:r>
      <w:r>
        <w:rPr>
          <w:rFonts w:ascii="Arial" w:hAnsi="Arial" w:cs="Arial"/>
          <w:b/>
          <w:bCs/>
        </w:rPr>
        <w:t xml:space="preserve">, </w:t>
      </w:r>
      <w:r w:rsidRPr="00C32E2F">
        <w:rPr>
          <w:rFonts w:ascii="Arial" w:hAnsi="Arial" w:cs="Arial"/>
          <w:b/>
          <w:bCs/>
          <w:i/>
          <w:iCs/>
        </w:rPr>
        <w:t>DRD2</w:t>
      </w:r>
      <w:r>
        <w:rPr>
          <w:rFonts w:ascii="Arial" w:hAnsi="Arial" w:cs="Arial"/>
          <w:b/>
          <w:bCs/>
        </w:rPr>
        <w:t xml:space="preserve">, </w:t>
      </w:r>
      <w:r w:rsidRPr="00C32E2F">
        <w:rPr>
          <w:rFonts w:ascii="Arial" w:hAnsi="Arial" w:cs="Arial"/>
          <w:b/>
          <w:bCs/>
          <w:i/>
          <w:iCs/>
        </w:rPr>
        <w:t>HTR1A</w:t>
      </w:r>
      <w:r>
        <w:rPr>
          <w:rFonts w:ascii="Arial" w:hAnsi="Arial" w:cs="Arial"/>
          <w:b/>
          <w:bCs/>
        </w:rPr>
        <w:t xml:space="preserve"> and </w:t>
      </w:r>
      <w:r w:rsidRPr="00C32E2F">
        <w:rPr>
          <w:rFonts w:ascii="Arial" w:hAnsi="Arial" w:cs="Arial"/>
          <w:b/>
          <w:bCs/>
          <w:i/>
          <w:iCs/>
        </w:rPr>
        <w:t>CNR1</w:t>
      </w:r>
      <w:r w:rsidRPr="00D83676">
        <w:rPr>
          <w:rFonts w:ascii="Arial" w:hAnsi="Arial" w:cs="Arial"/>
          <w:b/>
          <w:bCs/>
        </w:rPr>
        <w:t xml:space="preserve"> gene</w:t>
      </w:r>
      <w:r>
        <w:rPr>
          <w:rFonts w:ascii="Arial" w:hAnsi="Arial" w:cs="Arial"/>
          <w:b/>
          <w:bCs/>
        </w:rPr>
        <w:t xml:space="preserve"> expression </w:t>
      </w:r>
    </w:p>
    <w:p w14:paraId="40185F3D" w14:textId="33FA9013" w:rsidR="003F0C2C" w:rsidRDefault="003F0C2C" w:rsidP="003F0C2C">
      <w:pPr>
        <w:spacing w:line="480" w:lineRule="auto"/>
        <w:jc w:val="both"/>
        <w:rPr>
          <w:rFonts w:ascii="Arial" w:hAnsi="Arial" w:cs="Arial"/>
        </w:rPr>
      </w:pPr>
      <w:r w:rsidRPr="00BD22D3">
        <w:rPr>
          <w:rFonts w:ascii="Arial" w:hAnsi="Arial" w:cs="Arial"/>
        </w:rPr>
        <w:t xml:space="preserve">The Allen Human Brain Atlas contains </w:t>
      </w:r>
      <w:r>
        <w:rPr>
          <w:rFonts w:ascii="Arial" w:hAnsi="Arial" w:cs="Arial"/>
        </w:rPr>
        <w:t xml:space="preserve">mRNA </w:t>
      </w:r>
      <w:r w:rsidRPr="00BD22D3">
        <w:rPr>
          <w:rFonts w:ascii="Arial" w:hAnsi="Arial" w:cs="Arial"/>
        </w:rPr>
        <w:t>microarray expression data from six neurotypical adult human brains</w:t>
      </w:r>
      <w:r>
        <w:rPr>
          <w:rFonts w:ascii="Arial" w:hAnsi="Arial" w:cs="Arial"/>
        </w:rPr>
        <w:t xml:space="preserve"> distributed across </w:t>
      </w:r>
      <w:r w:rsidRPr="00BD22D3">
        <w:rPr>
          <w:rFonts w:ascii="Arial" w:hAnsi="Arial" w:cs="Arial"/>
        </w:rPr>
        <w:t>cortical, subcortical, brainstem and cerebellar regions</w:t>
      </w:r>
      <w:r w:rsidR="003C1DE4">
        <w:rPr>
          <w:rFonts w:ascii="Arial" w:hAnsi="Arial" w:cs="Arial"/>
        </w:rPr>
        <w:t xml:space="preserve"> </w:t>
      </w:r>
      <w:r w:rsidRPr="00BD22D3">
        <w:rPr>
          <w:rFonts w:ascii="Arial" w:hAnsi="Arial" w:cs="Arial"/>
        </w:rPr>
        <w:fldChar w:fldCharType="begin" w:fldLock="1"/>
      </w:r>
      <w:r w:rsidR="00317597">
        <w:rPr>
          <w:rFonts w:ascii="Arial" w:hAnsi="Arial" w:cs="Arial"/>
        </w:rPr>
        <w:instrText xml:space="preserve">ADDIN CSL_CITATION {"citationItems":[{"id":"ITEM-1","itemData":{"DOI":"10.1038/nature11405","ISSN":"00280836","PMID":"22996553","abstract":"Neuroanatomically precise, genome-wide maps of transcript distributions are critical resources to complement genomic sequence data and to correlate functional and genetic brain architecture. Here we describe the generation and analysis of a transcriptional atlas of the adult human brain, comprising extensive histological analysis and comprehensive microarray profiling of </w:instrText>
      </w:r>
      <w:r w:rsidR="00317597">
        <w:rPr>
          <w:rFonts w:ascii="Cambria Math" w:hAnsi="Cambria Math" w:cs="Cambria Math"/>
        </w:rPr>
        <w:instrText>∼</w:instrText>
      </w:r>
      <w:r w:rsidR="00317597">
        <w:rPr>
          <w:rFonts w:ascii="Arial" w:hAnsi="Arial" w:cs="Arial"/>
        </w:rPr>
        <w:instrText>900 neuroanatomically precise subdivisions in two individuals. Transcriptional regulation varies enormously by anatomical location, with different regions and their constituent cell types displaying robust molecular signatures that are highly conserved between individuals. Analysis of differential gene expression and gene co-expression relationships demonstrates that brain-wide variation strongly reflects the distributions of major cell classes such as neurons, oligodendrocytes, astrocytes and microglia. Local neighbourhood relationships between fine anatomical subdivisions are associated with discrete neuronal subtypes and genes involved with synaptic transmission. The neocortex displays a relatively homogeneous transcriptional pattern, but with distinct features associated selectively with primary sensorimotor cortices and with enriched frontal lobe expression. Notably, the spatial topography of the neocortex is strongly reflected in its molecular topographythe closer two cortical regions, the more similar their transcriptomes. This freely accessible online data resource forms a high-resolution transcriptional baseline for neurogenetic studies of normal and abnormal human brain function. © 2012 Macmillan Publishers Limited. All rights reserved.","author":[{"dropping-particle":"","family":"Hawrylycz","given":"Michael J.","non-dropping-particle":"","parse-names":false,"suffix":""},{"dropping-particle":"","family":"Lein","given":"Ed S.","non-dropping-particle":"","parse-names":false,"suffix":""},{"dropping-particle":"","family":"Guillozet-Bongaarts","given":"Angela L.","non-dropping-particle":"","parse-names":false,"suffix":""},{"dropping-particle":"","family":"Shen","given":"Elaine H.","non-dropping-particle":"","parse-names":false,"suffix":""},{"dropping-particle":"","family":"Ng","given":"Lydia","non-dropping-particle":"","parse-names":false,"suffix":""},{"dropping-particle":"","family":"Miller","given":"Jeremy A.","non-dropping-particle":"","parse-names":false,"suffix":""},{"dropping-particle":"","family":"Lagemaat","given":"Louie N.","non-dropping-particle":"Van De","parse-names":false,"suffix":""},{"dropping-particle":"","family":"Smith","given":"Kimberly A.","non-dropping-particle":"","parse-names":false,"suffix":""},{"dropping-particle":"","family":"Ebbert","given":"Amanda","non-dropping-particle":"","parse-names":false,"suffix":""},{"dropping-particle":"","family":"Riley","given":"Zackery L.","non-dropping-particle":"","parse-names":false,"suffix":""},{"dropping-particle":"","family":"Abajian","given":"Chris","non-dropping-particle":"","parse-names":false,"suffix":""},{"dropping-particle":"","family":"Beckmann","given":"Christian F.","non-dropping-particle":"","parse-names":false,"suffix":""},{"dropping-particle":"","family":"Bernard","given":"Amy","non-dropping-particle":"","parse-names":false,"suffix":""},{"dropping-particle":"","family":"Bertagnolli","given":"Darren","non-dropping-particle":"","parse-names":false,"suffix":""},{"dropping-particle":"","family":"Boe","given":"Andrew F.","non-dropping-particle":"","parse-names":false,"suffix":""},{"dropping-particle":"","family":"Cartagena","given":"Preston M.","non-dropping-particle":"","parse-names":false,"suffix":""},{"dropping-particle":"","family":"Mallar Chakravarty","given":"M.","non-dropping-particle":"","parse-names":false,"suffix":""},{"dropping-particle":"","family":"Chapin","given":"Mike","non-dropping-particle":"","parse-names":false,"suffix":""},{"dropping-particle":"","family":"Chong","given":"Jimmy","non-dropping-particle":"","parse-names":false,"suffix":""},{"dropping-particle":"","family":"Dalley","given":"Rachel A.","non-dropping-particle":"","parse-names":false,"suffix":""},{"dropping-particle":"","family":"Daly","given":"Barry David","non-dropping-particle":"","parse-names":false,"suffix":""},{"dropping-particle":"","family":"Dang","given":"Chinh","non-dropping-particle":"","parse-names":false,"suffix":""},{"dropping-particle":"","family":"Datta","given":"Suvro","non-dropping-particle":"","parse-names":false,"suffix":""},{"dropping-particle":"","family":"Dee","given":"Nick","non-dropping-particle":"","parse-names":false,"suffix":""},{"dropping-particle":"","family":"Dolbeare","given":"Tim A.","non-dropping-particle":"","parse-names":false,"suffix":""},{"dropping-particle":"","family":"Faber","given":"Vance","non-dropping-particle":"","parse-names":false,"suffix":""},{"dropping-particle":"","family":"Feng","given":"David","non-dropping-particle":"","parse-names":false,"suffix":""},{"dropping-particle":"","family":"Fowler","given":"David R.","non-dropping-particle":"","parse-names":false,"suffix":""},{"dropping-particle":"","family":"Goldy","given":"Jeff","non-dropping-particle":"","parse-names":false,"suffix":""},{"dropping-particle":"","family":"Gregor","given":"Benjamin W.","non-dropping-particle":"","parse-names":false,"suffix":""},{"dropping-particle":"","family":"Haradon","given":"Zeb","non-dropping-particle":"","parse-names":false,"suffix":""},{"dropping-particle":"","family":"Haynor","given":"David R.","non-dropping-particle":"","parse-names":false,"suffix":""},{"dropping-particle":"","family":"Hohmann","given":"John G.","non-dropping-particle":"","parse-names":false,"suffix":""},{"dropping-particle":"","family":"Horvath","given":"Steve","non-dropping-particle":"","parse-names":false,"suffix":""},{"dropping-particle":"","family":"Howard","given":"Robert E.","non-dropping-particle":"","parse-names":false,"suffix":""},{"dropping-particle":"","family":"Jeromin","given":"Andreas","non-dropping-particle":"","parse-names":false,"suffix":""},{"dropping-particle":"","family":"Jochim","given":"Jayson M.","non-dropping-particle":"","parse-names":false,"suffix":""},{"dropping-particle":"","family":"Kinnunen","given":"Marty","non-dropping-particle":"","parse-names":false,"suffix":""},{"dropping-particle":"","family":"Lau","given":"Christopher","non-dropping-particle":"","parse-names":false,"suffix":""},{"dropping-particle":"","family":"Lazarz","given":"Evan T.","non-dropping-particle":"","parse-names":false,"suffix":""},{"dropping-particle":"","family":"Lee","given":"Changkyu","non-dropping-particle":"","parse-names":false,"suffix":""},{"dropping-particle":"","family":"Lemon","given":"Tracy A.","non-dropping-particle":"","parse-names":false,"suffix":""},{"dropping-particle":"","family":"Li","given":"Ling","non-dropping-particle":"","parse-names":false,"suffix":""},{"dropping-particle":"","family":"Li","given":"Yang","non-dropping-particle":"","parse-names":false,"suffix":""},{"dropping-particle":"","family":"Morris","given":"John A.","non-dropping-particle":"","parse-names":false,"suffix":""},{"dropping-particle":"","family":"Overly","given":"Caroline C.","non-dropping-particle":"","parse-names":false,"suffix":""},{"dropping-particle":"","family":"Parker","given":"Patrick D.","non-dropping-particle":"","parse-names":false,"suffix":""},{"dropping-particle":"","family":"Parry","given":"Sheana E.","non-dropping-particle":"","parse-names":false,"suffix":""},{"dropping-particle":"","family":"Reding","given":"Melissa","non-dropping-particle":"","parse-names":false,"suffix":""},{"dropping-particle":"","family":"Royall","given":"Joshua J.","non-dropping-particle":"","parse-names":false,"suffix":""},{"dropping-particle":"","family":"Schulkin","given":"Jay","non-dropping-particle":"","parse-names":false,"suffix":""},{"dropping-particle":"","family":"Sequeira","given":"Pedro Adolfo","non-dropping-particle":"","parse-names":false,"suffix":""},{"dropping-particle":"","family":"Slaughterbeck","given":"Clifford R.","non-dropping-particle":"","parse-names":false,"suffix":""},{"dropping-particle":"","family":"Smith","given":"Simon C.","non-dropping-particle":"","parse-names":false,"suffix":""},{"dropping-particle":"","family":"Sodt","given":"Andy J.","non-dropping-particle":"","parse-names":false,"suffix":""},{"dropping-particle":"","family":"Sunkin","given":"Susan M.","non-dropping-particle":"","parse-names":false,"suffix":""},{"dropping-particle":"","family":"Swanson","given":"Beryl E.","non-dropping-particle":"","parse-names":false,"suffix":""},{"dropping-particle":"","family":"Vawter","given":"Marquis P.","non-dropping-particle":"","parse-names":false,"suffix":""},{"dropping-particle":"","family":"Williams","given":"Derric","non-dropping-particle":"","parse-names":false,"suffix":""},{"dropping-particle":"","family":"Wohnoutka","given":"Paul","non-dropping-particle":"","parse-names":false,"suffix":""},{"dropping-particle":"","family":"Ronald Zielke","given":"H.","non-dropping-particle":"","parse-names":false,"suffix":""},{"dropping-particle":"","family":"Geschwind","given":"Daniel H.","non-dropping-particle":"","parse-names":false,"suffix":""},{"dropping-particle":"","family":"Hof","given":"Patrick R.","non-dropping-particle":"","parse-names":false,"suffix":""},{"dropping-particle":"","family":"Smith","given":"Stephen M.","non-dropping-particle":"","parse-names":false,"suffix":""},{"dropping-particle":"","family":"Koch","given":"Christof","non-dropping-particle":"","parse-names":false,"suffix":""},{"dropping-particle":"","family":"Grant","given":"Seth G.N.","non-dropping-particle":"","parse-names":false,"suffix":""},{"dropping-particle":"","family":"Jones","given":"Allan R.","non-dropping-particle":"","parse-names":false,"suffix":""}],"container-title":"Nature","id":"ITEM-1","issue":"7416","issued":{"date-parts":[["2012","9","20"]]},"page":"391-399","publisher":"Nature Publishing Group","title":"An anatomically comprehensive atlas of the adult human brain transcriptome","type":"article-journal","volume":"489"},"uris":["http://www.mendeley.com/documents/?uuid=45dac93a-59f9-3b27-965c-8b7fc17c7097"]}],"mendeley":{"formattedCitation":"(Hawrylycz &lt;i&gt;et al.&lt;/i&gt;, 2012)","plainTextFormattedCitation":"(Hawrylycz et al., 2012)","previouslyFormattedCitation":"(3)"},"properties":{"noteIndex":0},"schema":"https://github.com/citation-style-language/schema/raw/master/csl-citation.json"}</w:instrText>
      </w:r>
      <w:r w:rsidRPr="00BD22D3">
        <w:rPr>
          <w:rFonts w:ascii="Arial" w:hAnsi="Arial" w:cs="Arial"/>
        </w:rPr>
        <w:fldChar w:fldCharType="separate"/>
      </w:r>
      <w:r w:rsidR="00317597" w:rsidRPr="00317597">
        <w:rPr>
          <w:rFonts w:ascii="Arial" w:hAnsi="Arial" w:cs="Arial"/>
          <w:noProof/>
        </w:rPr>
        <w:t xml:space="preserve">(Hawrylycz </w:t>
      </w:r>
      <w:r w:rsidR="00317597" w:rsidRPr="00317597">
        <w:rPr>
          <w:rFonts w:ascii="Arial" w:hAnsi="Arial" w:cs="Arial"/>
          <w:i/>
          <w:noProof/>
        </w:rPr>
        <w:t>et al.</w:t>
      </w:r>
      <w:r w:rsidR="00317597" w:rsidRPr="00317597">
        <w:rPr>
          <w:rFonts w:ascii="Arial" w:hAnsi="Arial" w:cs="Arial"/>
          <w:noProof/>
        </w:rPr>
        <w:t>, 2012)</w:t>
      </w:r>
      <w:r w:rsidRPr="00BD22D3">
        <w:rPr>
          <w:rFonts w:ascii="Arial" w:hAnsi="Arial" w:cs="Arial"/>
        </w:rPr>
        <w:fldChar w:fldCharType="end"/>
      </w:r>
      <w:r w:rsidRPr="00BD22D3">
        <w:rPr>
          <w:rFonts w:ascii="Arial" w:hAnsi="Arial" w:cs="Arial"/>
        </w:rPr>
        <w:t>.</w:t>
      </w:r>
      <w:r>
        <w:rPr>
          <w:rFonts w:ascii="Arial" w:hAnsi="Arial" w:cs="Arial"/>
        </w:rPr>
        <w:t xml:space="preserve"> The atlas contains </w:t>
      </w:r>
      <w:r w:rsidRPr="00BD22D3">
        <w:rPr>
          <w:rFonts w:ascii="Arial" w:hAnsi="Arial" w:cs="Arial"/>
        </w:rPr>
        <w:t>3</w:t>
      </w:r>
      <w:r>
        <w:rPr>
          <w:rFonts w:ascii="Arial" w:hAnsi="Arial" w:cs="Arial"/>
        </w:rPr>
        <w:t>,</w:t>
      </w:r>
      <w:r w:rsidRPr="00BD22D3">
        <w:rPr>
          <w:rFonts w:ascii="Arial" w:hAnsi="Arial" w:cs="Arial"/>
        </w:rPr>
        <w:t xml:space="preserve">702 spatially distinct </w:t>
      </w:r>
      <w:r>
        <w:rPr>
          <w:rFonts w:ascii="Arial" w:hAnsi="Arial" w:cs="Arial"/>
        </w:rPr>
        <w:t xml:space="preserve">tissue </w:t>
      </w:r>
      <w:r w:rsidRPr="00BD22D3">
        <w:rPr>
          <w:rFonts w:ascii="Arial" w:hAnsi="Arial" w:cs="Arial"/>
        </w:rPr>
        <w:t>samples, quantify</w:t>
      </w:r>
      <w:r>
        <w:rPr>
          <w:rFonts w:ascii="Arial" w:hAnsi="Arial" w:cs="Arial"/>
        </w:rPr>
        <w:t>ing</w:t>
      </w:r>
      <w:r w:rsidRPr="00BD22D3">
        <w:rPr>
          <w:rFonts w:ascii="Arial" w:hAnsi="Arial" w:cs="Arial"/>
        </w:rPr>
        <w:t xml:space="preserve"> the expression of more than 20,000 genes. </w:t>
      </w:r>
      <w:r>
        <w:rPr>
          <w:rFonts w:ascii="Arial" w:hAnsi="Arial" w:cs="Arial"/>
        </w:rPr>
        <w:t xml:space="preserve">In the data processing we followed the recommendations put forward by </w:t>
      </w:r>
      <w:proofErr w:type="spellStart"/>
      <w:r>
        <w:rPr>
          <w:rFonts w:ascii="Arial" w:hAnsi="Arial" w:cs="Arial"/>
        </w:rPr>
        <w:t>Arnatkevic̆iūtė</w:t>
      </w:r>
      <w:proofErr w:type="spellEnd"/>
      <w:r>
        <w:rPr>
          <w:rFonts w:ascii="Arial" w:hAnsi="Arial" w:cs="Arial"/>
        </w:rPr>
        <w:t xml:space="preserve">  et al. </w:t>
      </w:r>
      <w:r>
        <w:rPr>
          <w:rFonts w:ascii="Arial" w:hAnsi="Arial" w:cs="Arial"/>
        </w:rPr>
        <w:fldChar w:fldCharType="begin" w:fldLock="1"/>
      </w:r>
      <w:r w:rsidR="00317597">
        <w:rPr>
          <w:rFonts w:ascii="Arial" w:hAnsi="Arial" w:cs="Arial"/>
        </w:rPr>
        <w:instrText>ADDIN CSL_CITATION {"citationItems":[{"id":"ITEM-1","itemData":{"DOI":"10.1016/j.neuroimage.2019.01.011","ISSN":"10959572","PMID":"30648605","abstract":"The recent availability of comprehensive, brain-wide gene expression atlases such as the Allen Human Brain Atlas (AHBA) has opened new opportunities for understanding how spatial variations on molecular scale relate to the macroscopic neuroimaging phenotypes. A rapidly growing body of literature is demonstrating relationships between gene expression and diverse properties of brain structure and function, but approaches for combining expression atlas data with neuroimaging are highly inconsistent, with substantial variations in how the expression data are processed. The degree to which these methodological variations affect findings is unclear. Here, we outline a seven-step analysis pipeline for relating brain-wide transcriptomic and neuroimaging data and compare how different processing choices influence the resulting data. We suggest that studies using the AHBA should work towards a unified data processing pipeline to ensure consistent and reproducible results in this burgeoning field.","author":[{"dropping-particle":"","family":"Arnatkevic̆iūtė","given":"Aurina","non-dropping-particle":"","parse-names":false,"suffix":""},{"dropping-particle":"","family":"Fulcher","given":"Ben D.","non-dropping-particle":"","parse-names":false,"suffix":""},{"dropping-particle":"","family":"Fornito","given":"Alex","non-dropping-particle":"","parse-names":false,"suffix":""}],"container-title":"NeuroImage","id":"ITEM-1","issue":"July 2018","issued":{"date-parts":[["2019"]]},"page":"353-367","title":"A practical guide to linking brain-wide gene expression and neuroimaging data","type":"article-journal","volume":"189"},"uris":["http://www.mendeley.com/documents/?uuid=13a416da-9e8f-4b84-aa25-ac2a51f39535"]}],"mendeley":{"formattedCitation":"(Arnatkevic̆iūtė, Fulcher and Fornito, 2019)","plainTextFormattedCitation":"(Arnatkevic̆iūtė, Fulcher and Fornito, 2019)","previouslyFormattedCitation":"(4)"},"properties":{"noteIndex":0},"schema":"https://github.com/citation-style-language/schema/raw/master/csl-citation.json"}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(Arnatkevic̆iūtė, Fulcher and Fornito, 2019)</w:t>
      </w:r>
      <w:r>
        <w:rPr>
          <w:rFonts w:ascii="Arial" w:hAnsi="Arial" w:cs="Arial"/>
        </w:rPr>
        <w:fldChar w:fldCharType="end"/>
      </w:r>
      <w:r>
        <w:rPr>
          <w:rFonts w:ascii="Arial" w:hAnsi="Arial" w:cs="Arial"/>
        </w:rPr>
        <w:t xml:space="preserve"> and utilised the package </w:t>
      </w:r>
      <w:proofErr w:type="spellStart"/>
      <w:r>
        <w:rPr>
          <w:rFonts w:ascii="Arial" w:hAnsi="Arial" w:cs="Arial"/>
          <w:i/>
          <w:iCs/>
        </w:rPr>
        <w:t>abagen</w:t>
      </w:r>
      <w:proofErr w:type="spellEnd"/>
      <w:r>
        <w:rPr>
          <w:rFonts w:ascii="Arial" w:hAnsi="Arial" w:cs="Arial"/>
          <w:i/>
          <w:iCs/>
        </w:rPr>
        <w:t xml:space="preserve"> </w:t>
      </w:r>
      <w:r>
        <w:rPr>
          <w:rFonts w:ascii="Arial" w:hAnsi="Arial" w:cs="Arial"/>
        </w:rPr>
        <w:fldChar w:fldCharType="begin" w:fldLock="1"/>
      </w:r>
      <w:r w:rsidR="00317597">
        <w:rPr>
          <w:rFonts w:ascii="Arial" w:hAnsi="Arial" w:cs="Arial"/>
        </w:rPr>
        <w:instrText>ADDIN CSL_CITATION {"citationItems":[{"id":"ITEM-1","itemData":{"DOI":"10.5281/ZENODO.4091537","author":[{"dropping-particle":"","family":"Markello","given":"Ross D","non-dropping-particle":"","parse-names":false,"suffix":""},{"dropping-particle":"","family":"Shafiei","given":"Golia","non-dropping-particle":"","parse-names":false,"suffix":""},{"dropping-particle":"","family":"Zheng","given":"Ying-Qiu","non-dropping-particle":"","parse-names":false,"suffix":""},{"dropping-particle":"","family":"Misic","given":"Bratislav","non-dropping-particle":"","parse-names":false,"suffix":""}],"container-title":"Zenodo","id":"ITEM-1","issued":{"date-parts":[["2020","10","15"]]},"page":"Available from: https://doi.org/10.5281/zenodo.372","title":"abagen: A toolbox for the Allen Brain Atlas genetics data","type":"article-journal"},"uris":["http://www.mendeley.com/documents/?uuid=f08bdb2c-dbb2-3681-bcec-784f40663366"]}],"mendeley":{"formattedCitation":"(Markello &lt;i&gt;et al.&lt;/i&gt;, 2020)","plainTextFormattedCitation":"(Markello et al., 2020)","previouslyFormattedCitation":"(5)"},"properties":{"noteIndex":0},"schema":"https://github.com/citation-style-language/schema/raw/master/csl-citation.json"}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 xml:space="preserve">(Markello </w:t>
      </w:r>
      <w:r w:rsidR="00317597" w:rsidRPr="00317597">
        <w:rPr>
          <w:rFonts w:ascii="Arial" w:hAnsi="Arial" w:cs="Arial"/>
          <w:i/>
          <w:noProof/>
        </w:rPr>
        <w:t>et al.</w:t>
      </w:r>
      <w:r w:rsidR="00317597" w:rsidRPr="00317597">
        <w:rPr>
          <w:rFonts w:ascii="Arial" w:hAnsi="Arial" w:cs="Arial"/>
          <w:noProof/>
        </w:rPr>
        <w:t>, 2020)</w:t>
      </w:r>
      <w:r>
        <w:rPr>
          <w:rFonts w:ascii="Arial" w:hAnsi="Arial" w:cs="Arial"/>
        </w:rPr>
        <w:fldChar w:fldCharType="end"/>
      </w:r>
      <w:r>
        <w:rPr>
          <w:rFonts w:ascii="Arial" w:hAnsi="Arial" w:cs="Arial"/>
        </w:rPr>
        <w:t xml:space="preserve"> to conduct a reproducible workflow. </w:t>
      </w:r>
    </w:p>
    <w:p w14:paraId="020A79BC" w14:textId="756C2002" w:rsidR="003F0C2C" w:rsidRDefault="003F0C2C" w:rsidP="003F0C2C">
      <w:pPr>
        <w:spacing w:line="480" w:lineRule="auto"/>
        <w:jc w:val="both"/>
        <w:rPr>
          <w:rFonts w:ascii="Arial" w:hAnsi="Arial" w:cs="Arial"/>
        </w:rPr>
      </w:pPr>
      <w:r w:rsidRPr="00BD22D3">
        <w:rPr>
          <w:rFonts w:ascii="Arial" w:hAnsi="Arial" w:cs="Arial"/>
        </w:rPr>
        <w:t>First, transcriptional gene expression data from microarray probes were downloaded from the Allen Human Brain Atlas database. Microarray probe-to-gene re</w:t>
      </w:r>
      <w:r>
        <w:rPr>
          <w:rFonts w:ascii="Arial" w:hAnsi="Arial" w:cs="Arial"/>
        </w:rPr>
        <w:t>-</w:t>
      </w:r>
      <w:r w:rsidRPr="00BD22D3">
        <w:rPr>
          <w:rFonts w:ascii="Arial" w:hAnsi="Arial" w:cs="Arial"/>
        </w:rPr>
        <w:t xml:space="preserve">annotation was conducted with information from </w:t>
      </w:r>
      <w:proofErr w:type="spellStart"/>
      <w:r w:rsidRPr="00BD22D3">
        <w:rPr>
          <w:rFonts w:ascii="Arial" w:hAnsi="Arial" w:cs="Arial"/>
        </w:rPr>
        <w:t>Arnatkevic̆iūtė</w:t>
      </w:r>
      <w:proofErr w:type="spellEnd"/>
      <w:r w:rsidRPr="00BD22D3">
        <w:rPr>
          <w:rFonts w:ascii="Arial" w:hAnsi="Arial" w:cs="Arial"/>
        </w:rPr>
        <w:t xml:space="preserve"> et al., 2019</w:t>
      </w:r>
      <w:r>
        <w:rPr>
          <w:rFonts w:ascii="Arial" w:hAnsi="Arial" w:cs="Arial"/>
        </w:rPr>
        <w:t xml:space="preserve"> </w:t>
      </w:r>
      <w:r w:rsidRPr="00BD22D3">
        <w:rPr>
          <w:rFonts w:ascii="Arial" w:hAnsi="Arial" w:cs="Arial"/>
        </w:rPr>
        <w:fldChar w:fldCharType="begin" w:fldLock="1"/>
      </w:r>
      <w:r w:rsidR="00317597">
        <w:rPr>
          <w:rFonts w:ascii="Arial" w:hAnsi="Arial" w:cs="Arial"/>
        </w:rPr>
        <w:instrText>ADDIN CSL_CITATION {"citationItems":[{"id":"ITEM-1","itemData":{"DOI":"10.1016/j.neuroimage.2019.01.011","ISSN":"10959572","PMID":"30648605","abstract":"The recent availability of comprehensive, brain-wide gene expression atlases such as the Allen Human Brain Atlas (AHBA) has opened new opportunities for understanding how spatial variations on molecular scale relate to the macroscopic neuroimaging phenotypes. A rapidly growing body of literature is demonstrating relationships between gene expression and diverse properties of brain structure and function, but approaches for combining expression atlas data with neuroimaging are highly inconsistent, with substantial variations in how the expression data are processed. The degree to which these methodological variations affect findings is unclear. Here, we outline a seven-step analysis pipeline for relating brain-wide transcriptomic and neuroimaging data and compare how different processing choices influence the resulting data. We suggest that studies using the AHBA should work towards a unified data processing pipeline to ensure consistent and reproducible results in this burgeoning field.","author":[{"dropping-particle":"","family":"Arnatkevic̆iūtė","given":"Aurina","non-dropping-particle":"","parse-names":false,"suffix":""},{"dropping-particle":"","family":"Fulcher","given":"Ben D.","non-dropping-particle":"","parse-names":false,"suffix":""},{"dropping-particle":"","family":"Fornito","given":"Alex","non-dropping-particle":"","parse-names":false,"suffix":""}],"container-title":"NeuroImage","id":"ITEM-1","issue":"July 2018","issued":{"date-parts":[["2019"]]},"page":"353-367","title":"A practical guide to linking brain-wide gene expression and neuroimaging data","type":"article-journal","volume":"189"},"uris":["http://www.mendeley.com/documents/?uuid=13a416da-9e8f-4b84-aa25-ac2a51f39535"]}],"mendeley":{"formattedCitation":"(Arnatkevic̆iūtė, Fulcher and Fornito, 2019)","plainTextFormattedCitation":"(Arnatkevic̆iūtė, Fulcher and Fornito, 2019)","previouslyFormattedCitation":"(4)"},"properties":{"noteIndex":0},"schema":"https://github.com/citation-style-language/schema/raw/master/csl-citation.json"}</w:instrText>
      </w:r>
      <w:r w:rsidRPr="00BD22D3">
        <w:rPr>
          <w:rFonts w:ascii="Arial" w:hAnsi="Arial" w:cs="Arial"/>
        </w:rPr>
        <w:fldChar w:fldCharType="separate"/>
      </w:r>
      <w:r w:rsidR="00317597" w:rsidRPr="00317597">
        <w:rPr>
          <w:rFonts w:ascii="Arial" w:hAnsi="Arial" w:cs="Arial"/>
          <w:noProof/>
        </w:rPr>
        <w:t>(Arnatkevic̆iūtė, Fulcher and Fornito, 2019)</w:t>
      </w:r>
      <w:r w:rsidRPr="00BD22D3">
        <w:rPr>
          <w:rFonts w:ascii="Arial" w:hAnsi="Arial" w:cs="Arial"/>
        </w:rPr>
        <w:fldChar w:fldCharType="end"/>
      </w:r>
      <w:r w:rsidRPr="00BD22D3">
        <w:rPr>
          <w:rFonts w:ascii="Arial" w:hAnsi="Arial" w:cs="Arial"/>
        </w:rPr>
        <w:t>. Probes that could not be reliably matched to genes were discarded. We then performed intensity-based filtering of probes to remove those that did not exceed background noise using a threshold of 0.5 (i.e., probes must exceed background noise in 50% of all tissue samples). Following this, representative probe</w:t>
      </w:r>
      <w:r>
        <w:rPr>
          <w:rFonts w:ascii="Arial" w:hAnsi="Arial" w:cs="Arial"/>
        </w:rPr>
        <w:t>s</w:t>
      </w:r>
      <w:r w:rsidRPr="00BD22D3">
        <w:rPr>
          <w:rFonts w:ascii="Arial" w:hAnsi="Arial" w:cs="Arial"/>
        </w:rPr>
        <w:t>, with the highest differential stability (i.e., the probe with the most consistent spatial pattern across the donor brains) in indexing the</w:t>
      </w:r>
      <w:r>
        <w:rPr>
          <w:rFonts w:ascii="Arial" w:hAnsi="Arial" w:cs="Arial"/>
        </w:rPr>
        <w:t xml:space="preserve"> mRNA for receptor genes of interest were selected.</w:t>
      </w:r>
      <w:r w:rsidRPr="00BD22D3">
        <w:rPr>
          <w:rFonts w:ascii="Arial" w:hAnsi="Arial" w:cs="Arial"/>
        </w:rPr>
        <w:t xml:space="preserve"> Microarray samples were then matched to </w:t>
      </w:r>
      <w:r>
        <w:rPr>
          <w:rFonts w:ascii="Arial" w:hAnsi="Arial" w:cs="Arial"/>
        </w:rPr>
        <w:t xml:space="preserve">78 </w:t>
      </w:r>
      <w:r w:rsidRPr="00BD22D3">
        <w:rPr>
          <w:rFonts w:ascii="Arial" w:hAnsi="Arial" w:cs="Arial"/>
        </w:rPr>
        <w:t xml:space="preserve">cortical regions, parcellated across the </w:t>
      </w:r>
      <w:bookmarkStart w:id="0" w:name="_Hlk72143993"/>
      <w:proofErr w:type="spellStart"/>
      <w:r w:rsidRPr="00BD22D3">
        <w:rPr>
          <w:rFonts w:ascii="Arial" w:hAnsi="Arial" w:cs="Arial"/>
          <w:bCs/>
          <w:iCs/>
        </w:rPr>
        <w:t>Desikan</w:t>
      </w:r>
      <w:proofErr w:type="spellEnd"/>
      <w:r w:rsidRPr="00BD22D3">
        <w:rPr>
          <w:rFonts w:ascii="Arial" w:hAnsi="Arial" w:cs="Arial"/>
          <w:bCs/>
          <w:iCs/>
        </w:rPr>
        <w:t>–</w:t>
      </w:r>
      <w:proofErr w:type="spellStart"/>
      <w:r w:rsidRPr="00BD22D3">
        <w:rPr>
          <w:rFonts w:ascii="Arial" w:hAnsi="Arial" w:cs="Arial"/>
          <w:bCs/>
          <w:iCs/>
        </w:rPr>
        <w:t>Killiany</w:t>
      </w:r>
      <w:proofErr w:type="spellEnd"/>
      <w:r w:rsidRPr="00BD22D3">
        <w:rPr>
          <w:rFonts w:ascii="Arial" w:hAnsi="Arial" w:cs="Arial"/>
          <w:bCs/>
          <w:iCs/>
        </w:rPr>
        <w:t xml:space="preserve"> </w:t>
      </w:r>
      <w:r w:rsidRPr="00BD22D3">
        <w:rPr>
          <w:rFonts w:ascii="Arial" w:hAnsi="Arial" w:cs="Arial"/>
        </w:rPr>
        <w:t>brain atlas</w:t>
      </w:r>
      <w:r w:rsidRPr="00BD22D3">
        <w:rPr>
          <w:rFonts w:ascii="Arial" w:hAnsi="Arial" w:cs="Arial"/>
          <w:bCs/>
          <w:iCs/>
        </w:rPr>
        <w:fldChar w:fldCharType="begin" w:fldLock="1"/>
      </w:r>
      <w:r w:rsidR="00317597">
        <w:rPr>
          <w:rFonts w:ascii="Arial" w:hAnsi="Arial" w:cs="Arial"/>
          <w:bCs/>
          <w:iCs/>
        </w:rPr>
        <w:instrText>ADDIN CSL_CITATION {"citationItems":[{"id":"ITEM-1","itemData":{"DOI":"10.1016/j.neuroimage.2006.01.021","ISSN":"10538119","PMID":"16530430","abstract":"In this study, we have assessed the validity and reliability of an automated labeling system that we have developed for subdividing the human cerebral cortex on magnetic resonance images into gyral based regions of interest (ROIs). Using a dataset of 40 MRI scans we manually identified 34 cortical ROIs in each of the individual hemispheres. This information was then encoded in the form of an atlas that was utilized to automatically label ROIs. To examine the validity, as well as the intra- and inter-rater reliability of the automated system, we used both intraclass correlation coefficients (ICC), and a new method known as mean distance maps, to assess the degree of mismatch between the manual and the automated sets of ROIs. When compared with the manual ROIs, the automated ROIs were highly accurate, with an average ICC of 0.835 across all of the ROIs, and a mean distance error of less than 1 mm. Intra- and inter-rater comparisons yielded little to no difference between the sets of ROIs. These findings suggest that the automated method we have developed for subdividing the human cerebral cortex into standard gyral-based neuroanatomical regions is both anatomically valid and reliable. This method may be useful for both morphometric and functional studies of the cerebral cortex as well as for clinical investigations aimed at tracking the evolution of disease-induced changes over time, including clinical trials in which MRI-based measures are used to examine response to treatment. © 2006 Elsevier Inc. All rights reserved.","author":[{"dropping-particle":"","family":"Desikan","given":"Rahul S.","non-dropping-particle":"","parse-names":false,"suffix":""},{"dropping-particle":"","family":"Ségonne","given":"Florent","non-dropping-particle":"","parse-names":false,"suffix":""},{"dropping-particle":"","family":"Fischl","given":"Bruce","non-dropping-particle":"","parse-names":false,"suffix":""},{"dropping-particle":"","family":"Quinn","given":"Brian T.","non-dropping-particle":"","parse-names":false,"suffix":""},{"dropping-particle":"","family":"Dickerson","given":"Bradford C.","non-dropping-particle":"","parse-names":false,"suffix":""},{"dropping-particle":"","family":"Blacker","given":"Deborah","non-dropping-particle":"","parse-names":false,"suffix":""},{"dropping-particle":"","family":"Buckner","given":"Randy L.","non-dropping-particle":"","parse-names":false,"suffix":""},{"dropping-particle":"","family":"Dale","given":"Anders M.","non-dropping-particle":"","parse-names":false,"suffix":""},{"dropping-particle":"","family":"Maguire","given":"R. Paul","non-dropping-particle":"","parse-names":false,"suffix":""},{"dropping-particle":"","family":"Hyman","given":"Bradley T.","non-dropping-particle":"","parse-names":false,"suffix":""},{"dropping-particle":"","family":"Albert","given":"Marilyn S.","non-dropping-particle":"","parse-names":false,"suffix":""},{"dropping-particle":"","family":"Killiany","given":"Ronald J.","non-dropping-particle":"","parse-names":false,"suffix":""}],"container-title":"NeuroImage","id":"ITEM-1","issue":"3","issued":{"date-parts":[["2006","7","1"]]},"page":"968-980","publisher":"Neuroimage","title":"An automated labeling system for subdividing the human cerebral cortex on MRI scans into gyral based regions of interest","type":"article-journal","volume":"31"},"uris":["http://www.mendeley.com/documents/?uuid=c93f3d29-9639-3d26-9df4-3ed95f1825c1"]}],"mendeley":{"formattedCitation":"(Desikan &lt;i&gt;et al.&lt;/i&gt;, 2006)","plainTextFormattedCitation":"(Desikan et al., 2006)","previouslyFormattedCitation":"(6)"},"properties":{"noteIndex":0},"schema":"https://github.com/citation-style-language/schema/raw/master/csl-citation.json"}</w:instrText>
      </w:r>
      <w:r w:rsidRPr="00BD22D3">
        <w:rPr>
          <w:rFonts w:ascii="Arial" w:hAnsi="Arial" w:cs="Arial"/>
          <w:bCs/>
          <w:iCs/>
        </w:rPr>
        <w:fldChar w:fldCharType="separate"/>
      </w:r>
      <w:r w:rsidR="00317597" w:rsidRPr="00317597">
        <w:rPr>
          <w:rFonts w:ascii="Arial" w:hAnsi="Arial" w:cs="Arial"/>
          <w:bCs/>
          <w:iCs/>
          <w:noProof/>
        </w:rPr>
        <w:t>(</w:t>
      </w:r>
      <w:proofErr w:type="spellStart"/>
      <w:r w:rsidR="00317597" w:rsidRPr="00317597">
        <w:rPr>
          <w:rFonts w:ascii="Arial" w:hAnsi="Arial" w:cs="Arial"/>
          <w:bCs/>
          <w:iCs/>
          <w:noProof/>
        </w:rPr>
        <w:t>Desikan</w:t>
      </w:r>
      <w:proofErr w:type="spellEnd"/>
      <w:r w:rsidR="00317597" w:rsidRPr="00317597">
        <w:rPr>
          <w:rFonts w:ascii="Arial" w:hAnsi="Arial" w:cs="Arial"/>
          <w:bCs/>
          <w:iCs/>
          <w:noProof/>
        </w:rPr>
        <w:t xml:space="preserve"> </w:t>
      </w:r>
      <w:r w:rsidR="00317597" w:rsidRPr="00317597">
        <w:rPr>
          <w:rFonts w:ascii="Arial" w:hAnsi="Arial" w:cs="Arial"/>
          <w:bCs/>
          <w:i/>
          <w:iCs/>
          <w:noProof/>
        </w:rPr>
        <w:t>et al.</w:t>
      </w:r>
      <w:r w:rsidR="00317597" w:rsidRPr="00317597">
        <w:rPr>
          <w:rFonts w:ascii="Arial" w:hAnsi="Arial" w:cs="Arial"/>
          <w:bCs/>
          <w:iCs/>
          <w:noProof/>
        </w:rPr>
        <w:t>, 2006)</w:t>
      </w:r>
      <w:r w:rsidRPr="00BD22D3">
        <w:rPr>
          <w:rFonts w:ascii="Arial" w:hAnsi="Arial" w:cs="Arial"/>
          <w:bCs/>
          <w:iCs/>
        </w:rPr>
        <w:fldChar w:fldCharType="end"/>
      </w:r>
      <w:bookmarkEnd w:id="0"/>
      <w:r w:rsidRPr="00BD22D3">
        <w:rPr>
          <w:rFonts w:ascii="Arial" w:hAnsi="Arial" w:cs="Arial"/>
        </w:rPr>
        <w:t xml:space="preserve">. For precise sample to region matching, </w:t>
      </w:r>
      <w:r>
        <w:rPr>
          <w:rFonts w:ascii="Arial" w:hAnsi="Arial" w:cs="Arial"/>
        </w:rPr>
        <w:t>we</w:t>
      </w:r>
      <w:r w:rsidRPr="00BD22D3">
        <w:rPr>
          <w:rFonts w:ascii="Arial" w:hAnsi="Arial" w:cs="Arial"/>
        </w:rPr>
        <w:t xml:space="preserve"> initially determined if the microarray sample fell directly within a region of the atlas. If the sample did not, they were assigned to a region within a distance of 2mm of the </w:t>
      </w:r>
      <w:proofErr w:type="spellStart"/>
      <w:r w:rsidRPr="00BD22D3">
        <w:rPr>
          <w:rFonts w:ascii="Arial" w:hAnsi="Arial" w:cs="Arial"/>
        </w:rPr>
        <w:t>Desikan-Kill</w:t>
      </w:r>
      <w:r>
        <w:rPr>
          <w:rFonts w:ascii="Arial" w:hAnsi="Arial" w:cs="Arial"/>
        </w:rPr>
        <w:t>i</w:t>
      </w:r>
      <w:r w:rsidRPr="00BD22D3">
        <w:rPr>
          <w:rFonts w:ascii="Arial" w:hAnsi="Arial" w:cs="Arial"/>
        </w:rPr>
        <w:t>any</w:t>
      </w:r>
      <w:proofErr w:type="spellEnd"/>
      <w:r w:rsidRPr="00BD22D3">
        <w:rPr>
          <w:rFonts w:ascii="Arial" w:hAnsi="Arial" w:cs="Arial"/>
        </w:rPr>
        <w:t xml:space="preserve"> parcels. In cases where there were multiple nearby regions, the closest region was determined by calculating the centre-of-mass of the abutting regions. We then transformed expression values for the gene</w:t>
      </w:r>
      <w:r>
        <w:rPr>
          <w:rFonts w:ascii="Arial" w:hAnsi="Arial" w:cs="Arial"/>
        </w:rPr>
        <w:t>s</w:t>
      </w:r>
      <w:r w:rsidRPr="00BD22D3">
        <w:rPr>
          <w:rFonts w:ascii="Arial" w:hAnsi="Arial" w:cs="Arial"/>
        </w:rPr>
        <w:t xml:space="preserve"> </w:t>
      </w:r>
      <w:r>
        <w:rPr>
          <w:rFonts w:ascii="Arial" w:hAnsi="Arial" w:cs="Arial"/>
        </w:rPr>
        <w:t>a</w:t>
      </w:r>
      <w:r w:rsidRPr="00BD22D3">
        <w:rPr>
          <w:rFonts w:ascii="Arial" w:hAnsi="Arial" w:cs="Arial"/>
        </w:rPr>
        <w:t xml:space="preserve">cross samples, for each donor, using a scaled robust sigmoid normalisation function. Finally, expression values for microarray samples, </w:t>
      </w:r>
      <w:r w:rsidRPr="00BD22D3">
        <w:rPr>
          <w:rFonts w:ascii="Arial" w:hAnsi="Arial" w:cs="Arial"/>
        </w:rPr>
        <w:lastRenderedPageBreak/>
        <w:t xml:space="preserve">assigned to each region of the </w:t>
      </w:r>
      <w:proofErr w:type="spellStart"/>
      <w:r w:rsidRPr="00BD22D3">
        <w:rPr>
          <w:rFonts w:ascii="Arial" w:hAnsi="Arial" w:cs="Arial"/>
        </w:rPr>
        <w:t>Desikan-Kill</w:t>
      </w:r>
      <w:r>
        <w:rPr>
          <w:rFonts w:ascii="Arial" w:hAnsi="Arial" w:cs="Arial"/>
        </w:rPr>
        <w:t>i</w:t>
      </w:r>
      <w:r w:rsidRPr="00BD22D3">
        <w:rPr>
          <w:rFonts w:ascii="Arial" w:hAnsi="Arial" w:cs="Arial"/>
        </w:rPr>
        <w:t>any</w:t>
      </w:r>
      <w:proofErr w:type="spellEnd"/>
      <w:r w:rsidRPr="00BD22D3">
        <w:rPr>
          <w:rFonts w:ascii="Arial" w:hAnsi="Arial" w:cs="Arial"/>
        </w:rPr>
        <w:t xml:space="preserve"> atlas, were averaged independently for each donor and then averaged across donors. </w:t>
      </w:r>
    </w:p>
    <w:p w14:paraId="66ECDB37" w14:textId="5AC47DC9" w:rsidR="003F0C2C" w:rsidRDefault="003F0C2C" w:rsidP="003F0C2C">
      <w:pPr>
        <w:spacing w:line="480" w:lineRule="auto"/>
        <w:jc w:val="both"/>
        <w:rPr>
          <w:rFonts w:ascii="Arial" w:hAnsi="Arial" w:cs="Arial"/>
        </w:rPr>
      </w:pPr>
      <w:r>
        <w:rPr>
          <w:rFonts w:ascii="Arial" w:hAnsi="Arial" w:cs="Arial"/>
        </w:rPr>
        <w:t xml:space="preserve">Using SDM, we extracted the effect-size estimates of the voxel of the centroid for each of the 78 regions of the </w:t>
      </w:r>
      <w:proofErr w:type="spellStart"/>
      <w:r>
        <w:rPr>
          <w:rFonts w:ascii="Arial" w:hAnsi="Arial" w:cs="Arial"/>
        </w:rPr>
        <w:t>Desikan-Killiany</w:t>
      </w:r>
      <w:proofErr w:type="spellEnd"/>
      <w:r>
        <w:rPr>
          <w:rFonts w:ascii="Arial" w:hAnsi="Arial" w:cs="Arial"/>
        </w:rPr>
        <w:t xml:space="preserve"> </w:t>
      </w:r>
      <w:r>
        <w:rPr>
          <w:rFonts w:ascii="Arial" w:hAnsi="Arial" w:cs="Arial"/>
        </w:rPr>
        <w:fldChar w:fldCharType="begin" w:fldLock="1"/>
      </w:r>
      <w:r w:rsidR="00317597">
        <w:rPr>
          <w:rFonts w:ascii="Arial" w:hAnsi="Arial" w:cs="Arial"/>
        </w:rPr>
        <w:instrText>ADDIN CSL_CITATION {"citationItems":[{"id":"ITEM-1","itemData":{"DOI":"10.1016/j.neuroimage.2006.01.021","ISSN":"10538119","PMID":"16530430","abstract":"In this study, we have assessed the validity and reliability of an automated labeling system that we have developed for subdividing the human cerebral cortex on magnetic resonance images into gyral based regions of interest (ROIs). Using a dataset of 40 MRI scans we manually identified 34 cortical ROIs in each of the individual hemispheres. This information was then encoded in the form of an atlas that was utilized to automatically label ROIs. To examine the validity, as well as the intra- and inter-rater reliability of the automated system, we used both intraclass correlation coefficients (ICC), and a new method known as mean distance maps, to assess the degree of mismatch between the manual and the automated sets of ROIs. When compared with the manual ROIs, the automated ROIs were highly accurate, with an average ICC of 0.835 across all of the ROIs, and a mean distance error of less than 1 mm. Intra- and inter-rater comparisons yielded little to no difference between the sets of ROIs. These findings suggest that the automated method we have developed for subdividing the human cerebral cortex into standard gyral-based neuroanatomical regions is both anatomically valid and reliable. This method may be useful for both morphometric and functional studies of the cerebral cortex as well as for clinical investigations aimed at tracking the evolution of disease-induced changes over time, including clinical trials in which MRI-based measures are used to examine response to treatment. © 2006 Elsevier Inc. All rights reserved.","author":[{"dropping-particle":"","family":"Desikan","given":"Rahul S.","non-dropping-particle":"","parse-names":false,"suffix":""},{"dropping-particle":"","family":"Ségonne","given":"Florent","non-dropping-particle":"","parse-names":false,"suffix":""},{"dropping-particle":"","family":"Fischl","given":"Bruce","non-dropping-particle":"","parse-names":false,"suffix":""},{"dropping-particle":"","family":"Quinn","given":"Brian T.","non-dropping-particle":"","parse-names":false,"suffix":""},{"dropping-particle":"","family":"Dickerson","given":"Bradford C.","non-dropping-particle":"","parse-names":false,"suffix":""},{"dropping-particle":"","family":"Blacker","given":"Deborah","non-dropping-particle":"","parse-names":false,"suffix":""},{"dropping-particle":"","family":"Buckner","given":"Randy L.","non-dropping-particle":"","parse-names":false,"suffix":""},{"dropping-particle":"","family":"Dale","given":"Anders M.","non-dropping-particle":"","parse-names":false,"suffix":""},{"dropping-particle":"","family":"Maguire","given":"R. Paul","non-dropping-particle":"","parse-names":false,"suffix":""},{"dropping-particle":"","family":"Hyman","given":"Bradley T.","non-dropping-particle":"","parse-names":false,"suffix":""},{"dropping-particle":"","family":"Albert","given":"Marilyn S.","non-dropping-particle":"","parse-names":false,"suffix":""},{"dropping-particle":"","family":"Killiany","given":"Ronald J.","non-dropping-particle":"","parse-names":false,"suffix":""}],"container-title":"NeuroImage","id":"ITEM-1","issue":"3","issued":{"date-parts":[["2006","7","1"]]},"page":"968-980","publisher":"Neuroimage","title":"An automated labeling system for subdividing the human cerebral cortex on MRI scans into gyral based regions of interest","type":"article-journal","volume":"31"},"uris":["http://www.mendeley.com/documents/?uuid=c93f3d29-9639-3d26-9df4-3ed95f1825c1"]}],"mendeley":{"formattedCitation":"(Desikan &lt;i&gt;et al.&lt;/i&gt;, 2006)","plainTextFormattedCitation":"(Desikan et al., 2006)","previouslyFormattedCitation":"(6)"},"properties":{"noteIndex":0},"schema":"https://github.com/citation-style-language/schema/raw/master/csl-citation.json"}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 xml:space="preserve">(Desikan </w:t>
      </w:r>
      <w:r w:rsidR="00317597" w:rsidRPr="00317597">
        <w:rPr>
          <w:rFonts w:ascii="Arial" w:hAnsi="Arial" w:cs="Arial"/>
          <w:i/>
          <w:noProof/>
        </w:rPr>
        <w:t>et al.</w:t>
      </w:r>
      <w:r w:rsidR="00317597" w:rsidRPr="00317597">
        <w:rPr>
          <w:rFonts w:ascii="Arial" w:hAnsi="Arial" w:cs="Arial"/>
          <w:noProof/>
        </w:rPr>
        <w:t>, 2006)</w:t>
      </w:r>
      <w:r>
        <w:rPr>
          <w:rFonts w:ascii="Arial" w:hAnsi="Arial" w:cs="Arial"/>
        </w:rPr>
        <w:fldChar w:fldCharType="end"/>
      </w:r>
      <w:r>
        <w:rPr>
          <w:rFonts w:ascii="Arial" w:hAnsi="Arial" w:cs="Arial"/>
        </w:rPr>
        <w:t xml:space="preserve"> atlas from our main imaging meta-analysis with all participants. </w:t>
      </w:r>
    </w:p>
    <w:p w14:paraId="27A2B67C" w14:textId="6734CD07" w:rsidR="003F0C2C" w:rsidRDefault="003F0C2C" w:rsidP="003F0C2C">
      <w:pPr>
        <w:spacing w:line="480" w:lineRule="auto"/>
        <w:jc w:val="both"/>
        <w:rPr>
          <w:rFonts w:ascii="Arial" w:hAnsi="Arial" w:cs="Arial"/>
        </w:rPr>
      </w:pPr>
      <w:r>
        <w:rPr>
          <w:rFonts w:ascii="Arial" w:hAnsi="Arial" w:cs="Arial"/>
        </w:rPr>
        <w:t>L</w:t>
      </w:r>
      <w:r w:rsidRPr="00BD22D3">
        <w:rPr>
          <w:rFonts w:ascii="Arial" w:hAnsi="Arial" w:cs="Arial"/>
        </w:rPr>
        <w:t>inear regression analysis</w:t>
      </w:r>
      <w:r>
        <w:rPr>
          <w:rFonts w:ascii="Arial" w:hAnsi="Arial" w:cs="Arial"/>
        </w:rPr>
        <w:t xml:space="preserve"> was then conducted where the SDM effect-size estimates for brain regions in the </w:t>
      </w:r>
      <w:proofErr w:type="spellStart"/>
      <w:r>
        <w:rPr>
          <w:rFonts w:ascii="Arial" w:hAnsi="Arial" w:cs="Arial"/>
        </w:rPr>
        <w:t>Desikan-Killiany</w:t>
      </w:r>
      <w:proofErr w:type="spellEnd"/>
      <w:r>
        <w:rPr>
          <w:rFonts w:ascii="Arial" w:hAnsi="Arial" w:cs="Arial"/>
        </w:rPr>
        <w:t xml:space="preserve"> </w:t>
      </w:r>
      <w:r>
        <w:rPr>
          <w:rFonts w:ascii="Arial" w:hAnsi="Arial" w:cs="Arial"/>
        </w:rPr>
        <w:fldChar w:fldCharType="begin" w:fldLock="1"/>
      </w:r>
      <w:r w:rsidR="00317597">
        <w:rPr>
          <w:rFonts w:ascii="Arial" w:hAnsi="Arial" w:cs="Arial"/>
        </w:rPr>
        <w:instrText>ADDIN CSL_CITATION {"citationItems":[{"id":"ITEM-1","itemData":{"DOI":"10.1016/j.neuroimage.2006.01.021","ISSN":"10538119","PMID":"16530430","abstract":"In this study, we have assessed the validity and reliability of an automated labeling system that we have developed for subdividing the human cerebral cortex on magnetic resonance images into gyral based regions of interest (ROIs). Using a dataset of 40 MRI scans we manually identified 34 cortical ROIs in each of the individual hemispheres. This information was then encoded in the form of an atlas that was utilized to automatically label ROIs. To examine the validity, as well as the intra- and inter-rater reliability of the automated system, we used both intraclass correlation coefficients (ICC), and a new method known as mean distance maps, to assess the degree of mismatch between the manual and the automated sets of ROIs. When compared with the manual ROIs, the automated ROIs were highly accurate, with an average ICC of 0.835 across all of the ROIs, and a mean distance error of less than 1 mm. Intra- and inter-rater comparisons yielded little to no difference between the sets of ROIs. These findings suggest that the automated method we have developed for subdividing the human cerebral cortex into standard gyral-based neuroanatomical regions is both anatomically valid and reliable. This method may be useful for both morphometric and functional studies of the cerebral cortex as well as for clinical investigations aimed at tracking the evolution of disease-induced changes over time, including clinical trials in which MRI-based measures are used to examine response to treatment. © 2006 Elsevier Inc. All rights reserved.","author":[{"dropping-particle":"","family":"Desikan","given":"Rahul S.","non-dropping-particle":"","parse-names":false,"suffix":""},{"dropping-particle":"","family":"Ségonne","given":"Florent","non-dropping-particle":"","parse-names":false,"suffix":""},{"dropping-particle":"","family":"Fischl","given":"Bruce","non-dropping-particle":"","parse-names":false,"suffix":""},{"dropping-particle":"","family":"Quinn","given":"Brian T.","non-dropping-particle":"","parse-names":false,"suffix":""},{"dropping-particle":"","family":"Dickerson","given":"Bradford C.","non-dropping-particle":"","parse-names":false,"suffix":""},{"dropping-particle":"","family":"Blacker","given":"Deborah","non-dropping-particle":"","parse-names":false,"suffix":""},{"dropping-particle":"","family":"Buckner","given":"Randy L.","non-dropping-particle":"","parse-names":false,"suffix":""},{"dropping-particle":"","family":"Dale","given":"Anders M.","non-dropping-particle":"","parse-names":false,"suffix":""},{"dropping-particle":"","family":"Maguire","given":"R. Paul","non-dropping-particle":"","parse-names":false,"suffix":""},{"dropping-particle":"","family":"Hyman","given":"Bradley T.","non-dropping-particle":"","parse-names":false,"suffix":""},{"dropping-particle":"","family":"Albert","given":"Marilyn S.","non-dropping-particle":"","parse-names":false,"suffix":""},{"dropping-particle":"","family":"Killiany","given":"Ronald J.","non-dropping-particle":"","parse-names":false,"suffix":""}],"container-title":"NeuroImage","id":"ITEM-1","issue":"3","issued":{"date-parts":[["2006","7","1"]]},"page":"968-980","publisher":"Neuroimage","title":"An automated labeling system for subdividing the human cerebral cortex on MRI scans into gyral based regions of interest","type":"article-journal","volume":"31"},"uris":["http://www.mendeley.com/documents/?uuid=c93f3d29-9639-3d26-9df4-3ed95f1825c1"]}],"mendeley":{"formattedCitation":"(Desikan &lt;i&gt;et al.&lt;/i&gt;, 2006)","plainTextFormattedCitation":"(Desikan et al., 2006)","previouslyFormattedCitation":"(6)"},"properties":{"noteIndex":0},"schema":"https://github.com/citation-style-language/schema/raw/master/csl-citation.json"}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 xml:space="preserve">(Desikan </w:t>
      </w:r>
      <w:r w:rsidR="00317597" w:rsidRPr="00317597">
        <w:rPr>
          <w:rFonts w:ascii="Arial" w:hAnsi="Arial" w:cs="Arial"/>
          <w:i/>
          <w:noProof/>
        </w:rPr>
        <w:t>et al.</w:t>
      </w:r>
      <w:r w:rsidR="00317597" w:rsidRPr="00317597">
        <w:rPr>
          <w:rFonts w:ascii="Arial" w:hAnsi="Arial" w:cs="Arial"/>
          <w:noProof/>
        </w:rPr>
        <w:t>, 2006)</w:t>
      </w:r>
      <w:r>
        <w:rPr>
          <w:rFonts w:ascii="Arial" w:hAnsi="Arial" w:cs="Arial"/>
        </w:rPr>
        <w:fldChar w:fldCharType="end"/>
      </w:r>
      <w:r>
        <w:rPr>
          <w:rFonts w:ascii="Arial" w:hAnsi="Arial" w:cs="Arial"/>
        </w:rPr>
        <w:t xml:space="preserve"> atlas were considered as the dependent variable and the corresponding average </w:t>
      </w:r>
      <w:r w:rsidRPr="00C32E2F">
        <w:rPr>
          <w:rFonts w:ascii="Arial" w:hAnsi="Arial" w:cs="Arial"/>
          <w:i/>
          <w:iCs/>
        </w:rPr>
        <w:t>FAAH</w:t>
      </w:r>
      <w:r w:rsidRPr="00D83676">
        <w:rPr>
          <w:rFonts w:ascii="Arial" w:hAnsi="Arial" w:cs="Arial"/>
        </w:rPr>
        <w:t xml:space="preserve">, </w:t>
      </w:r>
      <w:r w:rsidRPr="00C32E2F">
        <w:rPr>
          <w:rFonts w:ascii="Arial" w:hAnsi="Arial" w:cs="Arial"/>
          <w:i/>
          <w:iCs/>
        </w:rPr>
        <w:t>DRD2</w:t>
      </w:r>
      <w:r w:rsidRPr="00D83676">
        <w:rPr>
          <w:rFonts w:ascii="Arial" w:hAnsi="Arial" w:cs="Arial"/>
        </w:rPr>
        <w:t xml:space="preserve">, </w:t>
      </w:r>
      <w:r w:rsidRPr="00C32E2F">
        <w:rPr>
          <w:rFonts w:ascii="Arial" w:hAnsi="Arial" w:cs="Arial"/>
          <w:i/>
          <w:iCs/>
        </w:rPr>
        <w:t>HTR1A</w:t>
      </w:r>
      <w:r w:rsidRPr="00D83676">
        <w:rPr>
          <w:rFonts w:ascii="Arial" w:hAnsi="Arial" w:cs="Arial"/>
        </w:rPr>
        <w:t xml:space="preserve"> and </w:t>
      </w:r>
      <w:r w:rsidRPr="00C32E2F">
        <w:rPr>
          <w:rFonts w:ascii="Arial" w:hAnsi="Arial" w:cs="Arial"/>
          <w:i/>
          <w:iCs/>
        </w:rPr>
        <w:t>CNR1</w:t>
      </w:r>
      <w:r w:rsidRPr="00D83676">
        <w:rPr>
          <w:rFonts w:ascii="Arial" w:hAnsi="Arial" w:cs="Arial"/>
          <w:b/>
          <w:bCs/>
        </w:rPr>
        <w:t xml:space="preserve"> </w:t>
      </w:r>
      <w:r>
        <w:rPr>
          <w:rFonts w:ascii="Arial" w:hAnsi="Arial" w:cs="Arial"/>
        </w:rPr>
        <w:t xml:space="preserve">gene expression values derived from the Allen Human Brain Atlas were considered as the predictor variables. Regression diagnostics were first conducted using the </w:t>
      </w:r>
      <w:r w:rsidRPr="002D6EEA">
        <w:rPr>
          <w:rFonts w:ascii="Arial" w:hAnsi="Arial" w:cs="Arial"/>
          <w:i/>
          <w:iCs/>
        </w:rPr>
        <w:t>Companion to Applied Regression</w:t>
      </w:r>
      <w:r>
        <w:rPr>
          <w:rFonts w:ascii="Arial" w:hAnsi="Arial" w:cs="Arial"/>
          <w:i/>
          <w:iCs/>
        </w:rPr>
        <w:t xml:space="preserve"> (</w:t>
      </w:r>
      <w:r w:rsidRPr="00681FF9">
        <w:rPr>
          <w:rFonts w:ascii="Arial" w:hAnsi="Arial" w:cs="Arial"/>
          <w:i/>
          <w:iCs/>
        </w:rPr>
        <w:t>car</w:t>
      </w:r>
      <w:r>
        <w:rPr>
          <w:rFonts w:ascii="Arial" w:hAnsi="Arial" w:cs="Arial"/>
          <w:i/>
          <w:iCs/>
        </w:rPr>
        <w:t>)</w:t>
      </w:r>
      <w:r>
        <w:rPr>
          <w:rFonts w:ascii="Arial" w:hAnsi="Arial" w:cs="Arial"/>
        </w:rPr>
        <w:t xml:space="preserve"> package in R </w:t>
      </w:r>
      <w:r>
        <w:rPr>
          <w:rFonts w:ascii="Arial" w:hAnsi="Arial" w:cs="Arial"/>
        </w:rPr>
        <w:fldChar w:fldCharType="begin" w:fldLock="1"/>
      </w:r>
      <w:r w:rsidR="00317597">
        <w:rPr>
          <w:rFonts w:ascii="Arial" w:hAnsi="Arial" w:cs="Arial"/>
        </w:rPr>
        <w:instrText>ADDIN CSL_CITATION {"citationItems":[{"id":"ITEM-1","itemData":{"author":[{"dropping-particle":"","family":"Fox","given":"John","non-dropping-particle":"","parse-names":false,"suffix":""}],"id":"ITEM-1","issued":{"date-parts":[["2021","6","27"]]},"publisher":"Comprehensive R Archive Network (CRAN)","title":"Companion to Applied Regression [R package car version 3.0-11]","type":"article-journal"},"uris":["http://www.mendeley.com/documents/?uuid=67abfd5a-520b-31b9-9e98-e64cb00451bc"]}],"mendeley":{"formattedCitation":"(Fox, 2021)","plainTextFormattedCitation":"(Fox, 2021)","previouslyFormattedCitation":"(7)"},"properties":{"noteIndex":0},"schema":"https://github.com/citation-style-language/schema/raw/master/csl-citation.json"}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(Fox, 2021)</w:t>
      </w:r>
      <w:r>
        <w:rPr>
          <w:rFonts w:ascii="Arial" w:hAnsi="Arial" w:cs="Arial"/>
        </w:rPr>
        <w:fldChar w:fldCharType="end"/>
      </w:r>
      <w:r>
        <w:rPr>
          <w:rFonts w:ascii="Arial" w:hAnsi="Arial" w:cs="Arial"/>
        </w:rPr>
        <w:t>. QQ plots were used to assess normal distribution of the residuals. Variance inflation factor was used to test for multicollinearity, and a spread-level plot was used to assess heteroskedasticity. We then carried out multiple linear regression analysis using Python 3.7.9</w:t>
      </w:r>
      <w:r>
        <w:rPr>
          <w:rFonts w:ascii="Arial" w:hAnsi="Arial" w:cs="Arial"/>
        </w:rPr>
        <w:fldChar w:fldCharType="begin" w:fldLock="1"/>
      </w:r>
      <w:r w:rsidR="00317597">
        <w:rPr>
          <w:rFonts w:ascii="Arial" w:hAnsi="Arial" w:cs="Arial"/>
        </w:rPr>
        <w:instrText>ADDIN CSL_CITATION {"citationItems":[{"id":"ITEM-1","itemData":{"URL":"https://www.python.org/about/","abstract":"The official home of the Python Programming Language","accessed":{"date-parts":[["2021","1","26"]]},"author":[{"dropping-particle":"","family":"Python Software Foundation","given":"","non-dropping-particle":"","parse-names":false,"suffix":""}],"id":"ITEM-1","issued":{"date-parts":[["2016"]]},"title":"Welcome to Python.org","type":"webpage"},"uris":["http://www.mendeley.com/documents/?uuid=39760dea-4abe-3078-9627-ff0e4075d5e2"]}],"mendeley":{"formattedCitation":"(Python Software Foundation, 2016)","plainTextFormattedCitation":"(Python Software Foundation, 2016)","previouslyFormattedCitation":"(8)"},"properties":{"noteIndex":0},"schema":"https://github.com/citation-style-language/schema/raw/master/csl-citation.json"}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(Python Software Foundation, 2016)</w:t>
      </w:r>
      <w:r>
        <w:rPr>
          <w:rFonts w:ascii="Arial" w:hAnsi="Arial" w:cs="Arial"/>
        </w:rPr>
        <w:fldChar w:fldCharType="end"/>
      </w:r>
      <w:r>
        <w:rPr>
          <w:rFonts w:ascii="Arial" w:hAnsi="Arial" w:cs="Arial"/>
        </w:rPr>
        <w:t>.</w:t>
      </w:r>
    </w:p>
    <w:p w14:paraId="6446E978" w14:textId="77777777" w:rsidR="003F0C2C" w:rsidRDefault="003F0C2C" w:rsidP="00B00877">
      <w:pPr>
        <w:spacing w:line="480" w:lineRule="auto"/>
        <w:jc w:val="both"/>
        <w:rPr>
          <w:rFonts w:ascii="Arial" w:hAnsi="Arial" w:cs="Arial"/>
          <w:b/>
          <w:bCs/>
          <w:i/>
          <w:iCs/>
        </w:rPr>
      </w:pPr>
    </w:p>
    <w:p w14:paraId="32653E46" w14:textId="77777777" w:rsidR="00C733BC" w:rsidRDefault="00C733BC">
      <w:pPr>
        <w:rPr>
          <w:rFonts w:ascii="Arial" w:hAnsi="Arial" w:cs="Arial"/>
          <w:b/>
          <w:bCs/>
          <w:i/>
          <w:iCs/>
        </w:rPr>
      </w:pPr>
      <w:r>
        <w:rPr>
          <w:rFonts w:ascii="Arial" w:hAnsi="Arial" w:cs="Arial"/>
          <w:b/>
          <w:bCs/>
          <w:i/>
          <w:iCs/>
        </w:rPr>
        <w:br w:type="page"/>
      </w:r>
    </w:p>
    <w:p w14:paraId="16480B00" w14:textId="4188A66B" w:rsidR="00B00877" w:rsidRDefault="00B00877" w:rsidP="00B00877">
      <w:pPr>
        <w:spacing w:line="480" w:lineRule="auto"/>
        <w:jc w:val="both"/>
        <w:rPr>
          <w:rFonts w:ascii="Arial" w:hAnsi="Arial" w:cs="Arial"/>
          <w:b/>
          <w:bCs/>
          <w:i/>
          <w:iCs/>
        </w:rPr>
      </w:pPr>
      <w:r>
        <w:rPr>
          <w:rFonts w:ascii="Arial" w:hAnsi="Arial" w:cs="Arial"/>
          <w:b/>
          <w:bCs/>
          <w:i/>
          <w:iCs/>
        </w:rPr>
        <w:lastRenderedPageBreak/>
        <w:t>Supplementary Results:</w:t>
      </w:r>
    </w:p>
    <w:p w14:paraId="64DAB911" w14:textId="1CE6A667" w:rsidR="00B00877" w:rsidRDefault="00176BBD" w:rsidP="00B00877">
      <w:pPr>
        <w:spacing w:line="480" w:lineRule="auto"/>
        <w:jc w:val="both"/>
        <w:rPr>
          <w:rFonts w:ascii="Arial" w:hAnsi="Arial" w:cs="Arial"/>
          <w:b/>
          <w:bCs/>
          <w:i/>
          <w:iCs/>
        </w:rPr>
      </w:pPr>
      <w:r>
        <w:rPr>
          <w:rFonts w:ascii="Arial" w:hAnsi="Arial" w:cs="Arial"/>
          <w:b/>
          <w:bCs/>
          <w:i/>
          <w:iCs/>
        </w:rPr>
        <w:t>Jack-Knife Leave One Out Analysis Matrix</w:t>
      </w:r>
      <w:r w:rsidRPr="00DE25C5">
        <w:rPr>
          <w:rFonts w:ascii="Arial" w:hAnsi="Arial" w:cs="Arial"/>
          <w:b/>
          <w:bCs/>
          <w:i/>
          <w:iCs/>
        </w:rPr>
        <w:t xml:space="preserve"> </w:t>
      </w:r>
      <w:proofErr w:type="gramStart"/>
      <w:r>
        <w:rPr>
          <w:rFonts w:ascii="Arial" w:hAnsi="Arial" w:cs="Arial"/>
          <w:b/>
          <w:bCs/>
          <w:i/>
          <w:iCs/>
        </w:rPr>
        <w:t>And</w:t>
      </w:r>
      <w:proofErr w:type="gramEnd"/>
      <w:r>
        <w:rPr>
          <w:rFonts w:ascii="Arial" w:hAnsi="Arial" w:cs="Arial"/>
          <w:b/>
          <w:bCs/>
          <w:i/>
          <w:iCs/>
        </w:rPr>
        <w:t xml:space="preserve"> </w:t>
      </w:r>
      <w:r w:rsidR="00B00877" w:rsidRPr="00DE25C5">
        <w:rPr>
          <w:rFonts w:ascii="Arial" w:hAnsi="Arial" w:cs="Arial"/>
          <w:b/>
          <w:bCs/>
          <w:i/>
          <w:iCs/>
        </w:rPr>
        <w:t xml:space="preserve">Funnel Plots For </w:t>
      </w:r>
      <w:r w:rsidR="00E76894">
        <w:rPr>
          <w:rFonts w:ascii="Arial" w:hAnsi="Arial" w:cs="Arial"/>
          <w:b/>
          <w:bCs/>
          <w:i/>
          <w:iCs/>
        </w:rPr>
        <w:t>Clusters</w:t>
      </w:r>
      <w:r w:rsidR="00B00877" w:rsidRPr="00DE25C5">
        <w:rPr>
          <w:rFonts w:ascii="Arial" w:hAnsi="Arial" w:cs="Arial"/>
          <w:b/>
          <w:bCs/>
          <w:i/>
          <w:iCs/>
        </w:rPr>
        <w:t xml:space="preserve"> In </w:t>
      </w:r>
      <w:r w:rsidR="00B00877">
        <w:rPr>
          <w:rFonts w:ascii="Arial" w:hAnsi="Arial" w:cs="Arial"/>
          <w:b/>
          <w:bCs/>
          <w:i/>
          <w:iCs/>
        </w:rPr>
        <w:t xml:space="preserve">Core Analysis </w:t>
      </w:r>
      <w:r w:rsidR="00B00877" w:rsidRPr="00DE25C5">
        <w:rPr>
          <w:rFonts w:ascii="Arial" w:hAnsi="Arial" w:cs="Arial"/>
          <w:b/>
          <w:bCs/>
          <w:i/>
          <w:iCs/>
        </w:rPr>
        <w:t>With Egger’s Test For Asymmetry</w:t>
      </w:r>
      <w:r w:rsidR="00B00877">
        <w:rPr>
          <w:rFonts w:ascii="Arial" w:hAnsi="Arial" w:cs="Arial"/>
          <w:b/>
          <w:bCs/>
          <w:i/>
          <w:iCs/>
        </w:rPr>
        <w:t xml:space="preserve"> And </w:t>
      </w:r>
    </w:p>
    <w:p w14:paraId="35FAB89D" w14:textId="20ACFDD6" w:rsidR="00176BBD" w:rsidRDefault="00DE7DFC" w:rsidP="00B00877">
      <w:pPr>
        <w:spacing w:line="480" w:lineRule="auto"/>
        <w:jc w:val="both"/>
        <w:rPr>
          <w:rFonts w:ascii="Arial" w:hAnsi="Arial" w:cs="Arial"/>
        </w:rPr>
      </w:pPr>
      <w:r>
        <w:rPr>
          <w:rFonts w:ascii="Arial" w:hAnsi="Arial" w:cs="Arial"/>
        </w:rPr>
        <w:t xml:space="preserve">The funnel plots below depict Hedge’s g effect size estimates from individual studies (x axis) against the standard error (SE) (y axis). Larger, more powerful studies are placed at the top of the funnel plot. </w:t>
      </w:r>
      <w:r w:rsidRPr="0065214A">
        <w:rPr>
          <w:rFonts w:ascii="Arial" w:hAnsi="Arial" w:cs="Arial"/>
        </w:rPr>
        <w:t xml:space="preserve">The effect </w:t>
      </w:r>
      <w:r>
        <w:rPr>
          <w:rFonts w:ascii="Arial" w:hAnsi="Arial" w:cs="Arial"/>
        </w:rPr>
        <w:t xml:space="preserve">size </w:t>
      </w:r>
      <w:r w:rsidRPr="0065214A">
        <w:rPr>
          <w:rFonts w:ascii="Arial" w:hAnsi="Arial" w:cs="Arial"/>
        </w:rPr>
        <w:t xml:space="preserve">estimates from smaller studies </w:t>
      </w:r>
      <w:r>
        <w:rPr>
          <w:rFonts w:ascii="Arial" w:hAnsi="Arial" w:cs="Arial"/>
        </w:rPr>
        <w:t>are distributed</w:t>
      </w:r>
      <w:r w:rsidRPr="0065214A">
        <w:rPr>
          <w:rFonts w:ascii="Arial" w:hAnsi="Arial" w:cs="Arial"/>
        </w:rPr>
        <w:t xml:space="preserve"> at the bottom</w:t>
      </w:r>
      <w:r>
        <w:rPr>
          <w:rFonts w:ascii="Arial" w:hAnsi="Arial" w:cs="Arial"/>
        </w:rPr>
        <w:t xml:space="preserve"> of the plot</w:t>
      </w:r>
      <w:r w:rsidRPr="0065214A">
        <w:rPr>
          <w:rFonts w:ascii="Arial" w:hAnsi="Arial" w:cs="Arial"/>
        </w:rPr>
        <w:t>, with the spread narrowing among larger studies</w:t>
      </w:r>
      <w:r w:rsidR="00FB662D">
        <w:rPr>
          <w:rFonts w:ascii="Arial" w:hAnsi="Arial" w:cs="Arial"/>
        </w:rPr>
        <w:t xml:space="preserve"> </w:t>
      </w:r>
      <w:r>
        <w:rPr>
          <w:rFonts w:ascii="Arial" w:hAnsi="Arial" w:cs="Arial"/>
        </w:rPr>
        <w:fldChar w:fldCharType="begin" w:fldLock="1"/>
      </w:r>
      <w:r w:rsidR="00317597">
        <w:rPr>
          <w:rFonts w:ascii="Arial" w:hAnsi="Arial" w:cs="Arial"/>
        </w:rPr>
        <w:instrText>ADDIN CSL_CITATION {"citationItems":[{"id":"ITEM-1","itemData":{"DOI":"10.2307/2982993","ISSN":"09641998","abstract":"JSTOR is a not-for-profit service that helps scholars, researchers, and students discover, use, and build upon a wide range of content in a trusted digital archive. We use information technology and tools to increase productivity and facilitate new forms of scholarship. For more information about JSTOR, please contact support@jstor.org. [Read before the Royal Statistical Society on Wednesday June 15th, 1988, the President Sir John Kingman in the Chair] SUMMARY Publication bias, the phenomenon in which studies with positive results are more likely to be published than studies with negative results, is a serious problem in the interpretation of scientific research. Various hypothetical models have been studied which clarify the potential for bias and highlight characteristics which make a study especially susceptible to bias. Empirical investigations have supported the hypothesis that bias exists and have provided a quantitative assessment of the magnitude of the problem. The use of meta-analysis as a research tool has focused attention on the issue, since naive methodologies in this area are especially susceptible to bias. In this paper we review the available research, discuss alternative suggestions for conducting unbiased meta-analysis and suggest some scientific policy measures which could improve the quality of published data in the long term. Keywords: META-ANALYSIS: PUBLICATION BIAS 'For as knowledges are now delivered, there is a kind of contract of error between the deliverer and the receiver: for he that delivereth knowledge desireth to deliver it in such form as may be best believed, and not as may be best examined; and he that receiveth knowledge desireth rather present satisfaction than expectant inquiry; and so rather not to doubt than not to err: glory making the author not to lay open his weakness, and sloth making the disciple not to know his strength.' (The Advancement of Learning, Francis Bacon, 1605.)","author":[{"dropping-particle":"","family":"Begg","given":"Colin B.","non-dropping-particle":"","parse-names":false,"suffix":""},{"dropping-particle":"","family":"Berlin","given":"Jesse A.","non-dropping-particle":"","parse-names":false,"suffix":""}],"container-title":"Journal of the Royal Statistical Society. Series A (Statistics in Society)","id":"ITEM-1","issue":"3","issued":{"date-parts":[["1988"]]},"page":"419","publisher":"JSTOR","title":"Publication Bias: A Problem in Interpreting Medical Data","type":"article-journal","volume":"151"},"uris":["http://www.mendeley.com/documents/?uuid=84cb8efe-4027-3ca9-8026-5980a86bb268"]}],"mendeley":{"formattedCitation":"(Begg and Berlin, 1988)","plainTextFormattedCitation":"(Begg and Berlin, 1988)","previouslyFormattedCitation":"(9)"},"properties":{"noteIndex":0},"schema":"https://github.com/citation-style-language/schema/raw/master/csl-citation.json"}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(Begg and Berlin, 1988)</w:t>
      </w:r>
      <w:r>
        <w:rPr>
          <w:rFonts w:ascii="Arial" w:hAnsi="Arial" w:cs="Arial"/>
        </w:rPr>
        <w:fldChar w:fldCharType="end"/>
      </w:r>
      <w:r>
        <w:rPr>
          <w:rFonts w:ascii="Arial" w:hAnsi="Arial" w:cs="Arial"/>
        </w:rPr>
        <w:t xml:space="preserve">. In the </w:t>
      </w:r>
      <w:r w:rsidRPr="006A0548">
        <w:rPr>
          <w:rFonts w:ascii="Arial" w:hAnsi="Arial" w:cs="Arial"/>
        </w:rPr>
        <w:t xml:space="preserve">absence of bias and between study heterogeneity, the scatter </w:t>
      </w:r>
      <w:r>
        <w:rPr>
          <w:rFonts w:ascii="Arial" w:hAnsi="Arial" w:cs="Arial"/>
        </w:rPr>
        <w:t>should arise from</w:t>
      </w:r>
      <w:r w:rsidRPr="006A0548">
        <w:rPr>
          <w:rFonts w:ascii="Arial" w:hAnsi="Arial" w:cs="Arial"/>
        </w:rPr>
        <w:t xml:space="preserve"> </w:t>
      </w:r>
      <w:r>
        <w:rPr>
          <w:rFonts w:ascii="Arial" w:hAnsi="Arial" w:cs="Arial"/>
        </w:rPr>
        <w:t xml:space="preserve">variations in </w:t>
      </w:r>
      <w:r w:rsidRPr="006A0548">
        <w:rPr>
          <w:rFonts w:ascii="Arial" w:hAnsi="Arial" w:cs="Arial"/>
        </w:rPr>
        <w:t xml:space="preserve">sampling </w:t>
      </w:r>
      <w:r>
        <w:rPr>
          <w:rFonts w:ascii="Arial" w:hAnsi="Arial" w:cs="Arial"/>
        </w:rPr>
        <w:t>shown by a s</w:t>
      </w:r>
      <w:r w:rsidRPr="006A0548">
        <w:rPr>
          <w:rFonts w:ascii="Arial" w:hAnsi="Arial" w:cs="Arial"/>
        </w:rPr>
        <w:t>ymmetrical inverted funnel</w:t>
      </w:r>
      <w:r w:rsidR="00FB662D">
        <w:rPr>
          <w:rFonts w:ascii="Arial" w:hAnsi="Arial" w:cs="Arial"/>
        </w:rPr>
        <w:t xml:space="preserve"> </w:t>
      </w:r>
      <w:r>
        <w:rPr>
          <w:rFonts w:ascii="Arial" w:hAnsi="Arial" w:cs="Arial"/>
        </w:rPr>
        <w:fldChar w:fldCharType="begin" w:fldLock="1"/>
      </w:r>
      <w:r w:rsidR="00317597">
        <w:rPr>
          <w:rFonts w:ascii="Arial" w:hAnsi="Arial" w:cs="Arial"/>
        </w:rPr>
        <w:instrText>ADDIN CSL_CITATION {"citationItems":[{"id":"ITEM-1","itemData":{"DOI":"10.1136/bmj.d4002","ISSN":"09598146","PMID":"21784880","abstract":"Funnel plots, and tests for funnel plot asymmetry, have been widely used to examine bias in the results of meta-analyses. Funnel plot asymmetry should not be equated with publication bias, because it has a number of other possible causes. This article describes how to interpret funnel plot asymmetry, recommends appropriate tests, and explains the implications for choice of meta-analysis model The 1997 paper describing the test for funnel plot asymmetry proposed by Egger et al 1 is one of the most cited articles in the history of BMJ. 1 Despite the recommendations contained in this and subsequent papers, 2 3 funnel plot asymmetry is often, wrongly, equated with publication or other reporting biases. The use and appropriate interpretation of funnel plots and tests for funnel plot asymmetry have been controversial because of questions about statistical validity, 4 disputes over appropriate interpretation, 3 5 6 and low power of the tests. 2 This article recommends how to examine and interpret funnel plot asymmetry (also known as small study effects 2) in meta-analyses of randomised controlled trials. The recommendations are based on a detailed MEDLINE review of literature published up to 2007 and discussions among methodologists, who extended and adapted guidance previously summarised in the Cochrane Handbook for Systematic Reviews of Interventions. 7 What is a funnel plot? A funnel plot is a scatter plot of the effect estimates from individual studies against some measure of each study's size or precision. The standard error of the effect estimate is often chosen as the measure of study size and plotted on the vertical axis 8 with a reversed scale that places the larger, most powerful studies towards the top. The effect estimates from smaller studies should scatter more widely at the bottom, with the spread narrowing among larger studies. 9 In the absence of bias and between study heterogeneity, the scatter will be due to sampling variation alone and the plot will resemble a symmetrical inverted funnel (fig 1). A triangle centred on a fixed effect summary estimate and extending 1.96 standard errors either side will Correspondence to: J A C Sterne jonathan.sterne@bristol.ac.uk Technical appendix (see","author":[{"dropping-particle":"","family":"Sterne","given":"Jonathan A.C.","non-dropping-particle":"","parse-names":false,"suffix":""},{"dropping-particle":"","family":"Sutton","given":"Alex J.","non-dropping-particle":"","parse-names":false,"suffix":""},{"dropping-particle":"","family":"Ioannidis","given":"John P.A.","non-dropping-particle":"","parse-names":false,"suffix":""},{"dropping-particle":"","family":"Terrin","given":"Norma","non-dropping-particle":"","parse-names":false,"suffix":""},{"dropping-particle":"","family":"Jones","given":"David R.","non-dropping-particle":"","parse-names":false,"suffix":""},{"dropping-particle":"","family":"Lau","given":"Joseph","non-dropping-particle":"","parse-names":false,"suffix":""},{"dropping-particle":"","family":"Carpenter","given":"James","non-dropping-particle":"","parse-names":false,"suffix":""},{"dropping-particle":"","family":"Rücker","given":"Gerta","non-dropping-particle":"","parse-names":false,"suffix":""},{"dropping-particle":"","family":"Harbord","given":"Roger M.","non-dropping-particle":"","parse-names":false,"suffix":""},{"dropping-particle":"","family":"Schmid","given":"Christopher H.","non-dropping-particle":"","parse-names":false,"suffix":""},{"dropping-particle":"","family":"Tetzlaff","given":"Jennifer","non-dropping-particle":"","parse-names":false,"suffix":""},{"dropping-particle":"","family":"Deeks","given":"Jonathan J.","non-dropping-particle":"","parse-names":false,"suffix":""},{"dropping-particle":"","family":"Peters","given":"Jaime","non-dropping-particle":"","parse-names":false,"suffix":""},{"dropping-particle":"","family":"Macaskill","given":"Petra","non-dropping-particle":"","parse-names":false,"suffix":""},{"dropping-particle":"","family":"Schwarzer","given":"Guido","non-dropping-particle":"","parse-names":false,"suffix":""},{"dropping-particle":"","family":"Duval","given":"Sue","non-dropping-particle":"","parse-names":false,"suffix":""},{"dropping-particle":"","family":"Altman","given":"Douglas G.","non-dropping-particle":"","parse-names":false,"suffix":""},{"dropping-particle":"","family":"Moher","given":"David","non-dropping-particle":"","parse-names":false,"suffix":""},{"dropping-particle":"","family":"Higgins","given":"Julian P.T.","non-dropping-particle":"","parse-names":false,"suffix":""}],"container-title":"BMJ (Online)","id":"ITEM-1","issue":"7818","issued":{"date-parts":[["2011","8","6"]]},"publisher":"British Medical Journal Publishing Group","title":"Recommendations for examining and interpreting funnel plot asymmetry in meta-analyses of randomised controlled trials","type":"article-journal","volume":"343"},"uris":["http://www.mendeley.com/documents/?uuid=095c25da-cb51-3bed-8617-050ae7ceaf09"]}],"mendeley":{"formattedCitation":"(Sterne &lt;i&gt;et al.&lt;/i&gt;, 2011)","plainTextFormattedCitation":"(Sterne et al., 2011)","previouslyFormattedCitation":"(10)"},"properties":{"noteIndex":0},"schema":"https://github.com/citation-style-language/schema/raw/master/csl-citation.json"}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 xml:space="preserve">(Sterne </w:t>
      </w:r>
      <w:r w:rsidR="00317597" w:rsidRPr="00317597">
        <w:rPr>
          <w:rFonts w:ascii="Arial" w:hAnsi="Arial" w:cs="Arial"/>
          <w:i/>
          <w:noProof/>
        </w:rPr>
        <w:t>et al.</w:t>
      </w:r>
      <w:r w:rsidR="00317597" w:rsidRPr="00317597">
        <w:rPr>
          <w:rFonts w:ascii="Arial" w:hAnsi="Arial" w:cs="Arial"/>
          <w:noProof/>
        </w:rPr>
        <w:t>, 2011)</w:t>
      </w:r>
      <w:r>
        <w:rPr>
          <w:rFonts w:ascii="Arial" w:hAnsi="Arial" w:cs="Arial"/>
        </w:rPr>
        <w:fldChar w:fldCharType="end"/>
      </w:r>
      <w:r>
        <w:rPr>
          <w:rFonts w:ascii="Arial" w:hAnsi="Arial" w:cs="Arial"/>
        </w:rPr>
        <w:t xml:space="preserve">. Present within the triangle should be 95% of the studies if there is no bias and the </w:t>
      </w:r>
      <w:r w:rsidRPr="006A0548">
        <w:rPr>
          <w:rFonts w:ascii="Arial" w:hAnsi="Arial" w:cs="Arial"/>
        </w:rPr>
        <w:t xml:space="preserve">fixed effect assumption </w:t>
      </w:r>
      <w:r>
        <w:rPr>
          <w:rFonts w:ascii="Arial" w:hAnsi="Arial" w:cs="Arial"/>
        </w:rPr>
        <w:t xml:space="preserve">is true </w:t>
      </w:r>
      <w:r w:rsidRPr="006A0548">
        <w:rPr>
          <w:rFonts w:ascii="Arial" w:hAnsi="Arial" w:cs="Arial"/>
        </w:rPr>
        <w:t>(the true effect</w:t>
      </w:r>
      <w:r>
        <w:rPr>
          <w:rFonts w:ascii="Arial" w:hAnsi="Arial" w:cs="Arial"/>
        </w:rPr>
        <w:t xml:space="preserve"> of </w:t>
      </w:r>
      <w:r w:rsidR="00A17A45">
        <w:rPr>
          <w:rFonts w:ascii="Arial" w:hAnsi="Arial" w:cs="Arial"/>
        </w:rPr>
        <w:t>CBD</w:t>
      </w:r>
      <w:r w:rsidR="00A17A45" w:rsidRPr="006A0548">
        <w:rPr>
          <w:rFonts w:ascii="Arial" w:hAnsi="Arial" w:cs="Arial"/>
        </w:rPr>
        <w:t xml:space="preserve"> </w:t>
      </w:r>
      <w:r w:rsidRPr="006A0548">
        <w:rPr>
          <w:rFonts w:ascii="Arial" w:hAnsi="Arial" w:cs="Arial"/>
        </w:rPr>
        <w:t>is the same in each study).</w:t>
      </w:r>
      <w:r>
        <w:rPr>
          <w:rFonts w:ascii="Arial" w:hAnsi="Arial" w:cs="Arial"/>
        </w:rPr>
        <w:t xml:space="preserve"> Factors that may cause </w:t>
      </w:r>
      <w:r w:rsidRPr="00593388">
        <w:rPr>
          <w:rFonts w:ascii="Arial" w:hAnsi="Arial" w:cs="Arial"/>
        </w:rPr>
        <w:t>asymmetry</w:t>
      </w:r>
      <w:r>
        <w:rPr>
          <w:rFonts w:ascii="Arial" w:hAnsi="Arial" w:cs="Arial"/>
        </w:rPr>
        <w:t xml:space="preserve"> in the funnel plot may be h</w:t>
      </w:r>
      <w:r w:rsidRPr="00593388">
        <w:rPr>
          <w:rFonts w:ascii="Arial" w:hAnsi="Arial" w:cs="Arial"/>
        </w:rPr>
        <w:t>eterogeneity, reporting bias, choice of statistics being plotted</w:t>
      </w:r>
      <w:r>
        <w:rPr>
          <w:rFonts w:ascii="Arial" w:hAnsi="Arial" w:cs="Arial"/>
        </w:rPr>
        <w:t xml:space="preserve">, </w:t>
      </w:r>
      <w:r w:rsidRPr="00593388">
        <w:rPr>
          <w:rFonts w:ascii="Arial" w:hAnsi="Arial" w:cs="Arial"/>
        </w:rPr>
        <w:t>and chance</w:t>
      </w:r>
      <w:r w:rsidR="00FB662D">
        <w:rPr>
          <w:rFonts w:ascii="Arial" w:hAnsi="Arial" w:cs="Arial"/>
        </w:rPr>
        <w:t xml:space="preserve"> </w:t>
      </w:r>
      <w:r>
        <w:rPr>
          <w:rFonts w:ascii="Arial" w:hAnsi="Arial" w:cs="Arial"/>
        </w:rPr>
        <w:fldChar w:fldCharType="begin" w:fldLock="1"/>
      </w:r>
      <w:r w:rsidR="00317597">
        <w:rPr>
          <w:rFonts w:ascii="Arial" w:hAnsi="Arial" w:cs="Arial"/>
        </w:rPr>
        <w:instrText>ADDIN CSL_CITATION {"citationItems":[{"id":"ITEM-1","itemData":{"DOI":"10.1136/bmj.d4002","ISSN":"09598146","PMID":"21784880","abstract":"Funnel plots, and tests for funnel plot asymmetry, have been widely used to examine bias in the results of meta-analyses. Funnel plot asymmetry should not be equated with publication bias, because it has a number of other possible causes. This article describes how to interpret funnel plot asymmetry, recommends appropriate tests, and explains the implications for choice of meta-analysis model The 1997 paper describing the test for funnel plot asymmetry proposed by Egger et al 1 is one of the most cited articles in the history of BMJ. 1 Despite the recommendations contained in this and subsequent papers, 2 3 funnel plot asymmetry is often, wrongly, equated with publication or other reporting biases. The use and appropriate interpretation of funnel plots and tests for funnel plot asymmetry have been controversial because of questions about statistical validity, 4 disputes over appropriate interpretation, 3 5 6 and low power of the tests. 2 This article recommends how to examine and interpret funnel plot asymmetry (also known as small study effects 2) in meta-analyses of randomised controlled trials. The recommendations are based on a detailed MEDLINE review of literature published up to 2007 and discussions among methodologists, who extended and adapted guidance previously summarised in the Cochrane Handbook for Systematic Reviews of Interventions. 7 What is a funnel plot? A funnel plot is a scatter plot of the effect estimates from individual studies against some measure of each study's size or precision. The standard error of the effect estimate is often chosen as the measure of study size and plotted on the vertical axis 8 with a reversed scale that places the larger, most powerful studies towards the top. The effect estimates from smaller studies should scatter more widely at the bottom, with the spread narrowing among larger studies. 9 In the absence of bias and between study heterogeneity, the scatter will be due to sampling variation alone and the plot will resemble a symmetrical inverted funnel (fig 1). A triangle centred on a fixed effect summary estimate and extending 1.96 standard errors either side will Correspondence to: J A C Sterne jonathan.sterne@bristol.ac.uk Technical appendix (see","author":[{"dropping-particle":"","family":"Sterne","given":"Jonathan A.C.","non-dropping-particle":"","parse-names":false,"suffix":""},{"dropping-particle":"","family":"Sutton","given":"Alex J.","non-dropping-particle":"","parse-names":false,"suffix":""},{"dropping-particle":"","family":"Ioannidis","given":"John P.A.","non-dropping-particle":"","parse-names":false,"suffix":""},{"dropping-particle":"","family":"Terrin","given":"Norma","non-dropping-particle":"","parse-names":false,"suffix":""},{"dropping-particle":"","family":"Jones","given":"David R.","non-dropping-particle":"","parse-names":false,"suffix":""},{"dropping-particle":"","family":"Lau","given":"Joseph","non-dropping-particle":"","parse-names":false,"suffix":""},{"dropping-particle":"","family":"Carpenter","given":"James","non-dropping-particle":"","parse-names":false,"suffix":""},{"dropping-particle":"","family":"Rücker","given":"Gerta","non-dropping-particle":"","parse-names":false,"suffix":""},{"dropping-particle":"","family":"Harbord","given":"Roger M.","non-dropping-particle":"","parse-names":false,"suffix":""},{"dropping-particle":"","family":"Schmid","given":"Christopher H.","non-dropping-particle":"","parse-names":false,"suffix":""},{"dropping-particle":"","family":"Tetzlaff","given":"Jennifer","non-dropping-particle":"","parse-names":false,"suffix":""},{"dropping-particle":"","family":"Deeks","given":"Jonathan J.","non-dropping-particle":"","parse-names":false,"suffix":""},{"dropping-particle":"","family":"Peters","given":"Jaime","non-dropping-particle":"","parse-names":false,"suffix":""},{"dropping-particle":"","family":"Macaskill","given":"Petra","non-dropping-particle":"","parse-names":false,"suffix":""},{"dropping-particle":"","family":"Schwarzer","given":"Guido","non-dropping-particle":"","parse-names":false,"suffix":""},{"dropping-particle":"","family":"Duval","given":"Sue","non-dropping-particle":"","parse-names":false,"suffix":""},{"dropping-particle":"","family":"Altman","given":"Douglas G.","non-dropping-particle":"","parse-names":false,"suffix":""},{"dropping-particle":"","family":"Moher","given":"David","non-dropping-particle":"","parse-names":false,"suffix":""},{"dropping-particle":"","family":"Higgins","given":"Julian P.T.","non-dropping-particle":"","parse-names":false,"suffix":""}],"container-title":"BMJ (Online)","id":"ITEM-1","issue":"7818","issued":{"date-parts":[["2011","8","6"]]},"publisher":"British Medical Journal Publishing Group","title":"Recommendations for examining and interpreting funnel plot asymmetry in meta-analyses of randomised controlled trials","type":"article-journal","volume":"343"},"uris":["http://www.mendeley.com/documents/?uuid=095c25da-cb51-3bed-8617-050ae7ceaf09"]}],"mendeley":{"formattedCitation":"(Sterne &lt;i&gt;et al.&lt;/i&gt;, 2011)","plainTextFormattedCitation":"(Sterne et al., 2011)","previouslyFormattedCitation":"(10)"},"properties":{"noteIndex":0},"schema":"https://github.com/citation-style-language/schema/raw/master/csl-citation.json"}</w:instrText>
      </w:r>
      <w:r>
        <w:rPr>
          <w:rFonts w:ascii="Arial" w:hAnsi="Arial" w:cs="Arial"/>
        </w:rPr>
        <w:fldChar w:fldCharType="separate"/>
      </w:r>
      <w:r w:rsidR="00317597" w:rsidRPr="00317597">
        <w:rPr>
          <w:rFonts w:ascii="Arial" w:hAnsi="Arial" w:cs="Arial"/>
          <w:noProof/>
        </w:rPr>
        <w:t xml:space="preserve">(Sterne </w:t>
      </w:r>
      <w:r w:rsidR="00317597" w:rsidRPr="00317597">
        <w:rPr>
          <w:rFonts w:ascii="Arial" w:hAnsi="Arial" w:cs="Arial"/>
          <w:i/>
          <w:noProof/>
        </w:rPr>
        <w:t>et al.</w:t>
      </w:r>
      <w:r w:rsidR="00317597" w:rsidRPr="00317597">
        <w:rPr>
          <w:rFonts w:ascii="Arial" w:hAnsi="Arial" w:cs="Arial"/>
          <w:noProof/>
        </w:rPr>
        <w:t>, 2011)</w:t>
      </w:r>
      <w:r>
        <w:rPr>
          <w:rFonts w:ascii="Arial" w:hAnsi="Arial" w:cs="Arial"/>
        </w:rPr>
        <w:fldChar w:fldCharType="end"/>
      </w:r>
      <w:r>
        <w:rPr>
          <w:rFonts w:ascii="Arial" w:hAnsi="Arial" w:cs="Arial"/>
        </w:rPr>
        <w:t xml:space="preserve">. </w:t>
      </w:r>
      <w:r w:rsidRPr="00233B1A">
        <w:rPr>
          <w:rFonts w:ascii="Arial" w:hAnsi="Arial" w:cs="Arial"/>
        </w:rPr>
        <w:t xml:space="preserve">Egger’s test </w:t>
      </w:r>
      <w:r>
        <w:rPr>
          <w:rFonts w:ascii="Arial" w:hAnsi="Arial" w:cs="Arial"/>
        </w:rPr>
        <w:t xml:space="preserve">is a statistical test that </w:t>
      </w:r>
      <w:r w:rsidRPr="00233B1A">
        <w:rPr>
          <w:rFonts w:ascii="Arial" w:hAnsi="Arial" w:cs="Arial"/>
        </w:rPr>
        <w:t xml:space="preserve">was used to </w:t>
      </w:r>
      <w:r>
        <w:rPr>
          <w:rFonts w:ascii="Arial" w:hAnsi="Arial" w:cs="Arial"/>
        </w:rPr>
        <w:t xml:space="preserve">quantitatively </w:t>
      </w:r>
      <w:r w:rsidRPr="00233B1A">
        <w:rPr>
          <w:rFonts w:ascii="Arial" w:hAnsi="Arial" w:cs="Arial"/>
        </w:rPr>
        <w:t>asses the asymmetry of funnel plots</w:t>
      </w:r>
      <w:r w:rsidR="00FB662D">
        <w:rPr>
          <w:rFonts w:ascii="Arial" w:hAnsi="Arial" w:cs="Arial"/>
        </w:rPr>
        <w:t xml:space="preserve"> </w:t>
      </w:r>
      <w:r w:rsidRPr="00233B1A">
        <w:rPr>
          <w:rFonts w:ascii="Arial" w:hAnsi="Arial" w:cs="Arial"/>
        </w:rPr>
        <w:fldChar w:fldCharType="begin" w:fldLock="1"/>
      </w:r>
      <w:r w:rsidR="00317597">
        <w:rPr>
          <w:rFonts w:ascii="Arial" w:hAnsi="Arial" w:cs="Arial"/>
        </w:rPr>
        <w:instrText>ADDIN CSL_CITATION {"citationItems":[{"id":"ITEM-1","itemData":{"DOI":"10.1136/bmj.315.7109.629","ISSN":"09598146","PMID":"9310563","abstract":"Objective: Funnel plots (plots of effect estimates against sample size) may be useful to detect bias in meta-analyses that were later contradicted by large trials. We examined whether a simple test of asymmetry of funnel plots predicts discordance of results when meta-analyses are compared to large trials, and we assessed the prevalence of bias in published meta-analyses. Design: Medline search to identify pairs consisting of a meta-analysis and a single large trial (concordance of results was assumed if effects were in the same direction and the meta-analytic estimate was within 30% of the trial); analysis of funnel plots from 37 meta-analyses identified from a hand search of four leading general medicine journals 1993-6 and 38 meta-analyses from the second 1996 issue of the Cochrane Database of Systematic Reviews. Main outcome measure: Degree of funnel plot asymmetry as measured by the intercept from regression of standard normal deviates against precision. Results: In the eight pairs of meta-analysis and large trial that were identified (five from cardiovascular medicine, one from diabetic medicine, one from geriatric medicine, one from perinatal medicine) there were four concordant and four discordant pairs. In all cases discordance was due to meta-analyses showing larger effects. Funnel plot asymmetry was present in three out of four discordant pairs but in none of concordant pairs. In 14 (38%) journal meta-analyses and 5 (13%) Cochrane reviews, funnel plot asymmetry indicated that there was bias. Conclusions: A simple analysis of funnel plots provides a useful test for the likely presence of bias in meta-analyses, but as the capacity to detect bias will be limited when meta-analyses are based on a limited number of small trials the results from such analyses should be treated with considerable caution.","author":[{"dropping-particle":"","family":"Egger","given":"Matthias","non-dropping-particle":"","parse-names":false,"suffix":""},{"dropping-particle":"","family":"Smith","given":"George Davey","non-dropping-particle":"","parse-names":false,"suffix":""},{"dropping-particle":"","family":"Schneider","given":"Martin","non-dropping-particle":"","parse-names":false,"suffix":""},{"dropping-particle":"","family":"Minder","given":"Christoph","non-dropping-particle":"","parse-names":false,"suffix":""}],"container-title":"British Medical Journal","id":"ITEM-1","issue":"7109","issued":{"date-parts":[["1997"]]},"page":"629-634","publisher":"BMJ Publishing Group","title":"Bias in meta-analysis detected by a simple, graphical test","type":"article-journal","volume":"315"},"uris":["http://www.mendeley.com/documents/?uuid=d9f081d6-31c6-318e-881d-871051c09ca2"]}],"mendeley":{"formattedCitation":"(Egger &lt;i&gt;et al.&lt;/i&gt;, 1997)","plainTextFormattedCitation":"(Egger et al., 1997)","previouslyFormattedCitation":"(1)"},"properties":{"noteIndex":0},"schema":"https://github.com/citation-style-language/schema/raw/master/csl-citation.json"}</w:instrText>
      </w:r>
      <w:r w:rsidRPr="00233B1A">
        <w:rPr>
          <w:rFonts w:ascii="Arial" w:hAnsi="Arial" w:cs="Arial"/>
        </w:rPr>
        <w:fldChar w:fldCharType="separate"/>
      </w:r>
      <w:r w:rsidR="00317597" w:rsidRPr="00317597">
        <w:rPr>
          <w:rFonts w:ascii="Arial" w:hAnsi="Arial" w:cs="Arial"/>
          <w:noProof/>
        </w:rPr>
        <w:t xml:space="preserve">(Egger </w:t>
      </w:r>
      <w:r w:rsidR="00317597" w:rsidRPr="00317597">
        <w:rPr>
          <w:rFonts w:ascii="Arial" w:hAnsi="Arial" w:cs="Arial"/>
          <w:i/>
          <w:noProof/>
        </w:rPr>
        <w:t>et al.</w:t>
      </w:r>
      <w:r w:rsidR="00317597" w:rsidRPr="00317597">
        <w:rPr>
          <w:rFonts w:ascii="Arial" w:hAnsi="Arial" w:cs="Arial"/>
          <w:noProof/>
        </w:rPr>
        <w:t>, 1997)</w:t>
      </w:r>
      <w:r w:rsidRPr="00233B1A">
        <w:rPr>
          <w:rFonts w:ascii="Arial" w:hAnsi="Arial" w:cs="Arial"/>
        </w:rPr>
        <w:fldChar w:fldCharType="end"/>
      </w:r>
      <w:r>
        <w:rPr>
          <w:rFonts w:ascii="Arial" w:hAnsi="Arial" w:cs="Arial"/>
        </w:rPr>
        <w:t xml:space="preserve">. </w:t>
      </w:r>
      <w:r w:rsidR="00B00877" w:rsidRPr="00411BC7">
        <w:rPr>
          <w:rFonts w:ascii="Arial" w:hAnsi="Arial" w:cs="Arial"/>
        </w:rPr>
        <w:t xml:space="preserve">The Egger’s test suggested potential publication bias for 2 clusters: the left cerebellum lobule IV / V  (CBD&gt;PLB; Egger’s test P= 0.026; peak coordinates -18, -34, -20) and the right precentral gyrus (CBD&lt;PLB; Egger’s test P= 0.002; peak coordinates </w:t>
      </w:r>
      <w:r w:rsidR="00411BC7" w:rsidRPr="00411BC7">
        <w:rPr>
          <w:rFonts w:ascii="Arial" w:hAnsi="Arial" w:cs="Arial"/>
        </w:rPr>
        <w:t>64, 2, 24</w:t>
      </w:r>
      <w:r w:rsidR="00B00877" w:rsidRPr="00411BC7">
        <w:rPr>
          <w:rFonts w:ascii="Arial" w:hAnsi="Arial" w:cs="Arial"/>
        </w:rPr>
        <w:t>).</w:t>
      </w:r>
    </w:p>
    <w:p w14:paraId="34E6786E" w14:textId="08A6DF44" w:rsidR="00C733BC" w:rsidRDefault="00C733BC" w:rsidP="00B00877">
      <w:pPr>
        <w:spacing w:line="480" w:lineRule="auto"/>
        <w:jc w:val="both"/>
        <w:rPr>
          <w:rFonts w:ascii="Arial" w:hAnsi="Arial" w:cs="Arial"/>
        </w:rPr>
      </w:pPr>
    </w:p>
    <w:p w14:paraId="41D756DB" w14:textId="77777777" w:rsidR="00C800F5" w:rsidRDefault="00C800F5">
      <w:pPr>
        <w:rPr>
          <w:rFonts w:ascii="Arial" w:hAnsi="Arial" w:cs="Arial"/>
        </w:rPr>
        <w:sectPr w:rsidR="00C800F5" w:rsidSect="00EA2A2F">
          <w:headerReference w:type="default" r:id="rId7"/>
          <w:pgSz w:w="11906" w:h="16838"/>
          <w:pgMar w:top="1440" w:right="1440" w:bottom="1440" w:left="1440" w:header="708" w:footer="708" w:gutter="0"/>
          <w:cols w:space="708"/>
          <w:docGrid w:linePitch="360"/>
        </w:sectPr>
      </w:pPr>
    </w:p>
    <w:p w14:paraId="0A67029F" w14:textId="75F7C209" w:rsidR="00C800F5" w:rsidRDefault="00C800F5" w:rsidP="00C800F5">
      <w:pPr>
        <w:pStyle w:val="Caption"/>
        <w:keepNext/>
      </w:pPr>
      <w:r>
        <w:lastRenderedPageBreak/>
        <w:t xml:space="preserve">Supplementary Table </w:t>
      </w:r>
      <w:r w:rsidR="00D26E67">
        <w:t>1</w:t>
      </w:r>
      <w:r>
        <w:t>. J</w:t>
      </w:r>
      <w:r w:rsidRPr="006F64D1">
        <w:t>ack-knife leave-one-out sensitivity analysis, each analysis was repeated excluding 1 single study at a time to establish whether each cluster remained statistically significant</w:t>
      </w:r>
      <w:r>
        <w:t xml:space="preserve">. 80% of all clusters survived this analysis, as indicated with dots. Crosses indicate regions where clusters did not survive. </w:t>
      </w:r>
    </w:p>
    <w:tbl>
      <w:tblPr>
        <w:tblStyle w:val="PlainTable5"/>
        <w:tblW w:w="13435" w:type="dxa"/>
        <w:jc w:val="center"/>
        <w:tblLook w:val="04A0" w:firstRow="1" w:lastRow="0" w:firstColumn="1" w:lastColumn="0" w:noHBand="0" w:noVBand="1"/>
      </w:tblPr>
      <w:tblGrid>
        <w:gridCol w:w="3166"/>
        <w:gridCol w:w="913"/>
        <w:gridCol w:w="1133"/>
        <w:gridCol w:w="945"/>
        <w:gridCol w:w="945"/>
        <w:gridCol w:w="1133"/>
        <w:gridCol w:w="1444"/>
        <w:gridCol w:w="945"/>
        <w:gridCol w:w="1049"/>
        <w:gridCol w:w="945"/>
        <w:gridCol w:w="1340"/>
      </w:tblGrid>
      <w:tr w:rsidR="00C800F5" w:rsidRPr="00792C7C" w14:paraId="031F639B" w14:textId="77777777" w:rsidTr="00890462">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100" w:firstRow="0" w:lastRow="0" w:firstColumn="1" w:lastColumn="0" w:oddVBand="0" w:evenVBand="0" w:oddHBand="0" w:evenHBand="0" w:firstRowFirstColumn="1" w:firstRowLastColumn="0" w:lastRowFirstColumn="0" w:lastRowLastColumn="0"/>
            <w:tcW w:w="2054" w:type="dxa"/>
            <w:noWrap/>
            <w:vAlign w:val="center"/>
            <w:hideMark/>
          </w:tcPr>
          <w:p w14:paraId="2CDC3C72" w14:textId="77777777" w:rsidR="00C800F5" w:rsidRPr="00792C7C" w:rsidRDefault="00C800F5" w:rsidP="00890462">
            <w:pPr>
              <w:jc w:val="center"/>
              <w:rPr>
                <w:rFonts w:eastAsia="Times New Roman" w:cs="Calibri"/>
                <w:color w:val="000000"/>
                <w:lang w:eastAsia="en-GB"/>
              </w:rPr>
            </w:pPr>
          </w:p>
        </w:tc>
        <w:tc>
          <w:tcPr>
            <w:tcW w:w="960" w:type="dxa"/>
            <w:noWrap/>
            <w:vAlign w:val="center"/>
            <w:hideMark/>
          </w:tcPr>
          <w:p w14:paraId="18079B1D"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middle orbital frontal gyrus</w:t>
            </w:r>
          </w:p>
        </w:tc>
        <w:tc>
          <w:tcPr>
            <w:tcW w:w="1195" w:type="dxa"/>
            <w:noWrap/>
            <w:vAlign w:val="center"/>
            <w:hideMark/>
          </w:tcPr>
          <w:p w14:paraId="76D655C3"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L cerebellum crus II</w:t>
            </w:r>
          </w:p>
        </w:tc>
        <w:tc>
          <w:tcPr>
            <w:tcW w:w="995" w:type="dxa"/>
            <w:noWrap/>
            <w:vAlign w:val="center"/>
            <w:hideMark/>
          </w:tcPr>
          <w:p w14:paraId="17A51CD1"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inferior temporal gyrus</w:t>
            </w:r>
          </w:p>
        </w:tc>
        <w:tc>
          <w:tcPr>
            <w:tcW w:w="995" w:type="dxa"/>
            <w:noWrap/>
            <w:vAlign w:val="center"/>
            <w:hideMark/>
          </w:tcPr>
          <w:p w14:paraId="344F44E2"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middle temporal gyrus</w:t>
            </w:r>
          </w:p>
        </w:tc>
        <w:tc>
          <w:tcPr>
            <w:tcW w:w="1195" w:type="dxa"/>
            <w:noWrap/>
            <w:vAlign w:val="center"/>
            <w:hideMark/>
          </w:tcPr>
          <w:p w14:paraId="60126C77"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L cerebellum lobule IV / V</w:t>
            </w:r>
          </w:p>
        </w:tc>
        <w:tc>
          <w:tcPr>
            <w:tcW w:w="1528" w:type="dxa"/>
            <w:noWrap/>
            <w:vAlign w:val="center"/>
            <w:hideMark/>
          </w:tcPr>
          <w:p w14:paraId="3DD7ED51"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L supplementary motor area</w:t>
            </w:r>
          </w:p>
        </w:tc>
        <w:tc>
          <w:tcPr>
            <w:tcW w:w="995" w:type="dxa"/>
            <w:noWrap/>
            <w:vAlign w:val="center"/>
            <w:hideMark/>
          </w:tcPr>
          <w:p w14:paraId="1FB81F55"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inferior temporal gyrus</w:t>
            </w:r>
          </w:p>
        </w:tc>
        <w:tc>
          <w:tcPr>
            <w:tcW w:w="1106" w:type="dxa"/>
            <w:noWrap/>
            <w:vAlign w:val="center"/>
            <w:hideMark/>
          </w:tcPr>
          <w:p w14:paraId="7596D0B9"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precentral gyrus</w:t>
            </w:r>
          </w:p>
        </w:tc>
        <w:tc>
          <w:tcPr>
            <w:tcW w:w="995" w:type="dxa"/>
            <w:noWrap/>
            <w:vAlign w:val="center"/>
            <w:hideMark/>
          </w:tcPr>
          <w:p w14:paraId="35D24909"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L superior temporal pole</w:t>
            </w:r>
          </w:p>
        </w:tc>
        <w:tc>
          <w:tcPr>
            <w:tcW w:w="1417" w:type="dxa"/>
            <w:noWrap/>
            <w:vAlign w:val="center"/>
            <w:hideMark/>
          </w:tcPr>
          <w:p w14:paraId="5F48B39C" w14:textId="77777777" w:rsidR="00C800F5" w:rsidRPr="00792C7C" w:rsidRDefault="00C800F5" w:rsidP="00890462">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en-GB"/>
              </w:rPr>
            </w:pPr>
            <w:r w:rsidRPr="00792C7C">
              <w:rPr>
                <w:rFonts w:ascii="Arial" w:eastAsia="Times New Roman" w:hAnsi="Arial" w:cs="Arial"/>
                <w:color w:val="000000"/>
                <w:sz w:val="20"/>
                <w:szCs w:val="20"/>
                <w:lang w:eastAsia="en-GB"/>
              </w:rPr>
              <w:t>R median / paracingulate gyri</w:t>
            </w:r>
          </w:p>
        </w:tc>
      </w:tr>
      <w:tr w:rsidR="00C800F5" w:rsidRPr="00792C7C" w14:paraId="6C5CEAF0"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663CF56B" w14:textId="492D9B69"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Bhattacharyya</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{"citationItems":[{"id":"ITEM-1","itemData":{"DOI":"10.1001/archgenpsychiatry.2008.519","ISSN":"0003990X","PMID":"19124693","abstract":"Context: Cannabis use can both increase and reduce anxiety in humans. The neurophysiological substrates of these effects are unknown. Objective: To investigate the effects of 2 main psychoactive constituents of Cannabis sativa (δ9-tetrahydrocan-nabinol [δ9-THC] and cannabidiol [CBD]) on regional brain function during emotional processing. Design: Subjects were studied on 3 separate occasions using an event-related functional magnetic resonance imaging paradigm while viewing faces that implicitly elicited different levels of anxiety. Each scanning session was preceded by the ingestion of either 10 mg of A9-THC, 600 mg of CBD, or a placebo in a double-blind, randomized, placebo-controlled design. Participants: Fifteen healthy, English-native, right- handed men who had used cannabis 15 times or less in their life. Main Outcome Measures: Regional brain activation (blood oxygenation level-dependent response), electro-dermal activity (skin conductance response [SCR]), and objective and subjective ratings of anxiety.Results: δ9-Tetrahydrocannabinol increased anxiety, as well as levels of intoxication, sedation, and psychotic symptoms, whereas there was a trend for a reduction in anxiety following administration of CBD. The number of SCR fluctuations during the processing of intensely fearful faces increased following administration of A9- THC but decreased following administration of CBD. Can-nabidiol attenuated the blood oxygenation level-dependent signal in the amygdala and the anterior and posterior cingulate cortex while subjects were processing intenselyfearful faces, and its suppression ofthe amyg-dalar and anterior cingulate responses was correlated with the concurrent reduction in SCR fluctuations. δ9-Tetrahydrocannabinol mainly modulated activation in frontal and parietal areas. Conclusions: δ9-Tetrahydrocannabinol and CBD had clearly distinct effects on the neural, electrodermal, and symptomatic response to fearful faces. The effects of CBD on activation in limbic and paralimbic regions may contribute to its ability to reduce autonomic arousal and subjective anxiety, whereas the anxiogenic effects of δ9-THC may be related to effects in other brain regions. © 2009 American Medical Association.2006;30(8):1466-1471.","author":[{"dropping-particle":"","family":"Fusar-Poli","given":"Paolo","non-dropping-particle":"","parse-names":false,"suffix":""},{"dropping-particle":"","family":"Crippa","given":"Joséa","non-dropping-particle":"","parse-names":false,"suffix":""},{"dropping-particle":"","family":"Bhattacharyya","given":"Sagnik","non-dropping-particle":"","parse-names":false,"suffix":""},{"dropping-particle":"","family":"Borgwardt","given":"Stefan J.","non-dropping-particle":"","parse-names":false,"suffix":""},{"dropping-particle":"","family":"Allen","given":"Paul","non-dropping-particle":"","parse-names":false,"suffix":""},{"dropping-particle":"","family":"Martin-Santos","given":"Rocio","non-dropping-particle":"","parse-names":false,"suffix":""},{"dropping-particle":"","family":"Seal","given":"Marc","non-dropping-particle":"","parse-names":false,"suffix":""},{"dropping-particle":"","family":"Surguladze","given":"Simon A.","non-dropping-particle":"","parse-names":false,"suffix":""},{"dropping-particle":"","family":"O'Carrol","given":"Colin","non-dropping-particle":"","parse-names":false,"suffix":""},{"dropping-particle":"","family":"Atakan","given":"Zerrin","non-dropping-particle":"","parse-names":false,"suffix":""},{"dropping-particle":"","family":"Zuardi","given":"Antonio W.","non-dropping-particle":"","parse-names":false,"suffix":""},{"dropping-particle":"","family":"McGuire","given":"Philip K.","non-dropping-particle":"","parse-names":false,"suffix":""}],"container-title":"Archives of General Psychiatry","id":"ITEM-1","issue":"1","issued":{"date-parts":[["2009","1"]]},"page":"95-105","title":"Distinct effects of A9-Tetrahydrocannabinol and cannabidiol on neural activation during emotional processing","type":"article-journal","volume":"66"},"uris":["http://www.mendeley.com/documents/?uuid=300c84df-ebca-311e-bb3a-161f7a47d8d9"]}],"mendeley":{"formattedCitation":"(Fusar-Poli &lt;i&gt;et al.&lt;/i&gt;, 2009)","plainTextFormattedCitation":"(Fusar-Poli et al., 2009)","previouslyFormattedCitation":"(11)"},"properties":{"noteIndex":0},"schema":"https://github.com/citation-style-language/schema/raw/master/csl-citation.json"}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w:t>
            </w:r>
            <w:proofErr w:type="spellStart"/>
            <w:r w:rsidR="00317597" w:rsidRPr="00317597">
              <w:rPr>
                <w:rFonts w:eastAsia="Times New Roman" w:cs="Calibri"/>
                <w:i w:val="0"/>
                <w:noProof/>
                <w:color w:val="000000"/>
                <w:szCs w:val="26"/>
                <w:lang w:eastAsia="en-GB"/>
              </w:rPr>
              <w:t>Fusar-Poli</w:t>
            </w:r>
            <w:proofErr w:type="spellEnd"/>
            <w:r w:rsidR="00317597" w:rsidRPr="00317597">
              <w:rPr>
                <w:rFonts w:eastAsia="Times New Roman" w:cs="Calibri"/>
                <w:i w:val="0"/>
                <w:noProof/>
                <w:color w:val="000000"/>
                <w:szCs w:val="26"/>
                <w:lang w:eastAsia="en-GB"/>
              </w:rPr>
              <w:t xml:space="preserve">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2009)</w:t>
            </w:r>
            <w:r>
              <w:rPr>
                <w:rFonts w:eastAsia="Times New Roman" w:cs="Calibri"/>
                <w:color w:val="000000"/>
                <w:szCs w:val="26"/>
                <w:lang w:eastAsia="en-GB"/>
              </w:rPr>
              <w:fldChar w:fldCharType="end"/>
            </w:r>
          </w:p>
        </w:tc>
        <w:tc>
          <w:tcPr>
            <w:tcW w:w="960" w:type="dxa"/>
            <w:noWrap/>
            <w:vAlign w:val="center"/>
            <w:hideMark/>
          </w:tcPr>
          <w:p w14:paraId="4B9FE7FC"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50937E6B"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565C0D6"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6BA3B62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28F929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58F6988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74609FA"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24F9764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113ADC4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1A208361"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5AC92B8D"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43ADFD10" w14:textId="4D74EE0C"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Bhattacharyya</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{"citationItems":[{"id":"ITEM-1","itemData":{"DOI":"10.1001/archgenpsychiatry.2011.161","ISSN":"0003990X","PMID":"22213786","abstract":"Context: The aberrant processing of salience is thought to be a fundamental factor underlying psychosis. Cannabis can induce acute psychotic symptoms, and its chronic use may increase the risk of schizophrenia. We investigated whether its psychotic effects are mediated through an influence on attentional salience processing. Objective: To examine the effects of Δ9-tetrahydrocannabinol (Δ9-THC) and cannabidiol (CBD) on regional brain function during salience processing. Design: Volunteers were studied using event-related functional magnetic resonance imaging on 3 occasions after administration of Δ9-THC, CBD, or placebo while performing a visual oddball detection paradigm that involved allocation of attention to infrequent (oddball) stimuli within a string of frequent (standard) stimuli. Setting: University center. Participants: Fifteen healthy men with minimal previous cannabis use. Main Outcome Measures: Symptom ratings, task performance, and regional brain activation. Results: During the processing of oddball stimuli, relative to placebo, Δ9-THC attenuated activation in the right caudate but augmented it in the right prefrontal cortex. Δ9-Tetrahydrocannabinol also reduced the response latency to standard relative to oddball stimuli. The effect of Δ9-THC in the right caudate was negatively correlated with the severity of the psychotic symptoms it induced and its effect on response latency. The effects of CBD on task-related activation were in the opposite direction of those of Δ9-THC; relative to placebo, CBD augmented left caudate and hippocampal activation but attenuated right prefrontal activation. Conclusions: Δ9- Tetrahydrocannabinol and CBD differentially modulate prefrontal, striatal, and hippocampal function during attentional salience processing. These effects may contribute to the effects of cannabis on psychotic symptoms and on the risk of psychotic disorders. ©2012 American Medical Association. All rights reserved.","author":[{"dropping-particle":"","family":"Bhattacharyya","given":"Sagnik","non-dropping-particle":"","parse-names":false,"suffix":""},{"dropping-particle":"","family":"Crippa","given":"José Alexandre","non-dropping-particle":"","parse-names":false,"suffix":""},{"dropping-particle":"","family":"Allen","given":"Paul","non-dropping-particle":"","parse-names":false,"suffix":""},{"dropping-particle":"","family":"Martin-Santos","given":"Rocio","non-dropping-particle":"","parse-names":false,"suffix":""},{"dropping-particle":"","family":"Borgwardt","given":"Stefan","non-dropping-particle":"","parse-names":false,"suffix":""},{"dropping-particle":"","family":"Fusar-Poli","given":"Paolo","non-dropping-particle":"","parse-names":false,"suffix":""},{"dropping-particle":"","family":"Rubia","given":"Katya","non-dropping-particle":"","parse-names":false,"suffix":""},{"dropping-particle":"","family":"Kambeitz","given":"Joseph","non-dropping-particle":"","parse-names":false,"suffix":""},{"dropping-particle":"","family":"O'Carroll","given":"Colin","non-dropping-particle":"","parse-names":false,"suffix":""},{"dropping-particle":"","family":"Seal","given":"Marc L.","non-dropping-particle":"","parse-names":false,"suffix":""},{"dropping-particle":"","family":"Giampietro","given":"Vincent","non-dropping-particle":"","parse-names":false,"suffix":""},{"dropping-particle":"","family":"Brammer","given":"Michael","non-dropping-particle":"","parse-names":false,"suffix":""},{"dropping-particle":"","family":"Zuardi","given":"Antonio Waldo","non-dropping-particle":"","parse-names":false,"suffix":""},{"dropping-particle":"","family":"Atakan","given":"Zerrin","non-dropping-particle":"","parse-names":false,"suffix":""},{"dropping-particle":"","family":"McGuire","given":"Philip K.","non-dropping-particle":"","parse-names":false,"suffix":""}],"container-title":"Archives of General Psychiatry","id":"ITEM-1","issue":"1","issued":{"date-parts":[["2012"]]},"page":"27-36","title":"Induction of psychosis by Δ9-tetrahydrocannabinol reflects modulation of prefrontal and striatal function during attentional salience processing","type":"article-journal","volume":"69"},"uris":["http://www.mendeley.com/documents/?uuid=9bf6e288-43e1-4317-915c-7656ec3620d6"]}],"mendeley":{"formattedCitation":"(Bhattacharyya &lt;i&gt;et al.&lt;/i&gt;, 2012)","plainTextFormattedCitation":"(Bhattacharyya et al., 2012)","previouslyFormattedCitation":"(12)"},"properties":{"noteIndex":0},"schema":"https://github.com/citation-style-language/schema/raw/master/csl-citation.json"}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(Bhattacharyya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2012)</w:t>
            </w:r>
            <w:r>
              <w:rPr>
                <w:rFonts w:eastAsia="Times New Roman" w:cs="Calibri"/>
                <w:color w:val="000000"/>
                <w:szCs w:val="26"/>
                <w:lang w:eastAsia="en-GB"/>
              </w:rPr>
              <w:fldChar w:fldCharType="end"/>
            </w:r>
          </w:p>
        </w:tc>
        <w:tc>
          <w:tcPr>
            <w:tcW w:w="960" w:type="dxa"/>
            <w:noWrap/>
            <w:vAlign w:val="center"/>
            <w:hideMark/>
          </w:tcPr>
          <w:p w14:paraId="04D21CA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BA27509"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7270947C"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63FD5E6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A1C150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725E6A94"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B2B97D8"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426CF87C"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69857DA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4132F40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7C4D763F"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7298AD17" w14:textId="14A47EF4"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Bhattacharyya</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{"citationItems":[{"id":"ITEM-1","itemData":{"DOI":"10.1001/jamapsychiatry.2018.2309","ISSN":"2168622X","PMID":"30167644","abstract":"Importance: Cannabidiol (CBD) has antipsychotic effects in humans, but how these are mediated in the brain remains unclear. Objective: To investigate the neurocognitive mechanisms that underlie the therapeutic effects of CBD in psychosis. Design, Setting, and Participants: In this parallel-group, double-blind, placebo-controlled randomized clinical trial conducted at the South London and Maudsley NHS Foundation Trust in London, United Kingdom, 33 antipsychotic medication-naive participants at clinical high risk (CHR) of psychosis and 19 healthy control participants were studied. Data were collected from July 2013 to October 2016 and analyzed from November 2016 to October 2017. Interventions: A total of 16 participants at CHR of psychosis received a single oral dose of 600 mg of CBD, and 17 participants at CHR received a placebo. Control participants were not given any drug. All participants were then studied using functional magnetic resonance imaging (fMRI) while performing a verbal learning task. Main Outcomes and Measures: Brain activation during verbal encoding and recall, indexed using the blood oxygen level-dependent hemodynamic response fMRI signal. Results: Of the 16 participants in the CBD group, 6 (38%) were female, and the mean (SD) age was 22.43 (4.95) years; of 17 in the placebo group, 10 (59%) were female, and the mean (SD) age was 25.35 (5.24) years; and of 19 in the control group, 8 (42%) were female, and the mean (SD) age was 23.89 (4.14) years. Brain activation (indexed using the median sum of squares ratio of the blood oxygen level-dependent hemodynamic response effects model component to the residual sum of squares) was analyzed in 15 participants in the CBD group, 16 in the placebo group, and 19 in the control group. Participants receiving placebo had reduced activation relative to controls in the right caudate during encoding (placebo: median, -0.027; interquartile range [IQR], -0.041 to -0.016; control: median, 0.020; IQR, -0.022 to 0.056; P &lt;.001) and in the parahippocampal gyrus and midbrain during recall (placebo: median, 0.002; IQR, -0.016 to 0.010; control: median, 0.035; IQR, 0.015 to 0.039; P &lt;.001). Within these 3 regions, activation in the CBD group was greater than in the placebo group but lower than in the control group (parahippocampal gyrus/midbrain: CBD: median, -0.013; IQR, -0.027 to 0.002; placebo: median, -0.007; IQR, -0.019 to 0.008; control: median, 0.034; IQR, 0.005 to 0.059); the level of activation in the CBD…","author":[{"dropping-particle":"","family":"Bhattacharyya","given":"Sagnik","non-dropping-particle":"","parse-names":false,"suffix":""},{"dropping-particle":"","family":"Wilson","given":"Robin","non-dropping-particle":"","parse-names":false,"suffix":""},{"dropping-particle":"","family":"Appiah-Kusi","given":"Elizabeth","non-dropping-particle":"","parse-names":false,"suffix":""},{"dropping-particle":"","family":"O'Neill","given":"Aisling","non-dropping-particle":"","parse-names":false,"suffix":""},{"dropping-particle":"","family":"Brammer","given":"Michael","non-dropping-particle":"","parse-names":false,"suffix":""},{"dropping-particle":"","family":"Perez","given":"Jesus","non-dropping-particle":"","parse-names":false,"suffix":""},{"dropping-particle":"","family":"Murray","given":"Robin","non-dropping-particle":"","parse-names":false,"suffix":""},{"dropping-particle":"","family":"Allen","given":"Paul","non-dropping-particle":"","parse-names":false,"suffix":""},{"dropping-particle":"","family":"Bossong","given":"Matthijs G.","non-dropping-particle":"","parse-names":false,"suffix":""},{"dropping-particle":"","family":"McGuire","given":"Philip","non-dropping-particle":"","parse-names":false,"suffix":""}],"container-title":"JAMA Psychiatry","id":"ITEM-1","issue":"11","issued":{"date-parts":[["2018","11","1"]]},"page":"1107-1117","publisher":"American Medical Association","title":"Effect of Cannabidiol on Medial Temporal, Midbrain, and Striatal Dysfunction in People at Clinical High Risk of Psychosis: A Randomized Clinical Trial","type":"article-journal","volume":"75"},"uris":["http://www.mendeley.com/documents/?uuid=9de19633-3a3b-4c7f-b34c-fc3657fa5a1c"]}],"mendeley":{"formattedCitation":"(Bhattacharyya &lt;i&gt;et al.&lt;/i&gt;, 2018)","plainTextFormattedCitation":"(Bhattacharyya et al., 2018)","previouslyFormattedCitation":"(13)"},"properties":{"noteIndex":0},"schema":"https://github.com/citation-style-language/schema/raw/master/csl-citation.json"}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(Bhattacharyya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2018)</w:t>
            </w:r>
            <w:r>
              <w:rPr>
                <w:rFonts w:eastAsia="Times New Roman" w:cs="Calibri"/>
                <w:color w:val="000000"/>
                <w:szCs w:val="26"/>
                <w:lang w:eastAsia="en-GB"/>
              </w:rPr>
              <w:fldChar w:fldCharType="end"/>
            </w:r>
          </w:p>
        </w:tc>
        <w:tc>
          <w:tcPr>
            <w:tcW w:w="960" w:type="dxa"/>
            <w:noWrap/>
            <w:vAlign w:val="center"/>
            <w:hideMark/>
          </w:tcPr>
          <w:p w14:paraId="663548A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253063AB"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C6C516A"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727C357C"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221CB80E"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42CDBB0A"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698D532F"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6DBD292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CDFEF3F"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05E9FAF6"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7CAC0E65"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42BE48A5" w14:textId="271588A1" w:rsidR="00C800F5" w:rsidRPr="00792C7C" w:rsidRDefault="00C800F5" w:rsidP="00890462">
            <w:pPr>
              <w:jc w:val="center"/>
              <w:rPr>
                <w:rFonts w:eastAsia="Times New Roman" w:cs="Calibri"/>
                <w:color w:val="000000"/>
                <w:szCs w:val="26"/>
                <w:lang w:eastAsia="en-GB"/>
              </w:rPr>
            </w:pPr>
            <w:proofErr w:type="spellStart"/>
            <w:r w:rsidRPr="00792C7C">
              <w:rPr>
                <w:rFonts w:eastAsia="Times New Roman" w:cs="Calibri"/>
                <w:color w:val="000000"/>
                <w:szCs w:val="26"/>
                <w:lang w:eastAsia="en-GB"/>
              </w:rPr>
              <w:t>Borgwardt</w:t>
            </w:r>
            <w:proofErr w:type="spellEnd"/>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{"citationItems":[{"id":"ITEM-1","itemData":{"DOI":"10.1016/j.biopsych.2008.05.011","ISSN":"00063223","PMID":"18589404","abstract":"Background: This study examined the effect of Δ-9-tetrahydrocannabinol (THC) and cannabidiol (CBD) on brain activation during a motor inhibition task. Methods: Functional magnetic resonance imaging and behavioural measures were recorded while 15 healthy volunteers performed a Go/No-Go task following administration of either THC or CBD or placebo in a double-blind, pseudo-randomized, placebo-controlled repeated measures within-subject design. Results: Relative to placebo, THC attenuated activation in the right inferior frontal and the anterior cingulate gyrus. In contrast, CBD deactivated the left temporal cortex and insula. These effects were not related to changes in anxiety, intoxication, sedation, and psychotic symptoms. Conclusions: These data suggest that THC attenuates the engagement of brain regions that mediate response inhibition. CBD modulated function in regions not usually implicated in response inhibition. © 2008 Society of Biological Psychiatry.","author":[{"dropping-particle":"","family":"Borgwardt","given":"Stefan J.","non-dropping-particle":"","parse-names":false,"suffix":""},{"dropping-particle":"","family":"Allen","given":"Paul","non-dropping-particle":"","parse-names":false,"suffix":""},{"dropping-particle":"","family":"Bhattacharyya","given":"Sagnik","non-dropping-particle":"","parse-names":false,"suffix":""},{"dropping-particle":"","family":"Fusar-Poli","given":"Paolo","non-dropping-particle":"","parse-names":false,"suffix":""},{"dropping-particle":"","family":"Crippa","given":"Jose A.","non-dropping-particle":"","parse-names":false,"suffix":""},{"dropping-particle":"","family":"Seal","given":"Marc L.","non-dropping-particle":"","parse-names":false,"suffix":""},{"dropping-particle":"","family":"Fraccaro","given":"Valter","non-dropping-particle":"","parse-names":false,"suffix":""},{"dropping-particle":"","family":"Atakan","given":"Zerrin","non-dropping-particle":"","parse-names":false,"suffix":""},{"dropping-particle":"","family":"Martin-Santos","given":"Rocio","non-dropping-particle":"","parse-names":false,"suffix":""},{"dropping-particle":"","family":"O'Carroll","given":"Colin","non-dropping-particle":"","parse-names":false,"suffix":""},{"dropping-particle":"","family":"Rubia","given":"Katya","non-dropping-particle":"","parse-names":false,"suffix":""},{"dropping-particle":"","family":"McGuire","given":"Philip K.","non-dropping-particle":"","parse-names":false,"suffix":""}],"container-title":"Biological Psychiatry","id":"ITEM-1","issue":"11","issued":{"date-parts":[["2008","12","1"]]},"page":"966-973","title":"Neural Basis of Δ-9-Tetrahydrocannabinol and Cannabidiol: Effects During Response Inhibition","type":"article-journal","volume":"64"},"uris":["http://www.mendeley.com/documents/?uuid=1ff44058-607e-4cbc-b07f-89b895e813f6"]}],"mendeley":{"formattedCitation":"(Borgwardt &lt;i&gt;et al.&lt;/i&gt;, 2008)","plainTextFormattedCitation":"(Borgwardt et al., 2008)","previouslyFormattedCitation":"(14)"},"properties":{"noteIndex":0},"schema":"https://github.com/citation-style-language/schema/raw/master/csl-citation.json"}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(Borgwardt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2008)</w:t>
            </w:r>
            <w:r>
              <w:rPr>
                <w:rFonts w:eastAsia="Times New Roman" w:cs="Calibri"/>
                <w:color w:val="000000"/>
                <w:szCs w:val="26"/>
                <w:lang w:eastAsia="en-GB"/>
              </w:rPr>
              <w:fldChar w:fldCharType="end"/>
            </w:r>
          </w:p>
        </w:tc>
        <w:tc>
          <w:tcPr>
            <w:tcW w:w="960" w:type="dxa"/>
            <w:noWrap/>
            <w:vAlign w:val="center"/>
            <w:hideMark/>
          </w:tcPr>
          <w:p w14:paraId="18F5C23A"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2728EE35"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68473780"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F2917F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36886EB7"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2B0C271E"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C456C10"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5E4F643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6C3CFD2"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41087638"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2D9EF3E7"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6FB1208A" w14:textId="067D004F" w:rsidR="00C800F5" w:rsidRPr="00792C7C" w:rsidRDefault="00C800F5" w:rsidP="00890462">
            <w:pPr>
              <w:jc w:val="center"/>
              <w:rPr>
                <w:rFonts w:eastAsia="Times New Roman" w:cs="Calibri"/>
                <w:color w:val="000000"/>
                <w:szCs w:val="26"/>
                <w:lang w:eastAsia="en-GB"/>
              </w:rPr>
            </w:pPr>
            <w:proofErr w:type="spellStart"/>
            <w:r w:rsidRPr="00792C7C">
              <w:rPr>
                <w:rFonts w:eastAsia="Times New Roman" w:cs="Calibri"/>
                <w:color w:val="000000"/>
                <w:szCs w:val="26"/>
                <w:lang w:eastAsia="en-GB"/>
              </w:rPr>
              <w:t>Crippa</w:t>
            </w:r>
            <w:proofErr w:type="spellEnd"/>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{"citationItems":[{"id":"ITEM-1","itemData":{"DOI":"10.1038/sj.npp.1300340","ISSN":"0893133X","PMID":"14583744","abstract":"Animal and human studies have suggested that cannabidiol (CBD) may possess anxiolytic properties, but how these effects are mediated centrally is unknown. The aim of the present study was to investigate this using functional neuroimagmg. Regional cerebral blood flow (rCBF) was measured at rest using 99mTc-ECD SPECT in 10 healthy male volunteers, randomly divided into two groups of five subjects. Each subject was studied on two occasions, 1 week apart. In the first session, subjects were given an oral dose of CBD (400 mg) or placebo, in a double-blind procedure. SPECT images were acquired 90 min after drug ingestion. The Visual Analogue Mood Scale was applied to assess subjective states. In the second session, the same procedure was performed using the drug that had not been administered in the previous session. Within-subject between-condition rCBF compansons were performed using statistical parametric mapping (SPM). CBD significantly decreased subjective anxiety and increased mental sedation, while placebo did not induce significant changes. Assessment of brain regions where anxiolytic effects of CBD were predicted a priori revealed two voxel clusters of significantly decreased ECD uptake in the CBD relative to the placebo condition (p &lt; 0.001, uncorrerted for multiple comparisons). These included a medial temporal cluster encompassing the left amygdala-hippocampal complex, extending into the hypothalamus, and a second cluster in the left posterior cingulate gyrus. There was also a cluster of greater activity with CBD than placebo in the left parahippocampal gyrus (p &lt; 0.001). These results suggest that CBD has anxiolytic properties, and that these effects are mediated by an action on limbic and paralimbic brain areas.","author":[{"dropping-particle":"","family":"Crippa","given":"José Alexandre","non-dropping-particle":"","parse-names":false,"suffix":""},{"dropping-particle":"","family":"Zuardi","given":"Antonio Waldo","non-dropping-particle":"","parse-names":false,"suffix":""},{"dropping-particle":"","family":"Garrido","given":"Griselda E.J.","non-dropping-particle":"","parse-names":false,"suffix":""},{"dropping-particle":"","family":"Wichert-Ana","given":"Lauro","non-dropping-particle":"","parse-names":false,"suffix":""},{"dropping-particle":"","family":"Guarnieri","given":"Ricardo","non-dropping-particle":"","parse-names":false,"suffix":""},{"dropping-particle":"","family":"Ferrari","given":"Lucas","non-dropping-particle":"","parse-names":false,"suffix":""},{"dropping-particle":"","family":"Azevedo-Marques","given":"Paulo M.","non-dropping-particle":"","parse-names":false,"suffix":""},{"dropping-particle":"","family":"Hallak","given":"Jaime Eduardo Cecílio","non-dropping-particle":"","parse-names":false,"suffix":""},{"dropping-particle":"","family":"McGuire","given":"Philip K.","non-dropping-particle":"","parse-names":false,"suffix":""},{"dropping-particle":"","family":"Busatto","given":"Geraldo Filho","non-dropping-particle":"","parse-names":false,"suffix":""}],"container-title":"Neuropsychopharmacology","id":"ITEM-1","issue":"2","issued":{"date-parts":[["2004"]]},"page":"417-426","title":"Effects of Cannabidiol (CBD) on Regional Cerebral Blood Flow","type":"article-journal","volume":"29"},"uris":["http://www.mendeley.com/documents/?uuid=29532c21-77b6-47b3-bec5-15d2431f30d4"]}],"mendeley":{"formattedCitation":"(Crippa &lt;i&gt;et al.&lt;/i&gt;, 2004)","plainTextFormattedCitation":"(Crippa et al., 2004)","previouslyFormattedCitation":"(15)"},"properties":{"noteIndex":0},"schema":"https://github.com/citation-style-language/schema/raw/master/csl-citation.json"}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(Crippa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2004)</w:t>
            </w:r>
            <w:r>
              <w:rPr>
                <w:rFonts w:eastAsia="Times New Roman" w:cs="Calibri"/>
                <w:color w:val="000000"/>
                <w:szCs w:val="26"/>
                <w:lang w:eastAsia="en-GB"/>
              </w:rPr>
              <w:fldChar w:fldCharType="end"/>
            </w:r>
          </w:p>
        </w:tc>
        <w:tc>
          <w:tcPr>
            <w:tcW w:w="960" w:type="dxa"/>
            <w:noWrap/>
            <w:vAlign w:val="center"/>
            <w:hideMark/>
          </w:tcPr>
          <w:p w14:paraId="793A450A"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4B779B06"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68321E7"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FB863E6"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4FDD453F"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76B661CB"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DD295C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22C8652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7CDC9686"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3587965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726C3EA9"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45FFA129" w14:textId="36FC9F41" w:rsidR="00C800F5" w:rsidRPr="00792C7C" w:rsidRDefault="00C800F5" w:rsidP="00890462">
            <w:pPr>
              <w:jc w:val="center"/>
              <w:rPr>
                <w:rFonts w:eastAsia="Times New Roman" w:cs="Calibri"/>
                <w:color w:val="000000"/>
                <w:szCs w:val="26"/>
                <w:lang w:eastAsia="en-GB"/>
              </w:rPr>
            </w:pPr>
            <w:proofErr w:type="spellStart"/>
            <w:r w:rsidRPr="00792C7C">
              <w:rPr>
                <w:rFonts w:eastAsia="Times New Roman" w:cs="Calibri"/>
                <w:color w:val="000000"/>
                <w:szCs w:val="26"/>
                <w:lang w:eastAsia="en-GB"/>
              </w:rPr>
              <w:t>Crippa</w:t>
            </w:r>
            <w:proofErr w:type="spellEnd"/>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{"citationItems":[{"id":"ITEM-1","itemData":{"DOI":"10.1177/0269881110379283","ISSN":"02698811","PMID":"20829306","abstract":"Animal and human studies indicate that cannabidiol (CBD), a major constituent of cannabis, has anxiolytic properties. However, no study to date has investigated the effects of this compound on human pathological anxiety and its underlying brain mechanisms. The aim of the present study was to investigate this in patients with generalized social anxiety disorder (SAD) using functional neuroimaging. Regional cerebral blood flow (rCBF) at rest was measured twice using (99m)Tc-ECD SPECT in 10 treatment-naïve patients with SAD. In the first session, subjects were given an oral dose of CBD (400 mg) or placebo, in a double-blind procedure. In the second session, the same procedure was performed using the drug that had not been administered in the previous session. Within-subject between-condition rCBF comparisons were performed using statistical parametric mapping. Relative to placebo, CBD was associated with significantly decreased subjective anxiety (p &lt; 0.001), reduced ECD uptake in the left parahippocampal gyrus, hippocampus, and inferior temporal gyrus (p &lt; 0.001, uncorrected), and increased ECD uptake in the right posterior cingulate gyrus (p &lt; 0.001, uncorrected). These results suggest that CBD reduces anxiety in SAD and that this is related to its effects on activity in limbic and paralimbic brain areas. © 2011 The Author(s).","author":[{"dropping-particle":"","family":"Crippa","given":"José Alexandre","non-dropping-particle":"","parse-names":false,"suffix":""},{"dropping-particle":"","family":"Nogueira Derenusson","given":"Guilherme","non-dropping-particle":"","parse-names":false,"suffix":""},{"dropping-particle":"","family":"Borduqui Ferrari","given":"Thiago","non-dropping-particle":"","parse-names":false,"suffix":""},{"dropping-particle":"","family":"Wichert-Ana","given":"Lauro","non-dropping-particle":"","parse-names":false,"suffix":""},{"dropping-particle":"","family":"Duran","given":"Fábio L.S.","non-dropping-particle":"","parse-names":false,"suffix":""},{"dropping-particle":"","family":"Martin-Santos","given":"Rocio","non-dropping-particle":"","parse-names":false,"suffix":""},{"dropping-particle":"","family":"Vinícius Simões","given":"Marcus","non-dropping-particle":"","parse-names":false,"suffix":""},{"dropping-particle":"","family":"Bhattacharyya","given":"Sagnik","non-dropping-particle":"","parse-names":false,"suffix":""},{"dropping-particle":"","family":"Fusar-Poli","given":"Paolo","non-dropping-particle":"","parse-names":false,"suffix":""},{"dropping-particle":"","family":"Atakan","given":"Zerrin","non-dropping-particle":"","parse-names":false,"suffix":""},{"dropping-particle":"","family":"Santos Filho","given":"Alaor","non-dropping-particle":"","parse-names":false,"suffix":""},{"dropping-particle":"","family":"Freitas-Ferrari","given":"Maria Cecília","non-dropping-particle":"","parse-names":false,"suffix":""},{"dropping-particle":"","family":"McGuire","given":"Philip K.","non-dropping-particle":"","parse-names":false,"suffix":""},{"dropping-particle":"","family":"Zuardi","given":"Antonio Waldo","non-dropping-particle":"","parse-names":false,"suffix":""},{"dropping-particle":"","family":"Busatto","given":"Geraldo F.","non-dropping-particle":"","parse-names":false,"suffix":""},{"dropping-particle":"","family":"Hallak","given":"Jaime Eduardo Cecílio","non-dropping-particle":"","parse-names":false,"suffix":""}],"container-title":"Journal of Psychopharmacology","id":"ITEM-1","issue":"1","issued":{"date-parts":[["2011"]]},"page":"121-130","title":"Neural basis of anxiolytic effects of cannabidiol (CBD) in generalized social anxiety disorder: A preliminary report","type":"article-journal","volume":"25"},"uris":["http://www.mendeley.com/documents/?uuid=6b838069-ac5d-4489-951c-cb0287933616"]}],"mendeley":{"formattedCitation":"(Crippa &lt;i&gt;et al.&lt;/i&gt;, 2011)","plainTextFormattedCitation":"(Crippa et al., 2011)","previouslyFormattedCitation":"(16)"},"properties":{"noteIndex":0},"schema":"https://github.com/citation-style-language/schema/raw/master/csl-citation.json"}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(Crippa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2011)</w:t>
            </w:r>
            <w:r>
              <w:rPr>
                <w:rFonts w:eastAsia="Times New Roman" w:cs="Calibri"/>
                <w:color w:val="000000"/>
                <w:szCs w:val="26"/>
                <w:lang w:eastAsia="en-GB"/>
              </w:rPr>
              <w:fldChar w:fldCharType="end"/>
            </w:r>
          </w:p>
        </w:tc>
        <w:tc>
          <w:tcPr>
            <w:tcW w:w="960" w:type="dxa"/>
            <w:noWrap/>
            <w:vAlign w:val="center"/>
            <w:hideMark/>
          </w:tcPr>
          <w:p w14:paraId="7AD67D3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118F2A6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C59C572"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5AF88A1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BD59E59"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1D286C97"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2DA8F6F"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05BD601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D1CA9EC"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5FAFB2D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1023E394"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3DACDCD2" w14:textId="1FA10DDD"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Davies</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{"citationItems":[{"id":"ITEM-1","itemData":{"DOI":"10.1038/s41398-020-0862-2","ISSN":"21583188","PMID":"32921794","abstract":"Emotional dysregulation and anxiety are common in people at clinical high risk for psychosis (CHR) and are associated with altered neural responses to emotional stimuli in the striatum and medial temporal lobe. Using a randomised, double-blind, parallel-group design, 33 CHR patients were randomised to a single oral dose of CBD (600 mg) or placebo. Healthy controls (n = 19) were studied under identical conditions but did not receive any drug. Participants were scanned with functional magnetic resonance imaging (fMRI) during a fearful face-processing paradigm. Activation related to the CHR state and to the effects of CBD was examined using a region-of-interest approach. During fear processing, CHR participants receiving placebo (n = 15) showed greater activation than controls (n = 19) in the parahippocampal gyrus but less activation in the striatum. Within these regions, activation in the CHR group that received CBD (n = 15) was intermediate between that of the CHR placebo and control groups. These findings suggest that in CHR patients, CBD modulates brain function in regions implicated in psychosis risk and emotion processing. These findings are similar to those previously evident using a memory paradigm, suggesting that the effects of CBD on medial temporal and striatal function may be task independent.","author":[{"dropping-particle":"","family":"Davies","given":"Cathy","non-dropping-particle":"","parse-names":false,"suffix":""},{"dropping-particle":"","family":"Wilson","given":"Robin","non-dropping-particle":"","parse-names":false,"suffix":""},{"dropping-particle":"","family":"Appiah-Kusi","given":"Elizabeth","non-dropping-particle":"","parse-names":false,"suffix":""},{"dropping-particle":"","family":"Blest-Hopley","given":"Grace","non-dropping-particle":"","parse-names":false,"suffix":""},{"dropping-particle":"","family":"Brammer","given":"Michael","non-dropping-particle":"","parse-names":false,"suffix":""},{"dropping-particle":"","family":"Perez","given":"Jesus","non-dropping-particle":"","parse-names":false,"suffix":""},{"dropping-particle":"","family":"Murray","given":"Robin M.","non-dropping-particle":"","parse-names":false,"suffix":""},{"dropping-particle":"","family":"Allen","given":"Paul","non-dropping-particle":"","parse-names":false,"suffix":""},{"dropping-particle":"","family":"Bossong","given":"Matthijs G.","non-dropping-particle":"","parse-names":false,"suffix":""},{"dropping-particle":"","family":"McGuire","given":"Philip","non-dropping-particle":"","parse-names":false,"suffix":""},{"dropping-particle":"","family":"Bhattacharyya","given":"Sagnik","non-dropping-particle":"","parse-names":false,"suffix":""}],"container-title":"Translational Psychiatry","id":"ITEM-1","issue":"1","issued":{"date-parts":[["2020","12","1"]]},"page":"1-12","publisher":"Springer Nature","title":"A single dose of cannabidiol modulates medial temporal and striatal function during fear processing in people at clinical high risk for psychosis","type":"article-journal","volume":"10"},"uris":["http://www.mendeley.com/documents/?uuid=aa8b1c85-91b0-3a61-9a5c-44221af2b661"]}],"mendeley":{"formattedCitation":"(Davies &lt;i&gt;et al.&lt;/i&gt;, 2020)","plainTextFormattedCitation":"(Davies et al., 2020)","previouslyFormattedCitation":"(17)"},"properties":{"noteIndex":0},"schema":"https://github.com/citation-style-language/schema/raw/master/csl-citation.json"}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(Davies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2020)</w:t>
            </w:r>
            <w:r>
              <w:rPr>
                <w:rFonts w:eastAsia="Times New Roman" w:cs="Calibri"/>
                <w:color w:val="000000"/>
                <w:szCs w:val="26"/>
                <w:lang w:eastAsia="en-GB"/>
              </w:rPr>
              <w:fldChar w:fldCharType="end"/>
            </w:r>
          </w:p>
        </w:tc>
        <w:tc>
          <w:tcPr>
            <w:tcW w:w="960" w:type="dxa"/>
            <w:noWrap/>
            <w:vAlign w:val="center"/>
            <w:hideMark/>
          </w:tcPr>
          <w:p w14:paraId="2BA02ED8"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3B31E40B"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4065018"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13B50E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5B9AAF5D"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584664A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1F8FD56D"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6BFB7503"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8C4D9B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22E040D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0BA37AF8"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4BDE6115" w14:textId="74B7A90D" w:rsidR="00C800F5" w:rsidRPr="00792C7C" w:rsidRDefault="00C800F5" w:rsidP="00890462">
            <w:pPr>
              <w:jc w:val="center"/>
              <w:rPr>
                <w:rFonts w:eastAsia="Times New Roman" w:cs="Calibri"/>
                <w:color w:val="000000"/>
                <w:szCs w:val="26"/>
                <w:lang w:eastAsia="en-GB"/>
              </w:rPr>
            </w:pPr>
            <w:proofErr w:type="spellStart"/>
            <w:r w:rsidRPr="00792C7C">
              <w:rPr>
                <w:rFonts w:eastAsia="Times New Roman" w:cs="Calibri"/>
                <w:color w:val="000000"/>
                <w:szCs w:val="26"/>
                <w:lang w:eastAsia="en-GB"/>
              </w:rPr>
              <w:t>Fusar-Poli</w:t>
            </w:r>
            <w:proofErr w:type="spellEnd"/>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{"citationItems":[{"id":"ITEM-1","itemData":{"DOI":"10.1001/archgenpsychiatry.2008.519","ISSN":"0003990X","PMID":"19124693","abstract":"Context: Cannabis use can both increase and reduce anxiety in humans. The neurophysiological substrates of these effects are unknown. Objective: To investigate the effects of 2 main psychoactive constituents of Cannabis sativa (δ9-tetrahydrocan-nabinol [δ9-THC] and cannabidiol [CBD]) on regional brain function during emotional processing. Design: Subjects were studied on 3 separate occasions using an event-related functional magnetic resonance imaging paradigm while viewing faces that implicitly elicited different levels of anxiety. Each scanning session was preceded by the ingestion of either 10 mg of A9-THC, 600 mg of CBD, or a placebo in a double-blind, randomized, placebo-controlled design. Participants: Fifteen healthy, English-native, right- handed men who had used cannabis 15 times or less in their life. Main Outcome Measures: Regional brain activation (blood oxygenation level-dependent response), electro-dermal activity (skin conductance response [SCR]), and objective and subjective ratings of anxiety.Results: δ9-Tetrahydrocannabinol increased anxiety, as well as levels of intoxication, sedation, and psychotic symptoms, whereas there was a trend for a reduction in anxiety following administration of CBD. The number of SCR fluctuations during the processing of intensely fearful faces increased following administration of A9- THC but decreased following administration of CBD. Can-nabidiol attenuated the blood oxygenation level-dependent signal in the amygdala and the anterior and posterior cingulate cortex while subjects were processing intenselyfearful faces, and its suppression ofthe amyg-dalar and anterior cingulate responses was correlated with the concurrent reduction in SCR fluctuations. δ9-Tetrahydrocannabinol mainly modulated activation in frontal and parietal areas. Conclusions: δ9-Tetrahydrocannabinol and CBD had clearly distinct effects on the neural, electrodermal, and symptomatic response to fearful faces. The effects of CBD on activation in limbic and paralimbic regions may contribute to its ability to reduce autonomic arousal and subjective anxiety, whereas the anxiogenic effects of δ9-THC may be related to effects in other brain regions. © 2009 American Medical Association.2006;30(8):1466-1471.","author":[{"dropping-particle":"","family":"Fusar-Poli","given":"Paolo","non-dropping-particle":"","parse-names":false,"suffix":""},{"dropping-particle":"","family":"Crippa","given":"Joséa","non-dropping-particle":"","parse-names":false,"suffix":""},{"dropping-particle":"","family":"Bhattacharyya","given":"Sagnik","non-dropping-particle":"","parse-names":false,"suffix":""},{"dropping-particle":"","family":"Borgwardt","given":"Stefan J.","non-dropping-particle":"","parse-names":false,"suffix":""},{"dropping-particle":"","family":"Allen","given":"Paul","non-dropping-particle":"","parse-names":false,"suffix":""},{"dropping-particle":"","family":"Martin-Santos","given":"Rocio","non-dropping-particle":"","parse-names":false,"suffix":""},{"dropping-particle":"","family":"Seal","given":"Marc","non-dropping-particle":"","parse-names":false,"suffix":""},{"dropping-particle":"","family":"Surguladze","given":"Simon A.","non-dropping-particle":"","parse-names":false,"suffix":""},{"dropping-particle":"","family":"O'Carrol","given":"Colin","non-dropping-particle":"","parse-names":false,"suffix":""},{"dropping-particle":"","family":"Atakan","given":"Zerrin","non-dropping-particle":"","parse-names":false,"suffix":""},{"dropping-particle":"","family":"Zuardi","given":"Antonio W.","non-dropping-particle":"","parse-names":false,"suffix":""},{"dropping-particle":"","family":"McGuire","given":"Philip K.","non-dropping-particle":"","parse-names":false,"suffix":""}],"container-title":"Archives of General Psychiatry","id":"ITEM-1","issue":"1","issued":{"date-parts":[["2009","1"]]},"page":"95-105","title":"Distinct effects of A9-Tetrahydrocannabinol and cannabidiol on neural activation during emotional processing","type":"article-journal","volume":"66"},"uris":["http://www.mendeley.com/documents/?uuid=300c84df-ebca-311e-bb3a-161f7a47d8d9"]}],"mendeley":{"formattedCitation":"(Fusar-Poli &lt;i&gt;et al.&lt;/i&gt;, 2009)","plainTextFormattedCitation":"(Fusar-Poli et al., 2009)","previouslyFormattedCitation":"(11)"},"properties":{"noteIndex":0},"schema":"https://github.com/citation-style-language/schema/raw/master/csl-citation.json"}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(Fusar-Poli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2009)</w:t>
            </w:r>
            <w:r>
              <w:rPr>
                <w:rFonts w:eastAsia="Times New Roman" w:cs="Calibri"/>
                <w:color w:val="000000"/>
                <w:szCs w:val="26"/>
                <w:lang w:eastAsia="en-GB"/>
              </w:rPr>
              <w:fldChar w:fldCharType="end"/>
            </w:r>
          </w:p>
        </w:tc>
        <w:tc>
          <w:tcPr>
            <w:tcW w:w="960" w:type="dxa"/>
            <w:noWrap/>
            <w:vAlign w:val="center"/>
            <w:hideMark/>
          </w:tcPr>
          <w:p w14:paraId="2D3F44F0"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6F446AA6"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EBC5CBD"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B3E910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7A4DC51A"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148F6C4F"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5D3AE1E6"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36F90E2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BA16AC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4A892D8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478B6877"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19B12C0D" w14:textId="2E9934B2"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O’Neill</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{"citationItems":[{"id":"ITEM-1","itemData":{"DOI":"10.1017/S0033291719003519","ISSN":"14698978","PMID":"31994476","abstract":"Background Recent evidence suggests that cannabidiol (CBD), a non-intoxicating ingredient present in cannabis extract, has an antipsychotic effect in people with established psychosis. However, the effect of CBD on the neurocognitive mechanisms underlying psychosis is unknown. Methods Patients with established psychosis on standard antipsychotic treatment were studied on separate days at least one week apart, to investigate the effects of a single dose of orally administered CBD (600 mg) compared to a matched placebo (PLB), using a double-blind, randomized, PLB-controlled, repeated-measures, within-subject cross-over design. Three hours after taking the study drug participants were scanned using a block design functional magnetic resonance imaging (fMRI) paradigm, while performing a verbal paired associate learning task. Fifteen psychosis patients completed both study days, 13 completed both scanning sessions. Nineteen healthy controls (HC) were also scanned using the same fMRI paradigm under identical conditions, but without any drug administration. Effects of CBD on brain activation measured using the blood oxygen level-dependent hemodynamic response fMRI signal were studied in the mediotemporal, prefrontal, and striatal regions of interest. Results Compared to HC, psychosis patients under PLB had altered prefrontal activation during verbal encoding, as well as altered mediotemporal and prefrontal activation and greater mediotemporal-striatal functional connectivity during verbal recall. CBD attenuated dysfunction in these regions such that activation under its influence was intermediate between the PLB condition and HC. CBD also attenuated hippocampal-striatal functional connectivity and caused trend-level symptom reduction in psychosis patients. Conclusions This suggests that normalization of mediotemporal and prefrontal dysfunction and mediotemporal-striatal functional connectivity may underlie the antipsychotic effects of CBD.","author":[{"dropping-particle":"","family":"O'Neill","given":"Aisling","non-dropping-particle":"","parse-names":false,"suffix":""},{"dropping-particle":"","family":"Wilson","given":"Robin","non-dropping-particle":"","parse-names":false,"suffix":""},{"dropping-particle":"","family":"Blest-Hopley","given":"Grace","non-dropping-particle":"","parse-names":false,"suffix":""},{"dropping-particle":"","family":"Annibale","given":"Luciano","non-dropping-particle":"","parse-names":false,"suffix":""},{"dropping-particle":"","family":"Colizzi","given":"Marco","non-dropping-particle":"","parse-names":false,"suffix":""},{"dropping-particle":"","family":"Brammer","given":"Mick","non-dropping-particle":"","parse-names":false,"suffix":""},{"dropping-particle":"","family":"Giampietro","given":"Vincent","non-dropping-particle":"","parse-names":false,"suffix":""},{"dropping-particle":"","family":"Bhattacharyya","given":"Sagnik","non-dropping-particle":"","parse-names":false,"suffix":""}],"container-title":"Psychological Medicine","id":"ITEM-1","issue":"4","issued":{"date-parts":[["2021"]]},"page":"596-606","title":"Normalization of mediotemporal and prefrontal activity, and mediotemporal-striatal connectivity, may underlie antipsychotic effects of cannabidiol in psychosis","type":"article-journal","volume":"51"},"uris":["http://www.mendeley.com/documents/?uuid=b623920d-f693-4e3d-81fd-a05df87e7ea3"]}],"mendeley":{"formattedCitation":"(O’Neill &lt;i&gt;et al.&lt;/i&gt;, 2021)","plainTextFormattedCitation":"(O’Neill et al., 2021)","previouslyFormattedCitation":"(18)"},"properties":{"noteIndex":0},"schema":"https://github.com/citation-style-language/schema/raw/master/csl-citation.json"}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(O’Neill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2021)</w:t>
            </w:r>
            <w:r>
              <w:rPr>
                <w:rFonts w:eastAsia="Times New Roman" w:cs="Calibri"/>
                <w:color w:val="000000"/>
                <w:szCs w:val="26"/>
                <w:lang w:eastAsia="en-GB"/>
              </w:rPr>
              <w:fldChar w:fldCharType="end"/>
            </w:r>
          </w:p>
        </w:tc>
        <w:tc>
          <w:tcPr>
            <w:tcW w:w="960" w:type="dxa"/>
            <w:noWrap/>
            <w:vAlign w:val="center"/>
            <w:hideMark/>
          </w:tcPr>
          <w:p w14:paraId="3CF3ABCA"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6B123FA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6207FEC"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17D858A1"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61CCCE6F"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09187023"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992B33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5BF1861D"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5BB2F787"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7BCECC9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0D328145"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4A336C48" w14:textId="23A37002"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Lawn</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{"citationItems":[{"id":"ITEM-1","itemData":{"DOI":"10.1177/0269881120944148","ISSN":"14617285","PMID":"32755273","abstract":"Background: Cannabidiol has potential therapeutic benefits for people with psychiatric disorders characterised by reward function impairment. There is existing evidence that cannabidiol may influence some aspects of reward processing. However, it is unknown whether cannabidiol acutely affects brain function underpinning reward anticipation and feedback. Hypotheses: We predicted that cannabidiol would augment brain activity associated with reward anticipation and feedback. Methods: We administered a single 600 mg oral dose of cannabidiol and matched placebo to 23 healthy participants in a double-blind, placebo-controlled, repeated-measures design. We employed the monetary incentive delay task during functional magnetic resonance imaging to assay the neural correlates of reward anticipation and feedback. We conducted whole brain analyses and region-of-interest analyses in pre-specified reward-related brain regions. Results: The monetary incentive delay task elicited expected brain activity during reward anticipation and feedback, including in the insula, caudate, nucleus accumbens, anterior cingulate and orbitofrontal cortex. However, across the whole brain, we did not find any evidence that cannabidiol altered reward-related brain activity. Moreover, our Bayesian analyses showed that activity in our regions-of-interest was similar following cannabidiol and placebo. Additionally, our behavioural measures of motivation for reward did not show a significant difference between cannabidiol and placebo. Discussion: Cannabidiol did not acutely affect the neural correlates of reward anticipation and feedback in healthy participants. Future research should explore the effects of cannabidiol on different components of reward processing, employ different doses and administration regimens, and test its reward-related effects in people with psychiatric disorders.","author":[{"dropping-particle":"","family":"Lawn","given":"Will","non-dropping-particle":"","parse-names":false,"suffix":""},{"dropping-particle":"","family":"Hill","given":"James","non-dropping-particle":"","parse-names":false,"suffix":""},{"dropping-particle":"","family":"Hindocha","given":"Chandni","non-dropping-particle":"","parse-names":false,"suffix":""},{"dropping-particle":"","family":"Yim","given":"Jocelyn","non-dropping-particle":"","parse-names":false,"suffix":""},{"dropping-particle":"","family":"Yamamori","given":"Yumeya","non-dropping-particle":"","parse-names":false,"suffix":""},{"dropping-particle":"","family":"Jones","given":"Gus","non-dropping-particle":"","parse-names":false,"suffix":""},{"dropping-particle":"","family":"Walker","given":"Hannah","non-dropping-particle":"","parse-names":false,"suffix":""},{"dropping-particle":"","family":"Green","given":"Sebastian F.","non-dropping-particle":"","parse-names":false,"suffix":""},{"dropping-particle":"","family":"Wall","given":"Matthew B.","non-dropping-particle":"","parse-names":false,"suffix":""},{"dropping-particle":"","family":"Howes","given":"Oliver D.","non-dropping-particle":"","parse-names":false,"suffix":""},{"dropping-particle":"","family":"Curran","given":"H. Valerie","non-dropping-particle":"","parse-names":false,"suffix":""},{"dropping-particle":"","family":"Freeman","given":"Tom P.","non-dropping-particle":"","parse-names":false,"suffix":""},{"dropping-particle":"","family":"Bloomfield","given":"Michael A.P.","non-dropping-particle":"","parse-names":false,"suffix":""}],"container-title":"Journal of Psychopharmacology","id":"ITEM-1","issue":"9","issued":{"date-parts":[["2020","9","1"]]},"page":"969-980","publisher":"SAGE Publications","title":"The acute effects of cannabidiol on the neural correlates of reward anticipation and feedback in healthy volunteers","type":"article-journal","volume":"34"},"uris":["http://www.mendeley.com/documents/?uuid=d8a9cc2f-3086-36e2-a434-9cb64b4abdbe"]}],"mendeley":{"formattedCitation":"(Lawn &lt;i&gt;et al.&lt;/i&gt;, 2020)","plainTextFormattedCitation":"(Lawn et al., 2020)","previouslyFormattedCitation":"(19)"},"properties":{"noteIndex":0},"schema":"https://github.com/citation-style-language/schema/raw/master/csl-citation.json"}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(Lawn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2020)</w:t>
            </w:r>
            <w:r>
              <w:rPr>
                <w:rFonts w:eastAsia="Times New Roman" w:cs="Calibri"/>
                <w:color w:val="000000"/>
                <w:szCs w:val="26"/>
                <w:lang w:eastAsia="en-GB"/>
              </w:rPr>
              <w:fldChar w:fldCharType="end"/>
            </w:r>
          </w:p>
        </w:tc>
        <w:tc>
          <w:tcPr>
            <w:tcW w:w="960" w:type="dxa"/>
            <w:noWrap/>
            <w:vAlign w:val="center"/>
            <w:hideMark/>
          </w:tcPr>
          <w:p w14:paraId="31CDD1D6"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3FF7C3C0"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1F1D81C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4A079D42"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2128C625"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344632C3"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4163AF6"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63E093DB"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9952402"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29932656"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76EE1596" w14:textId="77777777" w:rsidTr="00890462">
        <w:trPr>
          <w:cnfStyle w:val="000000100000" w:firstRow="0" w:lastRow="0" w:firstColumn="0" w:lastColumn="0" w:oddVBand="0" w:evenVBand="0" w:oddHBand="1" w:evenHBand="0" w:firstRowFirstColumn="0" w:firstRowLastColumn="0" w:lastRowFirstColumn="0" w:lastRowLastColumn="0"/>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6595E73E" w14:textId="2EA80F7A"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Wilson</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{"citationItems":[{"id":"ITEM-1","itemData":{"DOI":"10.1038/s41398-019-0534-2","ISSN":"21583188","PMID":"31439831","abstract":"Accumulating evidence points towards the antipsychotic potential of cannabidiol. However, the neurocognitive mechanisms underlying the antipsychotic effect of cannabidiol remain unclear. We investigated this in a double-blind, placebo-controlled, parallel-arm study. We investigated 33 antipsychotic-naïve subjects at clinical high risk for psychosis (CHR) randomised to 600 mg oral cannabidiol or placebo and compared them with 19 healthy controls. We used the monetary incentive delay task while participants underwent fMRI to study reward processing, known to be abnormal in psychosis. Reward and loss anticipation phases were combined to examine a motivational salience condition and compared with neutral condition. We observed abnormal activation in the left insula/parietal operculum in CHR participants given placebo compared to healthy controls associated with premature action initiation. Insular activation correlated with both positive psychotic symptoms and salience perception, as indexed by difference in reaction time between salient and neutral stimuli conditions. CBD attenuated the increased activation in the left insula/parietal operculum and was associated with overall slowing of reaction time, suggesting a possible mechanism for its putative antipsychotic effect by normalising motivational salience and moderating motor response.","author":[{"dropping-particle":"","family":"Wilson","given":"Robin","non-dropping-particle":"","parse-names":false,"suffix":""},{"dropping-particle":"","family":"Bossong","given":"Matthijs G.","non-dropping-particle":"","parse-names":false,"suffix":""},{"dropping-particle":"","family":"Appiah-Kusi","given":"Elizabeth","non-dropping-particle":"","parse-names":false,"suffix":""},{"dropping-particle":"","family":"Petros","given":"Natalia","non-dropping-particle":"","parse-names":false,"suffix":""},{"dropping-particle":"","family":"Brammer","given":"Michael","non-dropping-particle":"","parse-names":false,"suffix":""},{"dropping-particle":"","family":"Perez","given":"Jesus","non-dropping-particle":"","parse-names":false,"suffix":""},{"dropping-particle":"","family":"Allen","given":"Paul","non-dropping-particle":"","parse-names":false,"suffix":""},{"dropping-particle":"","family":"McGuire","given":"Philip","non-dropping-particle":"","parse-names":false,"suffix":""},{"dropping-particle":"","family":"Bhattacharyya","given":"Sagnik","non-dropping-particle":"","parse-names":false,"suffix":""}],"container-title":"Translational Psychiatry","id":"ITEM-1","issue":"1","issued":{"date-parts":[["2019","12","22"]]},"page":"203","publisher":"Nature Publishing Group","title":"Cannabidiol attenuates insular dysfunction during motivational salience processing in subjects at clinical high risk for psychosis","type":"article-journal","volume":"9"},"uris":["http://www.mendeley.com/documents/?uuid=97d9187e-5ad8-3bae-b1f6-d0406fc66940"]}],"mendeley":{"formattedCitation":"(Wilson &lt;i&gt;et al.&lt;/i&gt;, 2019)","plainTextFormattedCitation":"(Wilson et al., 2019)","previouslyFormattedCitation":"(20)"},"properties":{"noteIndex":0},"schema":"https://github.com/citation-style-language/schema/raw/master/csl-citation.json"}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(Wilson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2019)</w:t>
            </w:r>
            <w:r>
              <w:rPr>
                <w:rFonts w:eastAsia="Times New Roman" w:cs="Calibri"/>
                <w:color w:val="000000"/>
                <w:szCs w:val="26"/>
                <w:lang w:eastAsia="en-GB"/>
              </w:rPr>
              <w:fldChar w:fldCharType="end"/>
            </w:r>
          </w:p>
        </w:tc>
        <w:tc>
          <w:tcPr>
            <w:tcW w:w="960" w:type="dxa"/>
            <w:noWrap/>
            <w:vAlign w:val="center"/>
            <w:hideMark/>
          </w:tcPr>
          <w:p w14:paraId="42D511AF"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3145074"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D5F1881"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43BE6B5"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090E7012"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09EE0C81"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0C62598E"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341241E7"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3B76FFED"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5F450C19" w14:textId="77777777" w:rsidR="00C800F5" w:rsidRPr="00792C7C" w:rsidRDefault="00C800F5" w:rsidP="00890462">
            <w:pPr>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r w:rsidR="00C800F5" w:rsidRPr="00792C7C" w14:paraId="5733C324" w14:textId="77777777" w:rsidTr="00890462">
        <w:trPr>
          <w:trHeight w:val="350"/>
          <w:jc w:val="center"/>
        </w:trPr>
        <w:tc>
          <w:tcPr>
            <w:cnfStyle w:val="001000000000" w:firstRow="0" w:lastRow="0" w:firstColumn="1" w:lastColumn="0" w:oddVBand="0" w:evenVBand="0" w:oddHBand="0" w:evenHBand="0" w:firstRowFirstColumn="0" w:firstRowLastColumn="0" w:lastRowFirstColumn="0" w:lastRowLastColumn="0"/>
            <w:tcW w:w="2054" w:type="dxa"/>
            <w:noWrap/>
            <w:vAlign w:val="center"/>
            <w:hideMark/>
          </w:tcPr>
          <w:p w14:paraId="26BF1B06" w14:textId="0F0213AD" w:rsidR="00C800F5" w:rsidRPr="00792C7C" w:rsidRDefault="00C800F5" w:rsidP="00890462">
            <w:pPr>
              <w:jc w:val="center"/>
              <w:rPr>
                <w:rFonts w:eastAsia="Times New Roman" w:cs="Calibri"/>
                <w:color w:val="000000"/>
                <w:szCs w:val="26"/>
                <w:lang w:eastAsia="en-GB"/>
              </w:rPr>
            </w:pPr>
            <w:r w:rsidRPr="00792C7C">
              <w:rPr>
                <w:rFonts w:eastAsia="Times New Roman" w:cs="Calibri"/>
                <w:color w:val="000000"/>
                <w:szCs w:val="26"/>
                <w:lang w:eastAsia="en-GB"/>
              </w:rPr>
              <w:t>Winton-Brown</w:t>
            </w:r>
            <w:r>
              <w:rPr>
                <w:rFonts w:eastAsia="Times New Roman" w:cs="Calibri"/>
                <w:color w:val="000000"/>
                <w:szCs w:val="26"/>
                <w:lang w:eastAsia="en-GB"/>
              </w:rPr>
              <w:fldChar w:fldCharType="begin" w:fldLock="1"/>
            </w:r>
            <w:r w:rsidR="00317597">
              <w:rPr>
                <w:rFonts w:eastAsia="Times New Roman" w:cs="Calibri"/>
                <w:color w:val="000000"/>
                <w:szCs w:val="26"/>
                <w:lang w:eastAsia="en-GB"/>
              </w:rPr>
              <w:instrText>ADDIN CSL_CITATION {"citationItems":[{"id":"ITEM-1","itemData":{"DOI":"10.1038/npp.2011.17","ISSN":"1740634X","PMID":"21412224","abstract":"Although the effects of cannabis on perception are well documented, little is known about their neural basis or how these may contribute to the formation of psychotic symptoms. We used functional magnetic resonance imaging (fMRI) to assess the effects of Delta-9-tetrahydrocannabinol (THC) and cannabidiol (CBD) during visual and auditory processing in healthy volunteers. In total, 14 healthy volunteers were scanned on three occasions. Identical 10 mg THC, 600 mg CBD, and placebo capsules were allocated in a balanced double-blinded pseudo-randomized crossover design. Plasma levels of each substance, physiological parameters, and measures of psychopathology were taken at baseline and at regular intervals following ingestion of substances. Volunteers listened passively to words read and viewed a radial visual checkerboard in alternating blocks during fMRI scanning. Administration of THC was associated with increases in anxiety, intoxication, and positive psychotic symptoms, whereas CBD had no significant symptomatic effects. THC decreased activation relative to placebo in bilateral temporal cortices during auditory processing, and increased and decreased activation in different visual areas during visual processing. CBD was associated with activation in right temporal cortex during auditory processing, and when contrasted, THC and CBD had opposite effects in the right posterior superior temporal gyrus, the right-sided homolog to Wernicke's area. Moreover, the attenuation of activation in this area (maximum 61, 15, 2) by THC during auditory processing was correlated with its acute effect on psychotic symptoms. Single doses of THC and CBD differently modulate brain function in areas that process auditory and visual stimuli and relate to induced psychotic symptoms. © 2011 American College of Neuropsychopharmacology. All rights reserved.","author":[{"dropping-particle":"","family":"Winton-Brown","given":"Toby T.","non-dropping-particle":"","parse-names":false,"suffix":""},{"dropping-particle":"","family":"Allen","given":"Paul","non-dropping-particle":"","parse-names":false,"suffix":""},{"dropping-particle":"","family":"Bhattacharrya","given":"Sagnik","non-dropping-particle":"","parse-names":false,"suffix":""},{"dropping-particle":"","family":"Borgwardt","given":"Stefan J.","non-dropping-particle":"","parse-names":false,"suffix":""},{"dropping-particle":"","family":"Fusar-Poli","given":"Paolo","non-dropping-particle":"","parse-names":false,"suffix":""},{"dropping-particle":"","family":"Crippa","given":"Jose A.","non-dropping-particle":"","parse-names":false,"suffix":""},{"dropping-particle":"","family":"Seal","given":"Marc L.","non-dropping-particle":"","parse-names":false,"suffix":""},{"dropping-particle":"","family":"Martin-Santos","given":"Rocio","non-dropping-particle":"","parse-names":false,"suffix":""},{"dropping-particle":"","family":"Ffytche","given":"Dominic","non-dropping-particle":"","parse-names":false,"suffix":""},{"dropping-particle":"","family":"Zuardi","given":"Antonio W.","non-dropping-particle":"","parse-names":false,"suffix":""},{"dropping-particle":"","family":"Atakan","given":"Zerrin","non-dropping-particle":"","parse-names":false,"suffix":""},{"dropping-particle":"","family":"McGuire","given":"Philip K.","non-dropping-particle":"","parse-names":false,"suffix":""}],"container-title":"Neuropsychopharmacology","id":"ITEM-1","issue":"7","issued":{"date-parts":[["2011"]]},"page":"1340-1348","publisher":"Nature Publishing Group","title":"Modulation of auditory and visual processing by delta-9- tetrahydrocannabinol and cannabidiol: An fMRI study","type":"article-journal","volume":"36"},"uris":["http://www.mendeley.com/documents/?uuid=505b5107-8681-4ade-9214-494e65c33c20"]}],"mendeley":{"formattedCitation":"(Winton-Brown &lt;i&gt;et al.&lt;/i&gt;, 2011)","plainTextFormattedCitation":"(Winton-Brown et al., 2011)","previouslyFormattedCitation":"(21)"},"properties":{"noteIndex":0},"schema":"https://github.com/citation-style-language/schema/raw/master/csl-citation.json"}</w:instrText>
            </w:r>
            <w:r>
              <w:rPr>
                <w:rFonts w:eastAsia="Times New Roman" w:cs="Calibri"/>
                <w:color w:val="000000"/>
                <w:szCs w:val="26"/>
                <w:lang w:eastAsia="en-GB"/>
              </w:rPr>
              <w:fldChar w:fldCharType="separate"/>
            </w:r>
            <w:r w:rsidR="00317597" w:rsidRPr="00317597">
              <w:rPr>
                <w:rFonts w:eastAsia="Times New Roman" w:cs="Calibri"/>
                <w:i w:val="0"/>
                <w:noProof/>
                <w:color w:val="000000"/>
                <w:szCs w:val="26"/>
                <w:lang w:eastAsia="en-GB"/>
              </w:rPr>
              <w:t xml:space="preserve">(Winton-Brown </w:t>
            </w:r>
            <w:r w:rsidR="00317597" w:rsidRPr="00317597">
              <w:rPr>
                <w:rFonts w:eastAsia="Times New Roman" w:cs="Calibri"/>
                <w:noProof/>
                <w:color w:val="000000"/>
                <w:szCs w:val="26"/>
                <w:lang w:eastAsia="en-GB"/>
              </w:rPr>
              <w:t>et al.</w:t>
            </w:r>
            <w:r w:rsidR="00317597" w:rsidRPr="00317597">
              <w:rPr>
                <w:rFonts w:eastAsia="Times New Roman" w:cs="Calibri"/>
                <w:i w:val="0"/>
                <w:noProof/>
                <w:color w:val="000000"/>
                <w:szCs w:val="26"/>
                <w:lang w:eastAsia="en-GB"/>
              </w:rPr>
              <w:t>, 2011)</w:t>
            </w:r>
            <w:r>
              <w:rPr>
                <w:rFonts w:eastAsia="Times New Roman" w:cs="Calibri"/>
                <w:color w:val="000000"/>
                <w:szCs w:val="26"/>
                <w:lang w:eastAsia="en-GB"/>
              </w:rPr>
              <w:fldChar w:fldCharType="end"/>
            </w:r>
          </w:p>
        </w:tc>
        <w:tc>
          <w:tcPr>
            <w:tcW w:w="960" w:type="dxa"/>
            <w:noWrap/>
            <w:vAlign w:val="center"/>
            <w:hideMark/>
          </w:tcPr>
          <w:p w14:paraId="0C7C6EA7"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1CADBC5C"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501FD808"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70AF971A"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95" w:type="dxa"/>
            <w:noWrap/>
            <w:vAlign w:val="center"/>
            <w:hideMark/>
          </w:tcPr>
          <w:p w14:paraId="1B44A560"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528" w:type="dxa"/>
            <w:noWrap/>
            <w:vAlign w:val="center"/>
            <w:hideMark/>
          </w:tcPr>
          <w:p w14:paraId="3389212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2EC8ACE1"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106" w:type="dxa"/>
            <w:noWrap/>
            <w:vAlign w:val="center"/>
            <w:hideMark/>
          </w:tcPr>
          <w:p w14:paraId="639D0EED"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995" w:type="dxa"/>
            <w:noWrap/>
            <w:vAlign w:val="center"/>
            <w:hideMark/>
          </w:tcPr>
          <w:p w14:paraId="1B52761D"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c>
          <w:tcPr>
            <w:tcW w:w="1417" w:type="dxa"/>
            <w:noWrap/>
            <w:vAlign w:val="center"/>
            <w:hideMark/>
          </w:tcPr>
          <w:p w14:paraId="4589EC1C" w14:textId="77777777" w:rsidR="00C800F5" w:rsidRPr="00792C7C" w:rsidRDefault="00C800F5" w:rsidP="00890462">
            <w:pPr>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000000"/>
                <w:lang w:eastAsia="en-GB"/>
              </w:rPr>
            </w:pPr>
            <w:r w:rsidRPr="00792C7C">
              <w:rPr>
                <w:rFonts w:eastAsia="Times New Roman" w:cs="Calibri"/>
                <w:color w:val="000000"/>
                <w:lang w:eastAsia="en-GB"/>
              </w:rPr>
              <w:t>•</w:t>
            </w:r>
          </w:p>
        </w:tc>
      </w:tr>
    </w:tbl>
    <w:p w14:paraId="77D2152A" w14:textId="77777777" w:rsidR="00C800F5" w:rsidRDefault="00C800F5" w:rsidP="00C800F5">
      <w:pPr>
        <w:spacing w:line="480" w:lineRule="auto"/>
        <w:jc w:val="both"/>
        <w:rPr>
          <w:rFonts w:ascii="Arial" w:hAnsi="Arial" w:cs="Arial"/>
          <w:b/>
          <w:bCs/>
          <w:i/>
          <w:iCs/>
        </w:rPr>
      </w:pPr>
    </w:p>
    <w:p w14:paraId="5182EB56" w14:textId="77777777" w:rsidR="00C800F5" w:rsidRDefault="00C800F5" w:rsidP="00C800F5">
      <w:pPr>
        <w:spacing w:line="480" w:lineRule="auto"/>
        <w:jc w:val="both"/>
        <w:rPr>
          <w:rFonts w:ascii="Arial" w:hAnsi="Arial" w:cs="Arial"/>
        </w:rPr>
      </w:pPr>
    </w:p>
    <w:p w14:paraId="15A64242" w14:textId="68034B4A" w:rsidR="00C800F5" w:rsidRPr="00C800F5" w:rsidRDefault="00C800F5" w:rsidP="00C800F5">
      <w:pPr>
        <w:rPr>
          <w:rFonts w:ascii="Arial" w:hAnsi="Arial" w:cs="Arial"/>
        </w:rPr>
        <w:sectPr w:rsidR="00C800F5" w:rsidRPr="00C800F5" w:rsidSect="00C800F5">
          <w:pgSz w:w="16838" w:h="11906" w:orient="landscape"/>
          <w:pgMar w:top="1440" w:right="1440" w:bottom="1440" w:left="1440" w:header="708" w:footer="708" w:gutter="0"/>
          <w:cols w:space="708"/>
          <w:docGrid w:linePitch="360"/>
        </w:sectPr>
      </w:pPr>
    </w:p>
    <w:p w14:paraId="3EFE052B" w14:textId="77777777" w:rsidR="00691950" w:rsidRDefault="00C66F43" w:rsidP="00691950">
      <w:pPr>
        <w:keepNext/>
      </w:pPr>
      <w:r>
        <w:rPr>
          <w:noProof/>
        </w:rPr>
        <w:lastRenderedPageBreak/>
        <w:drawing>
          <wp:inline distT="0" distB="0" distL="0" distR="0" wp14:anchorId="61A2E52E" wp14:editId="002C697F">
            <wp:extent cx="5719445" cy="30105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104072B9" w14:textId="5C10363E" w:rsidR="00E365AB" w:rsidRDefault="00691950" w:rsidP="00691950">
      <w:pPr>
        <w:pStyle w:val="Caption"/>
      </w:pPr>
      <w:r>
        <w:t xml:space="preserve">Supplementary Figure </w:t>
      </w:r>
      <w:fldSimple w:instr=" SEQ Supplementary_Figure \* ARABIC ">
        <w:r w:rsidR="0073342E">
          <w:rPr>
            <w:noProof/>
          </w:rPr>
          <w:t>1</w:t>
        </w:r>
      </w:fldSimple>
      <w:r w:rsidR="00AD56F7">
        <w:t xml:space="preserve">. CBD&gt;placebo, right middle orbital frontal gyrus, </w:t>
      </w:r>
      <w:r w:rsidR="00AE6534" w:rsidRPr="00C04B50">
        <w:t>Egger’s test</w:t>
      </w:r>
      <w:r w:rsidR="00AE6534">
        <w:t>, bias</w:t>
      </w:r>
      <w:r w:rsidR="00AE6534" w:rsidRPr="00C04B50">
        <w:t xml:space="preserve">= </w:t>
      </w:r>
      <w:r w:rsidR="00AE6534">
        <w:t>2.69</w:t>
      </w:r>
      <w:r w:rsidR="00AE6534" w:rsidRPr="00C04B50">
        <w:t xml:space="preserve">, t: </w:t>
      </w:r>
      <w:r w:rsidR="00AE6534">
        <w:t>1.07</w:t>
      </w:r>
      <w:r w:rsidR="00AE6534" w:rsidRPr="00C04B50">
        <w:t xml:space="preserve">, df: </w:t>
      </w:r>
      <w:r w:rsidR="00AE6534">
        <w:t>10</w:t>
      </w:r>
      <w:r w:rsidR="00AE6534" w:rsidRPr="00C04B50">
        <w:t xml:space="preserve">, p: </w:t>
      </w:r>
      <w:r w:rsidR="00AE6534">
        <w:t>0.31</w:t>
      </w:r>
    </w:p>
    <w:p w14:paraId="463F568D" w14:textId="77777777" w:rsidR="00691950" w:rsidRDefault="00453DCF" w:rsidP="00691950">
      <w:pPr>
        <w:keepNext/>
      </w:pPr>
      <w:r>
        <w:rPr>
          <w:noProof/>
        </w:rPr>
        <w:drawing>
          <wp:inline distT="0" distB="0" distL="0" distR="0" wp14:anchorId="4F283FDA" wp14:editId="5DDADD8E">
            <wp:extent cx="5719445" cy="30105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27207269" w14:textId="30B2EA5E" w:rsidR="00AE6534" w:rsidRDefault="00691950" w:rsidP="00AE6534">
      <w:pPr>
        <w:pStyle w:val="Caption"/>
      </w:pPr>
      <w:r>
        <w:t xml:space="preserve">Supplementary Figure </w:t>
      </w:r>
      <w:fldSimple w:instr=" SEQ Supplementary_Figure \* ARABIC ">
        <w:r w:rsidR="0073342E">
          <w:rPr>
            <w:noProof/>
          </w:rPr>
          <w:t>2</w:t>
        </w:r>
      </w:fldSimple>
      <w:r w:rsidR="00AD56F7">
        <w:t xml:space="preserve">. CBD&gt;placebo, left cerebellum crus II, </w:t>
      </w:r>
      <w:r w:rsidR="00AE6534" w:rsidRPr="00C04B50">
        <w:t>Egger’s test</w:t>
      </w:r>
      <w:r w:rsidR="00AE6534">
        <w:t>, bias</w:t>
      </w:r>
      <w:r w:rsidR="00AE6534" w:rsidRPr="00C04B50">
        <w:t xml:space="preserve">= </w:t>
      </w:r>
      <w:r w:rsidR="00BC638E">
        <w:t>3.25</w:t>
      </w:r>
      <w:r w:rsidR="00AE6534" w:rsidRPr="00C04B50">
        <w:t xml:space="preserve">, t: </w:t>
      </w:r>
      <w:r w:rsidR="00BC638E">
        <w:t>1.19</w:t>
      </w:r>
      <w:r w:rsidR="00AE6534" w:rsidRPr="00C04B50">
        <w:t xml:space="preserve">, df: </w:t>
      </w:r>
      <w:r w:rsidR="00BC638E">
        <w:t>10</w:t>
      </w:r>
      <w:r w:rsidR="00AE6534" w:rsidRPr="00C04B50">
        <w:t xml:space="preserve">, p: </w:t>
      </w:r>
      <w:r w:rsidR="00BC638E">
        <w:t>0.26</w:t>
      </w:r>
    </w:p>
    <w:p w14:paraId="51D3E259" w14:textId="77777777" w:rsidR="00691950" w:rsidRDefault="00453DCF" w:rsidP="00691950">
      <w:pPr>
        <w:keepNext/>
      </w:pPr>
      <w:r>
        <w:rPr>
          <w:noProof/>
        </w:rPr>
        <w:lastRenderedPageBreak/>
        <w:drawing>
          <wp:inline distT="0" distB="0" distL="0" distR="0" wp14:anchorId="38A67447" wp14:editId="6EB53097">
            <wp:extent cx="5719445" cy="30105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157E1D93" w14:textId="03E99566" w:rsidR="00453DCF" w:rsidRDefault="00691950" w:rsidP="00691950">
      <w:pPr>
        <w:pStyle w:val="Caption"/>
      </w:pPr>
      <w:r>
        <w:t xml:space="preserve">Supplementary Figure </w:t>
      </w:r>
      <w:fldSimple w:instr=" SEQ Supplementary_Figure \* ARABIC ">
        <w:r w:rsidR="0073342E">
          <w:rPr>
            <w:noProof/>
          </w:rPr>
          <w:t>3</w:t>
        </w:r>
      </w:fldSimple>
      <w:r w:rsidR="00AD56F7">
        <w:t xml:space="preserve">. CBD&gt;placebo, right interior temporal gyrus, </w:t>
      </w:r>
      <w:r w:rsidR="00BC638E" w:rsidRPr="00C04B50">
        <w:t>Egger’s test</w:t>
      </w:r>
      <w:r w:rsidR="00BC638E">
        <w:t>, bias</w:t>
      </w:r>
      <w:r w:rsidR="00BC638E" w:rsidRPr="00C04B50">
        <w:t xml:space="preserve">= </w:t>
      </w:r>
      <w:r w:rsidR="008A4CDD">
        <w:t>1.60</w:t>
      </w:r>
      <w:r w:rsidR="00BC638E" w:rsidRPr="00C04B50">
        <w:t xml:space="preserve">, t: </w:t>
      </w:r>
      <w:r w:rsidR="008A4CDD">
        <w:t>0.63</w:t>
      </w:r>
      <w:r w:rsidR="00BC638E" w:rsidRPr="00C04B50">
        <w:t xml:space="preserve">, df: </w:t>
      </w:r>
      <w:r w:rsidR="00BC638E">
        <w:t>10</w:t>
      </w:r>
      <w:r w:rsidR="00BC638E" w:rsidRPr="00C04B50">
        <w:t xml:space="preserve">, p: </w:t>
      </w:r>
      <w:r w:rsidR="008A4CDD">
        <w:t>0.54</w:t>
      </w:r>
    </w:p>
    <w:p w14:paraId="427B617B" w14:textId="77777777" w:rsidR="00691950" w:rsidRDefault="00453DCF" w:rsidP="00691950">
      <w:pPr>
        <w:keepNext/>
      </w:pPr>
      <w:r>
        <w:rPr>
          <w:noProof/>
        </w:rPr>
        <w:drawing>
          <wp:inline distT="0" distB="0" distL="0" distR="0" wp14:anchorId="5AF36642" wp14:editId="27CA7EB2">
            <wp:extent cx="5719445" cy="3010535"/>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01C009C6" w14:textId="488A5B63" w:rsidR="00453DCF" w:rsidRDefault="00691950" w:rsidP="00691950">
      <w:pPr>
        <w:pStyle w:val="Caption"/>
      </w:pPr>
      <w:r>
        <w:t xml:space="preserve">Supplementary Figure </w:t>
      </w:r>
      <w:fldSimple w:instr=" SEQ Supplementary_Figure \* ARABIC ">
        <w:r w:rsidR="0073342E">
          <w:rPr>
            <w:noProof/>
          </w:rPr>
          <w:t>4</w:t>
        </w:r>
      </w:fldSimple>
      <w:r w:rsidR="00AD56F7">
        <w:t>. CBD&gt;placebo, right middle temporal gyrus</w:t>
      </w:r>
      <w:r w:rsidR="008A4CDD">
        <w:t xml:space="preserve">, </w:t>
      </w:r>
      <w:r w:rsidR="008A4CDD" w:rsidRPr="00C04B50">
        <w:t>Egger’s test</w:t>
      </w:r>
      <w:r w:rsidR="008A4CDD">
        <w:t>, bias</w:t>
      </w:r>
      <w:r w:rsidR="008A4CDD" w:rsidRPr="00C04B50">
        <w:t xml:space="preserve">= </w:t>
      </w:r>
      <w:r w:rsidR="008A4CDD">
        <w:t>-0.74</w:t>
      </w:r>
      <w:r w:rsidR="008A4CDD" w:rsidRPr="00C04B50">
        <w:t xml:space="preserve">, t: </w:t>
      </w:r>
      <w:r w:rsidR="008A4CDD">
        <w:t>-0.41</w:t>
      </w:r>
      <w:r w:rsidR="008A4CDD" w:rsidRPr="00C04B50">
        <w:t xml:space="preserve">, df: </w:t>
      </w:r>
      <w:r w:rsidR="008A4CDD">
        <w:t>1</w:t>
      </w:r>
      <w:r w:rsidR="008A4CDD" w:rsidRPr="00C04B50">
        <w:t xml:space="preserve">, p: </w:t>
      </w:r>
      <w:r w:rsidR="008A4CDD">
        <w:t>0.69</w:t>
      </w:r>
    </w:p>
    <w:p w14:paraId="10B714FD" w14:textId="4B2B180D" w:rsidR="00691950" w:rsidRDefault="00691950" w:rsidP="00691950">
      <w:pPr>
        <w:keepNext/>
      </w:pPr>
      <w:r>
        <w:rPr>
          <w:noProof/>
        </w:rPr>
        <w:lastRenderedPageBreak/>
        <w:drawing>
          <wp:inline distT="0" distB="0" distL="0" distR="0" wp14:anchorId="37E443CA" wp14:editId="7FBD8410">
            <wp:extent cx="5719445" cy="30105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26DC691F" w14:textId="1D3C3B68" w:rsidR="008A4CDD" w:rsidRDefault="00691950" w:rsidP="00700FD1">
      <w:pPr>
        <w:pStyle w:val="Caption"/>
        <w:keepNext/>
      </w:pPr>
      <w:r>
        <w:t xml:space="preserve">Supplementary Figure </w:t>
      </w:r>
      <w:fldSimple w:instr=" SEQ Supplementary_Figure \* ARABIC ">
        <w:r w:rsidR="0073342E">
          <w:rPr>
            <w:noProof/>
          </w:rPr>
          <w:t>5</w:t>
        </w:r>
      </w:fldSimple>
      <w:r w:rsidR="00AD56F7">
        <w:t>. CBD&lt;placebo, left cerebellum lobule IV/V,</w:t>
      </w:r>
      <w:r w:rsidR="008A4CDD">
        <w:t xml:space="preserve"> </w:t>
      </w:r>
      <w:r w:rsidR="008A4CDD" w:rsidRPr="00C04B50">
        <w:t>Egger’s test</w:t>
      </w:r>
      <w:r w:rsidR="008A4CDD">
        <w:t>, bias</w:t>
      </w:r>
      <w:r w:rsidR="008A4CDD" w:rsidRPr="00C04B50">
        <w:t xml:space="preserve">= </w:t>
      </w:r>
      <w:r w:rsidR="008A4CDD">
        <w:t>-4.13</w:t>
      </w:r>
      <w:r w:rsidR="008A4CDD" w:rsidRPr="00C04B50">
        <w:t xml:space="preserve">, t: </w:t>
      </w:r>
      <w:r w:rsidR="008A4CDD">
        <w:t>-2.60</w:t>
      </w:r>
      <w:r w:rsidR="008A4CDD" w:rsidRPr="00C04B50">
        <w:t xml:space="preserve">, df: </w:t>
      </w:r>
      <w:r w:rsidR="008A4CDD">
        <w:t>10</w:t>
      </w:r>
      <w:r w:rsidR="008A4CDD" w:rsidRPr="00C04B50">
        <w:t xml:space="preserve">, p: </w:t>
      </w:r>
      <w:r w:rsidR="008A4CDD">
        <w:t>0.026</w:t>
      </w:r>
    </w:p>
    <w:p w14:paraId="330FE690" w14:textId="6F8A4741" w:rsidR="00700FD1" w:rsidRDefault="00700FD1" w:rsidP="00700FD1">
      <w:pPr>
        <w:pStyle w:val="Caption"/>
        <w:keepNext/>
      </w:pPr>
      <w:r>
        <w:rPr>
          <w:noProof/>
        </w:rPr>
        <w:drawing>
          <wp:inline distT="0" distB="0" distL="0" distR="0" wp14:anchorId="46192B04" wp14:editId="21746700">
            <wp:extent cx="5719445" cy="30105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29D20C6B" w14:textId="358061A5" w:rsidR="00AD56F7" w:rsidRDefault="00700FD1" w:rsidP="00700FD1">
      <w:pPr>
        <w:pStyle w:val="Caption"/>
        <w:keepNext/>
      </w:pPr>
      <w:r>
        <w:t xml:space="preserve">Supplementary Figure </w:t>
      </w:r>
      <w:fldSimple w:instr=" SEQ Supplementary_Figure \* ARABIC ">
        <w:r w:rsidR="0073342E">
          <w:rPr>
            <w:noProof/>
          </w:rPr>
          <w:t>6</w:t>
        </w:r>
      </w:fldSimple>
      <w:r w:rsidR="00AD56F7">
        <w:t>. CBD&lt;placebo, left supplementary motor area,</w:t>
      </w:r>
      <w:r w:rsidR="008A4CDD">
        <w:t xml:space="preserve"> </w:t>
      </w:r>
      <w:r w:rsidR="008A4CDD" w:rsidRPr="00C04B50">
        <w:t>Egger’s test</w:t>
      </w:r>
      <w:r w:rsidR="008A4CDD">
        <w:t>, bias</w:t>
      </w:r>
      <w:r w:rsidR="008A4CDD" w:rsidRPr="00C04B50">
        <w:t xml:space="preserve">= </w:t>
      </w:r>
      <w:r w:rsidR="00C76FA1">
        <w:t>-4.10</w:t>
      </w:r>
      <w:r w:rsidR="008A4CDD" w:rsidRPr="00C04B50">
        <w:t xml:space="preserve">, t: </w:t>
      </w:r>
      <w:r w:rsidR="00C76FA1">
        <w:t>-1.91</w:t>
      </w:r>
      <w:r w:rsidR="008A4CDD" w:rsidRPr="00C04B50">
        <w:t xml:space="preserve">, df: </w:t>
      </w:r>
      <w:r w:rsidR="008A4CDD">
        <w:t>10</w:t>
      </w:r>
      <w:r w:rsidR="008A4CDD" w:rsidRPr="00C04B50">
        <w:t xml:space="preserve">, p: </w:t>
      </w:r>
      <w:r w:rsidR="00C76FA1">
        <w:t>0.086</w:t>
      </w:r>
      <w:r w:rsidR="00AD56F7">
        <w:t xml:space="preserve"> </w:t>
      </w:r>
      <w:r>
        <w:t xml:space="preserve"> </w:t>
      </w:r>
    </w:p>
    <w:p w14:paraId="75DFAB83" w14:textId="10766A20" w:rsidR="00700FD1" w:rsidRDefault="00700FD1" w:rsidP="00700FD1">
      <w:pPr>
        <w:pStyle w:val="Caption"/>
        <w:keepNext/>
      </w:pPr>
      <w:r>
        <w:rPr>
          <w:noProof/>
        </w:rPr>
        <w:lastRenderedPageBreak/>
        <w:drawing>
          <wp:inline distT="0" distB="0" distL="0" distR="0" wp14:anchorId="6C83909F" wp14:editId="3B8E483A">
            <wp:extent cx="5719445" cy="30105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3C955AD1" w14:textId="086425E4" w:rsidR="00AD56F7" w:rsidRDefault="00700FD1" w:rsidP="00176BBD">
      <w:pPr>
        <w:pStyle w:val="Caption"/>
      </w:pPr>
      <w:r>
        <w:t xml:space="preserve">Supplementary Figure </w:t>
      </w:r>
      <w:fldSimple w:instr=" SEQ Supplementary_Figure \* ARABIC ">
        <w:r w:rsidR="0073342E">
          <w:rPr>
            <w:noProof/>
          </w:rPr>
          <w:t>7</w:t>
        </w:r>
      </w:fldSimple>
      <w:r w:rsidR="00AD56F7">
        <w:t xml:space="preserve">. CBD&lt;placebo, right inferior temporal gyrus, </w:t>
      </w:r>
      <w:r w:rsidR="00C76FA1" w:rsidRPr="00C04B50">
        <w:t>Egger’s test</w:t>
      </w:r>
      <w:r w:rsidR="00C76FA1">
        <w:t>, bias</w:t>
      </w:r>
      <w:r w:rsidR="00C76FA1" w:rsidRPr="00C04B50">
        <w:t xml:space="preserve">= </w:t>
      </w:r>
      <w:r w:rsidR="00C76FA1">
        <w:t>-3.25</w:t>
      </w:r>
      <w:r w:rsidR="00C76FA1" w:rsidRPr="00C04B50">
        <w:t xml:space="preserve">, t: </w:t>
      </w:r>
      <w:r w:rsidR="00C76FA1">
        <w:t>-1.31</w:t>
      </w:r>
      <w:r w:rsidR="00C76FA1" w:rsidRPr="00C04B50">
        <w:t xml:space="preserve">, df: </w:t>
      </w:r>
      <w:r w:rsidR="00C76FA1">
        <w:t>10</w:t>
      </w:r>
      <w:r w:rsidR="00C76FA1" w:rsidRPr="00C04B50">
        <w:t xml:space="preserve">, p: </w:t>
      </w:r>
      <w:r w:rsidR="00C76FA1">
        <w:t>0.22</w:t>
      </w:r>
      <w:r>
        <w:rPr>
          <w:noProof/>
        </w:rPr>
        <w:drawing>
          <wp:inline distT="0" distB="0" distL="0" distR="0" wp14:anchorId="4771E651" wp14:editId="171E0B87">
            <wp:extent cx="5719445" cy="30105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r>
        <w:t xml:space="preserve">Supplementary Figure </w:t>
      </w:r>
      <w:fldSimple w:instr=" SEQ Supplementary_Figure \* ARABIC ">
        <w:r w:rsidR="0073342E">
          <w:rPr>
            <w:noProof/>
          </w:rPr>
          <w:t>8</w:t>
        </w:r>
      </w:fldSimple>
      <w:r w:rsidR="00AD56F7">
        <w:t>. CBD&lt;placebo, right precentral gyrus,</w:t>
      </w:r>
      <w:r w:rsidR="00C76FA1">
        <w:t xml:space="preserve"> </w:t>
      </w:r>
      <w:r w:rsidR="00C76FA1" w:rsidRPr="00C04B50">
        <w:t>Egger’s test</w:t>
      </w:r>
      <w:r w:rsidR="00C76FA1">
        <w:t>, bias</w:t>
      </w:r>
      <w:r w:rsidR="00C76FA1" w:rsidRPr="00C04B50">
        <w:t xml:space="preserve">= </w:t>
      </w:r>
      <w:r w:rsidR="00C76FA1">
        <w:t>-7.08</w:t>
      </w:r>
      <w:r w:rsidR="00C76FA1" w:rsidRPr="00C04B50">
        <w:t xml:space="preserve">, t: </w:t>
      </w:r>
      <w:r w:rsidR="00C76FA1">
        <w:t>-4.20</w:t>
      </w:r>
      <w:r w:rsidR="00C76FA1" w:rsidRPr="00C04B50">
        <w:t xml:space="preserve">, df: </w:t>
      </w:r>
      <w:r w:rsidR="00C76FA1">
        <w:t>10</w:t>
      </w:r>
      <w:r w:rsidR="00C76FA1" w:rsidRPr="00C04B50">
        <w:t xml:space="preserve">, p: </w:t>
      </w:r>
      <w:r w:rsidR="00C76FA1">
        <w:t>0.002</w:t>
      </w:r>
    </w:p>
    <w:p w14:paraId="01E62A0B" w14:textId="77777777" w:rsidR="00AD56F7" w:rsidRDefault="00AD56F7" w:rsidP="00700FD1">
      <w:pPr>
        <w:pStyle w:val="Caption"/>
        <w:keepNext/>
      </w:pPr>
    </w:p>
    <w:p w14:paraId="47247D7F" w14:textId="48C9D466" w:rsidR="00700FD1" w:rsidRDefault="00700FD1" w:rsidP="00700FD1">
      <w:pPr>
        <w:pStyle w:val="Caption"/>
        <w:keepNext/>
      </w:pPr>
      <w:r>
        <w:rPr>
          <w:noProof/>
        </w:rPr>
        <w:drawing>
          <wp:inline distT="0" distB="0" distL="0" distR="0" wp14:anchorId="3D09BCEE" wp14:editId="4794F20A">
            <wp:extent cx="5719445" cy="30105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5A061D85" w14:textId="1F0BE355" w:rsidR="00AD56F7" w:rsidRDefault="00700FD1" w:rsidP="00700FD1">
      <w:pPr>
        <w:pStyle w:val="Caption"/>
        <w:keepNext/>
      </w:pPr>
      <w:r>
        <w:t xml:space="preserve">Supplementary Figure </w:t>
      </w:r>
      <w:fldSimple w:instr=" SEQ Supplementary_Figure \* ARABIC ">
        <w:r w:rsidR="0073342E">
          <w:rPr>
            <w:noProof/>
          </w:rPr>
          <w:t>9</w:t>
        </w:r>
      </w:fldSimple>
      <w:r w:rsidR="00AD56F7">
        <w:t xml:space="preserve">. CBD&lt;placebo, left superior temporal pole, </w:t>
      </w:r>
      <w:r w:rsidR="00C76FA1" w:rsidRPr="00C04B50">
        <w:t>Egger’s test</w:t>
      </w:r>
      <w:r w:rsidR="00C76FA1">
        <w:t>, bias</w:t>
      </w:r>
      <w:r w:rsidR="00C76FA1" w:rsidRPr="00C04B50">
        <w:t xml:space="preserve">= </w:t>
      </w:r>
      <w:r w:rsidR="00C76FA1">
        <w:t>-3.37</w:t>
      </w:r>
      <w:r w:rsidR="00C76FA1" w:rsidRPr="00C04B50">
        <w:t xml:space="preserve">, t: </w:t>
      </w:r>
      <w:r w:rsidR="00C76FA1">
        <w:t>-1.29</w:t>
      </w:r>
      <w:r w:rsidR="00C76FA1" w:rsidRPr="00C04B50">
        <w:t xml:space="preserve">, df: </w:t>
      </w:r>
      <w:r w:rsidR="00C76FA1">
        <w:t>10</w:t>
      </w:r>
      <w:r w:rsidR="00C76FA1" w:rsidRPr="00C04B50">
        <w:t xml:space="preserve">, p: </w:t>
      </w:r>
      <w:r w:rsidR="00C76FA1">
        <w:t>0.23</w:t>
      </w:r>
    </w:p>
    <w:p w14:paraId="04817235" w14:textId="010C903D" w:rsidR="00700FD1" w:rsidRDefault="00700FD1" w:rsidP="00700FD1">
      <w:pPr>
        <w:pStyle w:val="Caption"/>
        <w:keepNext/>
      </w:pPr>
      <w:r>
        <w:rPr>
          <w:noProof/>
        </w:rPr>
        <w:drawing>
          <wp:inline distT="0" distB="0" distL="0" distR="0" wp14:anchorId="75B274D2" wp14:editId="4451E457">
            <wp:extent cx="5719445" cy="30105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19445" cy="3010535"/>
                    </a:xfrm>
                    <a:prstGeom prst="rect">
                      <a:avLst/>
                    </a:prstGeom>
                    <a:noFill/>
                    <a:ln>
                      <a:noFill/>
                    </a:ln>
                  </pic:spPr>
                </pic:pic>
              </a:graphicData>
            </a:graphic>
          </wp:inline>
        </w:drawing>
      </w:r>
    </w:p>
    <w:p w14:paraId="02050CA1" w14:textId="1F334771" w:rsidR="00691950" w:rsidRDefault="00700FD1" w:rsidP="00C76FA1">
      <w:pPr>
        <w:pStyle w:val="Caption"/>
      </w:pPr>
      <w:r>
        <w:t xml:space="preserve">Supplementary Figure </w:t>
      </w:r>
      <w:fldSimple w:instr=" SEQ Supplementary_Figure \* ARABIC ">
        <w:r w:rsidR="0073342E">
          <w:rPr>
            <w:noProof/>
          </w:rPr>
          <w:t>10</w:t>
        </w:r>
      </w:fldSimple>
      <w:r w:rsidR="00AD56F7">
        <w:t xml:space="preserve">. CBD&lt;placebo, right median/ paracingulate gyri, </w:t>
      </w:r>
      <w:r w:rsidR="00C76FA1" w:rsidRPr="00C04B50">
        <w:t>Egger’s test</w:t>
      </w:r>
      <w:r w:rsidR="00C76FA1">
        <w:t>, bias</w:t>
      </w:r>
      <w:r w:rsidR="00C76FA1" w:rsidRPr="00C04B50">
        <w:t xml:space="preserve">= </w:t>
      </w:r>
      <w:r w:rsidR="00C76FA1">
        <w:t>-3.40</w:t>
      </w:r>
      <w:r w:rsidR="00C76FA1" w:rsidRPr="00C04B50">
        <w:t xml:space="preserve">, t: </w:t>
      </w:r>
      <w:r w:rsidR="00C76FA1">
        <w:t>-1.84</w:t>
      </w:r>
      <w:r w:rsidR="00C76FA1" w:rsidRPr="00C04B50">
        <w:t xml:space="preserve">, df: </w:t>
      </w:r>
      <w:r w:rsidR="00C76FA1">
        <w:t>10</w:t>
      </w:r>
      <w:r w:rsidR="00C76FA1" w:rsidRPr="00C04B50">
        <w:t xml:space="preserve">, p: </w:t>
      </w:r>
      <w:r w:rsidR="00C76FA1">
        <w:t>0.1</w:t>
      </w:r>
    </w:p>
    <w:p w14:paraId="42EFE3FE" w14:textId="0FCEAA24" w:rsidR="00E76C92" w:rsidRDefault="00E76C92" w:rsidP="00E76C92">
      <w:pPr>
        <w:spacing w:line="480" w:lineRule="auto"/>
        <w:jc w:val="both"/>
        <w:rPr>
          <w:rFonts w:ascii="Arial" w:hAnsi="Arial" w:cs="Arial"/>
          <w:b/>
          <w:bCs/>
          <w:i/>
          <w:iCs/>
        </w:rPr>
      </w:pPr>
    </w:p>
    <w:p w14:paraId="0661E0B4" w14:textId="73F60C27" w:rsidR="00B05CD5" w:rsidRDefault="00B05CD5" w:rsidP="00E76C92">
      <w:pPr>
        <w:spacing w:line="480" w:lineRule="auto"/>
        <w:jc w:val="both"/>
        <w:rPr>
          <w:rFonts w:ascii="Arial" w:hAnsi="Arial" w:cs="Arial"/>
          <w:b/>
          <w:bCs/>
          <w:i/>
          <w:iCs/>
        </w:rPr>
      </w:pPr>
    </w:p>
    <w:p w14:paraId="413D238D" w14:textId="61899F54" w:rsidR="00B05CD5" w:rsidRDefault="00B05CD5" w:rsidP="00E76C92">
      <w:pPr>
        <w:spacing w:line="480" w:lineRule="auto"/>
        <w:jc w:val="both"/>
        <w:rPr>
          <w:rFonts w:ascii="Arial" w:hAnsi="Arial" w:cs="Arial"/>
          <w:b/>
          <w:bCs/>
          <w:i/>
          <w:iCs/>
        </w:rPr>
      </w:pPr>
    </w:p>
    <w:p w14:paraId="77B241D0" w14:textId="0C93C2C6" w:rsidR="00B05CD5" w:rsidRDefault="00B05CD5" w:rsidP="00E76C92">
      <w:pPr>
        <w:spacing w:line="480" w:lineRule="auto"/>
        <w:jc w:val="both"/>
        <w:rPr>
          <w:rFonts w:ascii="Arial" w:hAnsi="Arial" w:cs="Arial"/>
          <w:b/>
          <w:bCs/>
          <w:i/>
          <w:iCs/>
        </w:rPr>
      </w:pPr>
    </w:p>
    <w:p w14:paraId="625FE4FE" w14:textId="1746B825" w:rsidR="00FA5D15" w:rsidRDefault="00E76C92" w:rsidP="00E76C92">
      <w:pPr>
        <w:spacing w:line="480" w:lineRule="auto"/>
        <w:jc w:val="both"/>
        <w:rPr>
          <w:rFonts w:ascii="Arial" w:hAnsi="Arial" w:cs="Arial"/>
          <w:b/>
          <w:bCs/>
          <w:i/>
          <w:iCs/>
        </w:rPr>
      </w:pPr>
      <w:r>
        <w:rPr>
          <w:rFonts w:ascii="Arial" w:hAnsi="Arial" w:cs="Arial"/>
          <w:b/>
          <w:bCs/>
          <w:i/>
          <w:iCs/>
        </w:rPr>
        <w:lastRenderedPageBreak/>
        <w:t>Regression</w:t>
      </w:r>
      <w:r w:rsidR="00FA5D15">
        <w:rPr>
          <w:rFonts w:ascii="Arial" w:hAnsi="Arial" w:cs="Arial"/>
          <w:b/>
          <w:bCs/>
          <w:i/>
          <w:iCs/>
        </w:rPr>
        <w:t xml:space="preserve"> D</w:t>
      </w:r>
      <w:r>
        <w:rPr>
          <w:rFonts w:ascii="Arial" w:hAnsi="Arial" w:cs="Arial"/>
          <w:b/>
          <w:bCs/>
          <w:i/>
          <w:iCs/>
        </w:rPr>
        <w:t>iagnostics</w:t>
      </w:r>
      <w:r w:rsidRPr="00DE25C5">
        <w:rPr>
          <w:rFonts w:ascii="Arial" w:hAnsi="Arial" w:cs="Arial"/>
          <w:b/>
          <w:bCs/>
          <w:i/>
          <w:iCs/>
        </w:rPr>
        <w:t xml:space="preserve"> </w:t>
      </w:r>
      <w:proofErr w:type="gramStart"/>
      <w:r w:rsidRPr="00DE25C5">
        <w:rPr>
          <w:rFonts w:ascii="Arial" w:hAnsi="Arial" w:cs="Arial"/>
          <w:b/>
          <w:bCs/>
          <w:i/>
          <w:iCs/>
        </w:rPr>
        <w:t>For</w:t>
      </w:r>
      <w:proofErr w:type="gramEnd"/>
      <w:r w:rsidRPr="00DE25C5">
        <w:rPr>
          <w:rFonts w:ascii="Arial" w:hAnsi="Arial" w:cs="Arial"/>
          <w:b/>
          <w:bCs/>
          <w:i/>
          <w:iCs/>
        </w:rPr>
        <w:t xml:space="preserve"> </w:t>
      </w:r>
      <w:r w:rsidR="00FA5D15">
        <w:rPr>
          <w:rFonts w:ascii="Arial" w:hAnsi="Arial" w:cs="Arial"/>
          <w:b/>
          <w:bCs/>
          <w:i/>
          <w:iCs/>
        </w:rPr>
        <w:t xml:space="preserve">Hedge’s g Effect Size Estimate and </w:t>
      </w:r>
      <w:r w:rsidR="00600FCE" w:rsidRPr="00600FCE">
        <w:rPr>
          <w:rFonts w:ascii="Arial" w:hAnsi="Arial" w:cs="Arial"/>
          <w:b/>
          <w:bCs/>
          <w:i/>
          <w:iCs/>
        </w:rPr>
        <w:t xml:space="preserve">FAAH, DRD2, HTR1A and CNR1 </w:t>
      </w:r>
      <w:r w:rsidR="00600FCE">
        <w:rPr>
          <w:rFonts w:ascii="Arial" w:hAnsi="Arial" w:cs="Arial"/>
          <w:b/>
          <w:bCs/>
          <w:i/>
          <w:iCs/>
        </w:rPr>
        <w:t>G</w:t>
      </w:r>
      <w:r w:rsidR="00600FCE" w:rsidRPr="00600FCE">
        <w:rPr>
          <w:rFonts w:ascii="Arial" w:hAnsi="Arial" w:cs="Arial"/>
          <w:b/>
          <w:bCs/>
          <w:i/>
          <w:iCs/>
        </w:rPr>
        <w:t xml:space="preserve">ene </w:t>
      </w:r>
      <w:r w:rsidR="00600FCE">
        <w:rPr>
          <w:rFonts w:ascii="Arial" w:hAnsi="Arial" w:cs="Arial"/>
          <w:b/>
          <w:bCs/>
          <w:i/>
          <w:iCs/>
        </w:rPr>
        <w:t>E</w:t>
      </w:r>
      <w:r w:rsidR="00600FCE" w:rsidRPr="00600FCE">
        <w:rPr>
          <w:rFonts w:ascii="Arial" w:hAnsi="Arial" w:cs="Arial"/>
          <w:b/>
          <w:bCs/>
          <w:i/>
          <w:iCs/>
        </w:rPr>
        <w:t xml:space="preserve">xpression </w:t>
      </w:r>
      <w:r w:rsidR="00600FCE">
        <w:rPr>
          <w:rFonts w:ascii="Arial" w:hAnsi="Arial" w:cs="Arial"/>
          <w:b/>
          <w:bCs/>
          <w:i/>
          <w:iCs/>
        </w:rPr>
        <w:t>V</w:t>
      </w:r>
      <w:r w:rsidR="00600FCE" w:rsidRPr="00600FCE">
        <w:rPr>
          <w:rFonts w:ascii="Arial" w:hAnsi="Arial" w:cs="Arial"/>
          <w:b/>
          <w:bCs/>
          <w:i/>
          <w:iCs/>
        </w:rPr>
        <w:t>alues</w:t>
      </w:r>
    </w:p>
    <w:p w14:paraId="3828B5C0" w14:textId="47FF6D14" w:rsidR="0026022F" w:rsidRDefault="000C6665" w:rsidP="00176BBD">
      <w:pPr>
        <w:keepNext/>
        <w:spacing w:line="480" w:lineRule="auto"/>
        <w:jc w:val="both"/>
        <w:rPr>
          <w:rFonts w:ascii="Arial" w:hAnsi="Arial" w:cs="Arial"/>
          <w:color w:val="000000"/>
          <w:shd w:val="clear" w:color="auto" w:fill="FFFFFF"/>
        </w:rPr>
      </w:pPr>
      <w:r w:rsidRPr="00A93F5D">
        <w:rPr>
          <w:rFonts w:ascii="Arial" w:hAnsi="Arial" w:cs="Arial"/>
          <w:color w:val="000000"/>
          <w:shd w:val="clear" w:color="auto" w:fill="FFFFFF"/>
        </w:rPr>
        <w:t xml:space="preserve">Regression diagnostics are methods used to </w:t>
      </w:r>
      <w:r w:rsidR="00C164AA" w:rsidRPr="00A93F5D">
        <w:rPr>
          <w:rFonts w:ascii="Arial" w:hAnsi="Arial" w:cs="Arial"/>
          <w:color w:val="000000"/>
          <w:shd w:val="clear" w:color="auto" w:fill="FFFFFF"/>
        </w:rPr>
        <w:t>assess</w:t>
      </w:r>
      <w:r w:rsidRPr="00A93F5D">
        <w:rPr>
          <w:rFonts w:ascii="Arial" w:hAnsi="Arial" w:cs="Arial"/>
          <w:color w:val="000000"/>
          <w:shd w:val="clear" w:color="auto" w:fill="FFFFFF"/>
        </w:rPr>
        <w:t xml:space="preserve"> a regression model </w:t>
      </w:r>
      <w:r w:rsidR="00C164AA" w:rsidRPr="00A93F5D">
        <w:rPr>
          <w:rFonts w:ascii="Arial" w:hAnsi="Arial" w:cs="Arial"/>
          <w:color w:val="000000"/>
          <w:shd w:val="clear" w:color="auto" w:fill="FFFFFF"/>
        </w:rPr>
        <w:t xml:space="preserve">in its ability to </w:t>
      </w:r>
      <w:r w:rsidRPr="00A93F5D">
        <w:rPr>
          <w:rFonts w:ascii="Arial" w:hAnsi="Arial" w:cs="Arial"/>
          <w:color w:val="000000"/>
          <w:shd w:val="clear" w:color="auto" w:fill="FFFFFF"/>
        </w:rPr>
        <w:t xml:space="preserve">adequately </w:t>
      </w:r>
      <w:r w:rsidRPr="00FB662D">
        <w:rPr>
          <w:rFonts w:ascii="Arial" w:hAnsi="Arial" w:cs="Arial"/>
          <w:color w:val="000000"/>
          <w:shd w:val="clear" w:color="auto" w:fill="FFFFFF"/>
        </w:rPr>
        <w:t>represent the data</w:t>
      </w:r>
      <w:r w:rsidR="00386FA6" w:rsidRPr="00FB662D">
        <w:rPr>
          <w:rFonts w:ascii="Arial" w:hAnsi="Arial" w:cs="Arial"/>
          <w:color w:val="000000"/>
          <w:shd w:val="clear" w:color="auto" w:fill="FFFFFF"/>
        </w:rPr>
        <w:t xml:space="preserve"> </w:t>
      </w:r>
      <w:r w:rsidR="00386FA6" w:rsidRPr="00FB662D">
        <w:rPr>
          <w:rFonts w:ascii="Arial" w:hAnsi="Arial" w:cs="Arial"/>
          <w:color w:val="000000"/>
          <w:shd w:val="clear" w:color="auto" w:fill="FFFFFF"/>
        </w:rPr>
        <w:fldChar w:fldCharType="begin" w:fldLock="1"/>
      </w:r>
      <w:r w:rsidR="00317597">
        <w:rPr>
          <w:rFonts w:ascii="Arial" w:hAnsi="Arial" w:cs="Arial"/>
          <w:color w:val="000000"/>
          <w:shd w:val="clear" w:color="auto" w:fill="FFFFFF"/>
        </w:rPr>
        <w:instrText>ADDIN CSL_CITATION {"citationItems":[{"id":"ITEM-1","itemData":{"URL":"https://socialsciences.mcmaster.ca/jfox/Courses/Brazil-2009/index.html","accessed":{"date-parts":[["2021","9","15"]]},"author":[{"dropping-particle":"","family":"Fox","given":"John","non-dropping-particle":"","parse-names":false,"suffix":""}],"id":"ITEM-1","issued":{"date-parts":[["2009"]]},"title":"Regression Diagnostics","type":"webpage"},"uris":["http://www.mendeley.com/documents/?uuid=4045dd93-e8bf-35af-ba79-ea0432067873"]}],"mendeley":{"formattedCitation":"(Fox, 2009)","plainTextFormattedCitation":"(Fox, 2009)","previouslyFormattedCitation":"(22)"},"properties":{"noteIndex":0},"schema":"https://github.com/citation-style-language/schema/raw/master/csl-citation.json"}</w:instrText>
      </w:r>
      <w:r w:rsidR="00386FA6" w:rsidRPr="00FB662D">
        <w:rPr>
          <w:rFonts w:ascii="Arial" w:hAnsi="Arial" w:cs="Arial"/>
          <w:color w:val="000000"/>
          <w:shd w:val="clear" w:color="auto" w:fill="FFFFFF"/>
        </w:rPr>
        <w:fldChar w:fldCharType="separate"/>
      </w:r>
      <w:r w:rsidR="00317597" w:rsidRPr="00317597">
        <w:rPr>
          <w:rFonts w:ascii="Arial" w:hAnsi="Arial" w:cs="Arial"/>
          <w:noProof/>
          <w:color w:val="000000"/>
          <w:shd w:val="clear" w:color="auto" w:fill="FFFFFF"/>
        </w:rPr>
        <w:t>(Fox, 2009)</w:t>
      </w:r>
      <w:r w:rsidR="00386FA6" w:rsidRPr="00FB662D">
        <w:rPr>
          <w:rFonts w:ascii="Arial" w:hAnsi="Arial" w:cs="Arial"/>
          <w:color w:val="000000"/>
          <w:shd w:val="clear" w:color="auto" w:fill="FFFFFF"/>
        </w:rPr>
        <w:fldChar w:fldCharType="end"/>
      </w:r>
      <w:r w:rsidR="001E116E" w:rsidRPr="00FB662D">
        <w:rPr>
          <w:rFonts w:ascii="Arial" w:hAnsi="Arial" w:cs="Arial"/>
          <w:color w:val="000000"/>
          <w:shd w:val="clear" w:color="auto" w:fill="FFFFFF"/>
        </w:rPr>
        <w:t xml:space="preserve">. </w:t>
      </w:r>
      <w:r w:rsidR="00FC6E3A" w:rsidRPr="00FB662D">
        <w:rPr>
          <w:rFonts w:ascii="Arial" w:hAnsi="Arial" w:cs="Arial"/>
          <w:color w:val="000000"/>
          <w:shd w:val="clear" w:color="auto" w:fill="FFFFFF"/>
        </w:rPr>
        <w:t xml:space="preserve">Visual inspection of the </w:t>
      </w:r>
      <w:r w:rsidR="00070A1F" w:rsidRPr="00011F41">
        <w:rPr>
          <w:rFonts w:ascii="Arial" w:hAnsi="Arial" w:cs="Arial"/>
          <w:color w:val="000000"/>
          <w:shd w:val="clear" w:color="auto" w:fill="FFFFFF"/>
        </w:rPr>
        <w:t xml:space="preserve">QQ plots </w:t>
      </w:r>
      <w:r w:rsidR="00FC6E3A" w:rsidRPr="00011F41">
        <w:rPr>
          <w:rFonts w:ascii="Arial" w:hAnsi="Arial" w:cs="Arial"/>
          <w:color w:val="000000"/>
          <w:shd w:val="clear" w:color="auto" w:fill="FFFFFF"/>
        </w:rPr>
        <w:t>indicated</w:t>
      </w:r>
      <w:r w:rsidR="00070A1F" w:rsidRPr="00011F41">
        <w:rPr>
          <w:rFonts w:ascii="Arial" w:hAnsi="Arial" w:cs="Arial"/>
          <w:color w:val="000000"/>
          <w:shd w:val="clear" w:color="auto" w:fill="FFFFFF"/>
        </w:rPr>
        <w:t xml:space="preserve"> </w:t>
      </w:r>
      <w:r w:rsidR="00FC6E3A" w:rsidRPr="00011F41">
        <w:rPr>
          <w:rFonts w:ascii="Arial" w:hAnsi="Arial" w:cs="Arial"/>
          <w:color w:val="000000"/>
          <w:shd w:val="clear" w:color="auto" w:fill="FFFFFF"/>
        </w:rPr>
        <w:t>that the data was</w:t>
      </w:r>
      <w:r w:rsidR="00070A1F" w:rsidRPr="00011F41">
        <w:rPr>
          <w:rFonts w:ascii="Arial" w:hAnsi="Arial" w:cs="Arial"/>
          <w:color w:val="000000"/>
          <w:shd w:val="clear" w:color="auto" w:fill="FFFFFF"/>
        </w:rPr>
        <w:t xml:space="preserve"> normal</w:t>
      </w:r>
      <w:r w:rsidR="00FC6E3A" w:rsidRPr="00011F41">
        <w:rPr>
          <w:rFonts w:ascii="Arial" w:hAnsi="Arial" w:cs="Arial"/>
          <w:color w:val="000000"/>
          <w:shd w:val="clear" w:color="auto" w:fill="FFFFFF"/>
        </w:rPr>
        <w:t xml:space="preserve">ly distributed (Supplementary Figure </w:t>
      </w:r>
      <w:r w:rsidR="00DB5428" w:rsidRPr="00011F41">
        <w:rPr>
          <w:rFonts w:ascii="Arial" w:hAnsi="Arial" w:cs="Arial"/>
          <w:color w:val="000000"/>
          <w:shd w:val="clear" w:color="auto" w:fill="FFFFFF"/>
        </w:rPr>
        <w:t>1</w:t>
      </w:r>
      <w:r w:rsidR="00D26E67">
        <w:rPr>
          <w:rFonts w:ascii="Arial" w:hAnsi="Arial" w:cs="Arial"/>
          <w:color w:val="000000"/>
          <w:shd w:val="clear" w:color="auto" w:fill="FFFFFF"/>
        </w:rPr>
        <w:t>1</w:t>
      </w:r>
      <w:r w:rsidR="00FC6E3A" w:rsidRPr="00FB662D">
        <w:rPr>
          <w:rFonts w:ascii="Arial" w:hAnsi="Arial" w:cs="Arial"/>
          <w:color w:val="000000"/>
          <w:shd w:val="clear" w:color="auto" w:fill="FFFFFF"/>
        </w:rPr>
        <w:t xml:space="preserve">). </w:t>
      </w:r>
      <w:r w:rsidR="0086371F" w:rsidRPr="00011F41">
        <w:rPr>
          <w:rFonts w:ascii="Arial" w:hAnsi="Arial" w:cs="Arial"/>
          <w:color w:val="000000"/>
          <w:shd w:val="clear" w:color="auto" w:fill="FFFFFF"/>
        </w:rPr>
        <w:t xml:space="preserve">The Spread-Level plot suggested that </w:t>
      </w:r>
      <w:r w:rsidR="00825E4C" w:rsidRPr="00011F41">
        <w:rPr>
          <w:rFonts w:ascii="Arial" w:hAnsi="Arial" w:cs="Arial"/>
          <w:color w:val="000000"/>
          <w:shd w:val="clear" w:color="auto" w:fill="FFFFFF"/>
        </w:rPr>
        <w:t>heteroskedasticity</w:t>
      </w:r>
      <w:r w:rsidR="0086371F" w:rsidRPr="00011F41">
        <w:rPr>
          <w:rFonts w:ascii="Arial" w:hAnsi="Arial" w:cs="Arial"/>
          <w:color w:val="000000"/>
          <w:shd w:val="clear" w:color="auto" w:fill="FFFFFF"/>
        </w:rPr>
        <w:t xml:space="preserve"> was not</w:t>
      </w:r>
      <w:r w:rsidR="000536E7" w:rsidRPr="00011F41">
        <w:rPr>
          <w:rFonts w:ascii="Arial" w:hAnsi="Arial" w:cs="Arial"/>
          <w:color w:val="000000"/>
          <w:shd w:val="clear" w:color="auto" w:fill="FFFFFF"/>
        </w:rPr>
        <w:t xml:space="preserve"> present among the data (Suppl</w:t>
      </w:r>
      <w:r w:rsidR="009E57AF" w:rsidRPr="00011F41">
        <w:rPr>
          <w:rFonts w:ascii="Arial" w:hAnsi="Arial" w:cs="Arial"/>
          <w:color w:val="000000"/>
          <w:shd w:val="clear" w:color="auto" w:fill="FFFFFF"/>
        </w:rPr>
        <w:t xml:space="preserve">ementary Figure </w:t>
      </w:r>
      <w:r w:rsidR="00DB5428" w:rsidRPr="00011F41">
        <w:rPr>
          <w:rFonts w:ascii="Arial" w:hAnsi="Arial" w:cs="Arial"/>
          <w:color w:val="000000"/>
          <w:shd w:val="clear" w:color="auto" w:fill="FFFFFF"/>
        </w:rPr>
        <w:t>1</w:t>
      </w:r>
      <w:r w:rsidR="00D26E67">
        <w:rPr>
          <w:rFonts w:ascii="Arial" w:hAnsi="Arial" w:cs="Arial"/>
          <w:color w:val="000000"/>
          <w:shd w:val="clear" w:color="auto" w:fill="FFFFFF"/>
        </w:rPr>
        <w:t>2</w:t>
      </w:r>
      <w:r w:rsidR="009E57AF" w:rsidRPr="00FB662D">
        <w:rPr>
          <w:rFonts w:ascii="Arial" w:hAnsi="Arial" w:cs="Arial"/>
          <w:color w:val="000000"/>
          <w:shd w:val="clear" w:color="auto" w:fill="FFFFFF"/>
        </w:rPr>
        <w:t xml:space="preserve">). </w:t>
      </w:r>
      <w:r w:rsidR="00221BE0" w:rsidRPr="00011F41">
        <w:rPr>
          <w:rFonts w:ascii="Arial" w:hAnsi="Arial" w:cs="Arial"/>
          <w:color w:val="000000"/>
          <w:shd w:val="clear" w:color="auto" w:fill="FFFFFF"/>
        </w:rPr>
        <w:t>V</w:t>
      </w:r>
      <w:r w:rsidR="00FB2212" w:rsidRPr="00011F41">
        <w:rPr>
          <w:rFonts w:ascii="Arial" w:hAnsi="Arial" w:cs="Arial"/>
          <w:color w:val="000000"/>
          <w:shd w:val="clear" w:color="auto" w:fill="FFFFFF"/>
        </w:rPr>
        <w:t>ariance inflation factor was used to assess multicollinearity</w:t>
      </w:r>
      <w:r w:rsidR="00E51E27" w:rsidRPr="00011F41">
        <w:rPr>
          <w:rFonts w:ascii="Arial" w:hAnsi="Arial" w:cs="Arial"/>
          <w:color w:val="000000"/>
          <w:shd w:val="clear" w:color="auto" w:fill="FFFFFF"/>
        </w:rPr>
        <w:t xml:space="preserve"> where a </w:t>
      </w:r>
      <w:r w:rsidR="00D905A9" w:rsidRPr="00011F41">
        <w:rPr>
          <w:rFonts w:ascii="Arial" w:hAnsi="Arial" w:cs="Arial"/>
          <w:color w:val="000000"/>
          <w:shd w:val="clear" w:color="auto" w:fill="FFFFFF"/>
        </w:rPr>
        <w:t xml:space="preserve">cut off </w:t>
      </w:r>
      <w:r w:rsidR="00E51E27" w:rsidRPr="00011F41">
        <w:rPr>
          <w:rFonts w:ascii="Arial" w:hAnsi="Arial" w:cs="Arial"/>
          <w:color w:val="000000"/>
          <w:shd w:val="clear" w:color="auto" w:fill="FFFFFF"/>
        </w:rPr>
        <w:t>5 is commonly applied</w:t>
      </w:r>
      <w:r w:rsidR="0097418D" w:rsidRPr="00A93F5D">
        <w:rPr>
          <w:rFonts w:ascii="Arial" w:hAnsi="Arial" w:cs="Arial"/>
          <w:color w:val="000000"/>
          <w:shd w:val="clear" w:color="auto" w:fill="FFFFFF"/>
        </w:rPr>
        <w:t xml:space="preserve"> </w:t>
      </w:r>
      <w:r w:rsidR="0097418D" w:rsidRPr="00A93F5D">
        <w:rPr>
          <w:rFonts w:ascii="Arial" w:hAnsi="Arial" w:cs="Arial"/>
          <w:color w:val="000000"/>
          <w:shd w:val="clear" w:color="auto" w:fill="FFFFFF"/>
        </w:rPr>
        <w:fldChar w:fldCharType="begin" w:fldLock="1"/>
      </w:r>
      <w:r w:rsidR="00317597">
        <w:rPr>
          <w:rFonts w:ascii="Arial" w:hAnsi="Arial" w:cs="Arial"/>
          <w:color w:val="000000"/>
          <w:shd w:val="clear" w:color="auto" w:fill="FFFFFF"/>
        </w:rPr>
        <w:instrText>ADDIN CSL_CITATION {"citationItems":[{"id":"ITEM-1","itemData":{"DOI":"10.1007/978-0-387-09608-7_1","abstract":"This book focuses on tools and techniques for building valid regression models for real-world data. We shall see that a key step in any regression analysis is assessing the validity of the given model. When weaknesses in the model are identified the next step is to address each of these weaknesses. A key theme throughout the book is that it makes sense to base inferences or conclusions only on valid models .","author":[{"dropping-particle":"","family":"Sheather","given":"Simon J.","non-dropping-particle":"","parse-names":false,"suffix":""}],"id":"ITEM-1","issued":{"date-parts":[["2009"]]},"page":"1-14","title":"A Modern Approach to Regression with R","type":"chapter"},"uris":["http://www.mendeley.com/documents/?uuid=a912e0ae-879a-30bf-b026-99fb9c989731"]}],"mendeley":{"formattedCitation":"(Sheather, 2009)","plainTextFormattedCitation":"(Sheather, 2009)","previouslyFormattedCitation":"(23)"},"properties":{"noteIndex":0},"schema":"https://github.com/citation-style-language/schema/raw/master/csl-citation.json"}</w:instrText>
      </w:r>
      <w:r w:rsidR="0097418D" w:rsidRPr="00A93F5D">
        <w:rPr>
          <w:rFonts w:ascii="Arial" w:hAnsi="Arial" w:cs="Arial"/>
          <w:color w:val="000000"/>
          <w:shd w:val="clear" w:color="auto" w:fill="FFFFFF"/>
        </w:rPr>
        <w:fldChar w:fldCharType="separate"/>
      </w:r>
      <w:r w:rsidR="00317597" w:rsidRPr="00317597">
        <w:rPr>
          <w:rFonts w:ascii="Arial" w:hAnsi="Arial" w:cs="Arial"/>
          <w:noProof/>
          <w:color w:val="000000"/>
          <w:shd w:val="clear" w:color="auto" w:fill="FFFFFF"/>
        </w:rPr>
        <w:t>(Sheather, 2009)</w:t>
      </w:r>
      <w:r w:rsidR="0097418D" w:rsidRPr="00A93F5D">
        <w:rPr>
          <w:rFonts w:ascii="Arial" w:hAnsi="Arial" w:cs="Arial"/>
          <w:color w:val="000000"/>
          <w:shd w:val="clear" w:color="auto" w:fill="FFFFFF"/>
        </w:rPr>
        <w:fldChar w:fldCharType="end"/>
      </w:r>
      <w:r w:rsidR="0097418D" w:rsidRPr="00A93F5D">
        <w:rPr>
          <w:rFonts w:ascii="Arial" w:hAnsi="Arial" w:cs="Arial"/>
          <w:color w:val="000000"/>
          <w:shd w:val="clear" w:color="auto" w:fill="FFFFFF"/>
        </w:rPr>
        <w:t xml:space="preserve">. </w:t>
      </w:r>
      <w:r w:rsidR="000F2A09" w:rsidRPr="00A93F5D">
        <w:rPr>
          <w:rFonts w:ascii="Arial" w:hAnsi="Arial" w:cs="Arial"/>
          <w:color w:val="000000"/>
          <w:shd w:val="clear" w:color="auto" w:fill="FFFFFF"/>
        </w:rPr>
        <w:t xml:space="preserve">The </w:t>
      </w:r>
      <w:r w:rsidR="003B10C6" w:rsidRPr="00A93F5D">
        <w:rPr>
          <w:rFonts w:ascii="Arial" w:hAnsi="Arial" w:cs="Arial"/>
          <w:color w:val="000000"/>
          <w:shd w:val="clear" w:color="auto" w:fill="FFFFFF"/>
        </w:rPr>
        <w:t>variance inflation factor for the genes investigated were: FAAH= 1.22, DRD2= 1.92, HTR1A= 2.11, CBR1= 1.86</w:t>
      </w:r>
      <w:r w:rsidR="00106EBF" w:rsidRPr="00A93F5D">
        <w:rPr>
          <w:rFonts w:ascii="Arial" w:hAnsi="Arial" w:cs="Arial"/>
          <w:color w:val="000000"/>
          <w:shd w:val="clear" w:color="auto" w:fill="FFFFFF"/>
        </w:rPr>
        <w:t>.</w:t>
      </w:r>
      <w:r w:rsidR="00106EBF">
        <w:rPr>
          <w:rFonts w:ascii="Arial" w:hAnsi="Arial" w:cs="Arial"/>
          <w:color w:val="000000"/>
          <w:sz w:val="27"/>
          <w:szCs w:val="27"/>
          <w:shd w:val="clear" w:color="auto" w:fill="FFFFFF"/>
        </w:rPr>
        <w:t xml:space="preserve"> </w:t>
      </w:r>
      <w:r w:rsidR="0026022F" w:rsidRPr="0026022F">
        <w:rPr>
          <w:rFonts w:ascii="Arial" w:hAnsi="Arial" w:cs="Arial"/>
          <w:color w:val="000000"/>
          <w:shd w:val="clear" w:color="auto" w:fill="FFFFFF"/>
        </w:rPr>
        <w:t>Thi</w:t>
      </w:r>
      <w:r w:rsidR="0026022F">
        <w:rPr>
          <w:rFonts w:ascii="Arial" w:hAnsi="Arial" w:cs="Arial"/>
          <w:color w:val="000000"/>
          <w:shd w:val="clear" w:color="auto" w:fill="FFFFFF"/>
        </w:rPr>
        <w:t xml:space="preserve">s indicated </w:t>
      </w:r>
      <w:r w:rsidR="00C1734F">
        <w:rPr>
          <w:rFonts w:ascii="Arial" w:hAnsi="Arial" w:cs="Arial"/>
        </w:rPr>
        <w:t xml:space="preserve">minimal multicollinearity between the independent variables. </w:t>
      </w:r>
    </w:p>
    <w:p w14:paraId="5E21C8C1" w14:textId="77777777" w:rsidR="0073342E" w:rsidRDefault="00A93F5D" w:rsidP="0073342E">
      <w:pPr>
        <w:keepNext/>
        <w:spacing w:line="480" w:lineRule="auto"/>
      </w:pPr>
      <w:r>
        <w:rPr>
          <w:rFonts w:ascii="Arial" w:hAnsi="Arial" w:cs="Arial"/>
          <w:noProof/>
          <w:color w:val="000000"/>
          <w:sz w:val="27"/>
          <w:szCs w:val="27"/>
          <w:shd w:val="clear" w:color="auto" w:fill="FFFFFF"/>
        </w:rPr>
        <w:drawing>
          <wp:inline distT="0" distB="0" distL="0" distR="0" wp14:anchorId="2C03255A" wp14:editId="47F1AA18">
            <wp:extent cx="5260365" cy="3174113"/>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4368" t="12708" r="3761" b="2284"/>
                    <a:stretch/>
                  </pic:blipFill>
                  <pic:spPr bwMode="auto">
                    <a:xfrm>
                      <a:off x="0" y="0"/>
                      <a:ext cx="5262091" cy="3175155"/>
                    </a:xfrm>
                    <a:prstGeom prst="rect">
                      <a:avLst/>
                    </a:prstGeom>
                    <a:noFill/>
                    <a:ln>
                      <a:noFill/>
                    </a:ln>
                    <a:extLst>
                      <a:ext uri="{53640926-AAD7-44D8-BBD7-CCE9431645EC}">
                        <a14:shadowObscured xmlns:a14="http://schemas.microsoft.com/office/drawing/2010/main"/>
                      </a:ext>
                    </a:extLst>
                  </pic:spPr>
                </pic:pic>
              </a:graphicData>
            </a:graphic>
          </wp:inline>
        </w:drawing>
      </w:r>
    </w:p>
    <w:p w14:paraId="1DCB1B98" w14:textId="598BA028" w:rsidR="00A93F5D" w:rsidRDefault="0073342E" w:rsidP="0073342E">
      <w:pPr>
        <w:pStyle w:val="Caption"/>
      </w:pPr>
      <w:r>
        <w:t xml:space="preserve">Supplementary Figure </w:t>
      </w:r>
      <w:fldSimple w:instr=" SEQ Supplementary_Figure \* ARABIC ">
        <w:r>
          <w:rPr>
            <w:noProof/>
          </w:rPr>
          <w:t>11</w:t>
        </w:r>
      </w:fldSimple>
      <w:r>
        <w:t xml:space="preserve">. QQ plot indicating normal distribution </w:t>
      </w:r>
    </w:p>
    <w:p w14:paraId="6F8AE9F7" w14:textId="0845B318" w:rsidR="00722D8F" w:rsidRDefault="00722D8F" w:rsidP="00A93F5D">
      <w:pPr>
        <w:pStyle w:val="Caption"/>
        <w:rPr>
          <w:rFonts w:ascii="Arial" w:hAnsi="Arial" w:cs="Arial"/>
          <w:color w:val="000000"/>
          <w:sz w:val="27"/>
          <w:szCs w:val="27"/>
          <w:shd w:val="clear" w:color="auto" w:fill="FFFFFF"/>
        </w:rPr>
      </w:pPr>
    </w:p>
    <w:p w14:paraId="0CF83A77" w14:textId="77777777" w:rsidR="0073342E" w:rsidRDefault="00A93F5D" w:rsidP="0073342E">
      <w:pPr>
        <w:keepNext/>
      </w:pPr>
      <w:r>
        <w:rPr>
          <w:rFonts w:ascii="Arial" w:hAnsi="Arial" w:cs="Arial"/>
          <w:noProof/>
          <w:color w:val="000000"/>
          <w:sz w:val="27"/>
          <w:szCs w:val="27"/>
          <w:shd w:val="clear" w:color="auto" w:fill="FFFFFF"/>
        </w:rPr>
        <w:lastRenderedPageBreak/>
        <w:drawing>
          <wp:inline distT="0" distB="0" distL="0" distR="0" wp14:anchorId="6C9935CD" wp14:editId="2B512508">
            <wp:extent cx="5140300" cy="3114135"/>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a:extLst>
                        <a:ext uri="{28A0092B-C50C-407E-A947-70E740481C1C}">
                          <a14:useLocalDpi xmlns:a14="http://schemas.microsoft.com/office/drawing/2010/main" val="0"/>
                        </a:ext>
                      </a:extLst>
                    </a:blip>
                    <a:srcRect l="4670" t="14908" r="5550" b="2261"/>
                    <a:stretch/>
                  </pic:blipFill>
                  <pic:spPr bwMode="auto">
                    <a:xfrm>
                      <a:off x="0" y="0"/>
                      <a:ext cx="5142321" cy="3115360"/>
                    </a:xfrm>
                    <a:prstGeom prst="rect">
                      <a:avLst/>
                    </a:prstGeom>
                    <a:noFill/>
                    <a:ln>
                      <a:noFill/>
                    </a:ln>
                    <a:extLst>
                      <a:ext uri="{53640926-AAD7-44D8-BBD7-CCE9431645EC}">
                        <a14:shadowObscured xmlns:a14="http://schemas.microsoft.com/office/drawing/2010/main"/>
                      </a:ext>
                    </a:extLst>
                  </pic:spPr>
                </pic:pic>
              </a:graphicData>
            </a:graphic>
          </wp:inline>
        </w:drawing>
      </w:r>
    </w:p>
    <w:p w14:paraId="06D0F808" w14:textId="554AA87B" w:rsidR="00A93F5D" w:rsidRDefault="0073342E" w:rsidP="0073342E">
      <w:pPr>
        <w:pStyle w:val="Caption"/>
      </w:pPr>
      <w:r>
        <w:t xml:space="preserve">Supplementary Figure </w:t>
      </w:r>
      <w:fldSimple w:instr=" SEQ Supplementary_Figure \* ARABIC ">
        <w:r>
          <w:rPr>
            <w:noProof/>
          </w:rPr>
          <w:t>12</w:t>
        </w:r>
      </w:fldSimple>
      <w:r>
        <w:t>. Spread-level plot indicating an absence of heteroskedasticity</w:t>
      </w:r>
    </w:p>
    <w:p w14:paraId="0E3B5762" w14:textId="5A11806D" w:rsidR="005A234F" w:rsidRDefault="005A234F" w:rsidP="00A93F5D">
      <w:pPr>
        <w:pStyle w:val="Caption"/>
      </w:pPr>
    </w:p>
    <w:p w14:paraId="1ABC9C86" w14:textId="50CD852A" w:rsidR="00176BBD" w:rsidRDefault="00176BBD" w:rsidP="00176BBD"/>
    <w:p w14:paraId="777A76D8" w14:textId="302E2D76" w:rsidR="00176BBD" w:rsidRDefault="00176BBD">
      <w:r>
        <w:br w:type="page"/>
      </w:r>
    </w:p>
    <w:p w14:paraId="7692DE68" w14:textId="7B9BD673" w:rsidR="00176BBD" w:rsidRPr="00227111" w:rsidRDefault="00176BBD" w:rsidP="00176BBD">
      <w:pPr>
        <w:rPr>
          <w:rFonts w:ascii="Arial" w:hAnsi="Arial" w:cs="Arial"/>
          <w:b/>
          <w:bCs/>
        </w:rPr>
      </w:pPr>
      <w:r w:rsidRPr="00227111">
        <w:rPr>
          <w:rFonts w:ascii="Arial" w:hAnsi="Arial" w:cs="Arial"/>
          <w:b/>
          <w:bCs/>
        </w:rPr>
        <w:lastRenderedPageBreak/>
        <w:t>Supplementary References</w:t>
      </w:r>
    </w:p>
    <w:p w14:paraId="6B56873E" w14:textId="637973AB" w:rsidR="00317597" w:rsidRPr="00317597" w:rsidRDefault="00176BBD" w:rsidP="00317597">
      <w:pPr>
        <w:widowControl w:val="0"/>
        <w:autoSpaceDE w:val="0"/>
        <w:autoSpaceDN w:val="0"/>
        <w:adjustRightInd w:val="0"/>
        <w:spacing w:line="240" w:lineRule="auto"/>
        <w:rPr>
          <w:rFonts w:ascii="Arial" w:hAnsi="Arial" w:cs="Arial"/>
          <w:noProof/>
          <w:szCs w:val="24"/>
        </w:rPr>
      </w:pPr>
      <w:r w:rsidRPr="00227111">
        <w:rPr>
          <w:rFonts w:ascii="Arial" w:hAnsi="Arial" w:cs="Arial"/>
          <w:color w:val="000000"/>
          <w:shd w:val="clear" w:color="auto" w:fill="FFFFFF"/>
        </w:rPr>
        <w:fldChar w:fldCharType="begin" w:fldLock="1"/>
      </w:r>
      <w:r w:rsidRPr="00227111">
        <w:rPr>
          <w:rFonts w:ascii="Arial" w:hAnsi="Arial" w:cs="Arial"/>
          <w:color w:val="000000"/>
          <w:shd w:val="clear" w:color="auto" w:fill="FFFFFF"/>
        </w:rPr>
        <w:instrText xml:space="preserve">ADDIN Mendeley Bibliography CSL_BIBLIOGRAPHY </w:instrText>
      </w:r>
      <w:r w:rsidRPr="00227111">
        <w:rPr>
          <w:rFonts w:ascii="Arial" w:hAnsi="Arial" w:cs="Arial"/>
          <w:color w:val="000000"/>
          <w:shd w:val="clear" w:color="auto" w:fill="FFFFFF"/>
        </w:rPr>
        <w:fldChar w:fldCharType="separate"/>
      </w:r>
      <w:r w:rsidR="00317597" w:rsidRPr="00317597">
        <w:rPr>
          <w:rFonts w:ascii="Arial" w:hAnsi="Arial" w:cs="Arial"/>
          <w:noProof/>
          <w:szCs w:val="24"/>
        </w:rPr>
        <w:t xml:space="preserve">Adams, H. (1978) </w:t>
      </w:r>
      <w:r w:rsidR="00317597" w:rsidRPr="00317597">
        <w:rPr>
          <w:rFonts w:ascii="Arial" w:hAnsi="Arial" w:cs="Arial"/>
          <w:i/>
          <w:iCs/>
          <w:noProof/>
          <w:szCs w:val="24"/>
        </w:rPr>
        <w:t>Atlas of the Human Brain</w:t>
      </w:r>
      <w:r w:rsidR="00317597" w:rsidRPr="00317597">
        <w:rPr>
          <w:rFonts w:ascii="Arial" w:hAnsi="Arial" w:cs="Arial"/>
          <w:noProof/>
          <w:szCs w:val="24"/>
        </w:rPr>
        <w:t xml:space="preserve">. 3rd edn, </w:t>
      </w:r>
      <w:r w:rsidR="00317597" w:rsidRPr="00317597">
        <w:rPr>
          <w:rFonts w:ascii="Arial" w:hAnsi="Arial" w:cs="Arial"/>
          <w:i/>
          <w:iCs/>
          <w:noProof/>
          <w:szCs w:val="24"/>
        </w:rPr>
        <w:t>Journal of Neurology, Neurosurgery &amp; Psychiatry</w:t>
      </w:r>
      <w:r w:rsidR="00317597" w:rsidRPr="00317597">
        <w:rPr>
          <w:rFonts w:ascii="Arial" w:hAnsi="Arial" w:cs="Arial"/>
          <w:noProof/>
          <w:szCs w:val="24"/>
        </w:rPr>
        <w:t>. 3rd edn. Amsterdam: Elsevier Academic Press. doi: 10.1136/jnnp.41.10.960-b.</w:t>
      </w:r>
    </w:p>
    <w:p w14:paraId="718F3D39"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Arnatkevic̆iūtė, A., Fulcher, B. D. and Fornito, A. (2019) ‘A practical guide to linking brain-wide gene expression and neuroimaging data’, </w:t>
      </w:r>
      <w:r w:rsidRPr="00317597">
        <w:rPr>
          <w:rFonts w:ascii="Arial" w:hAnsi="Arial" w:cs="Arial"/>
          <w:i/>
          <w:iCs/>
          <w:noProof/>
          <w:szCs w:val="24"/>
        </w:rPr>
        <w:t>NeuroImage</w:t>
      </w:r>
      <w:r w:rsidRPr="00317597">
        <w:rPr>
          <w:rFonts w:ascii="Arial" w:hAnsi="Arial" w:cs="Arial"/>
          <w:noProof/>
          <w:szCs w:val="24"/>
        </w:rPr>
        <w:t>, 189(July 2018), pp. 353–367. doi: 10.1016/j.neuroimage.2019.01.011.</w:t>
      </w:r>
    </w:p>
    <w:p w14:paraId="1F2C9C89"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Begg, C. B. and Berlin, J. A. (1988) ‘Publication Bias: A Problem in Interpreting Medical Data’, </w:t>
      </w:r>
      <w:r w:rsidRPr="00317597">
        <w:rPr>
          <w:rFonts w:ascii="Arial" w:hAnsi="Arial" w:cs="Arial"/>
          <w:i/>
          <w:iCs/>
          <w:noProof/>
          <w:szCs w:val="24"/>
        </w:rPr>
        <w:t>Journal of the Royal Statistical Society. Series A (Statistics in Society)</w:t>
      </w:r>
      <w:r w:rsidRPr="00317597">
        <w:rPr>
          <w:rFonts w:ascii="Arial" w:hAnsi="Arial" w:cs="Arial"/>
          <w:noProof/>
          <w:szCs w:val="24"/>
        </w:rPr>
        <w:t>. JSTOR, 151(3), p. 419. doi: 10.2307/2982993.</w:t>
      </w:r>
    </w:p>
    <w:p w14:paraId="0D7DEBBF"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Bhattacharyya, S. </w:t>
      </w:r>
      <w:r w:rsidRPr="00317597">
        <w:rPr>
          <w:rFonts w:ascii="Arial" w:hAnsi="Arial" w:cs="Arial"/>
          <w:i/>
          <w:iCs/>
          <w:noProof/>
          <w:szCs w:val="24"/>
        </w:rPr>
        <w:t>et al.</w:t>
      </w:r>
      <w:r w:rsidRPr="00317597">
        <w:rPr>
          <w:rFonts w:ascii="Arial" w:hAnsi="Arial" w:cs="Arial"/>
          <w:noProof/>
          <w:szCs w:val="24"/>
        </w:rPr>
        <w:t xml:space="preserve"> (2012) ‘Induction of psychosis by Δ9-tetrahydrocannabinol reflects modulation of prefrontal and striatal function during attentional salience processing’, </w:t>
      </w:r>
      <w:r w:rsidRPr="00317597">
        <w:rPr>
          <w:rFonts w:ascii="Arial" w:hAnsi="Arial" w:cs="Arial"/>
          <w:i/>
          <w:iCs/>
          <w:noProof/>
          <w:szCs w:val="24"/>
        </w:rPr>
        <w:t>Archives of General Psychiatry</w:t>
      </w:r>
      <w:r w:rsidRPr="00317597">
        <w:rPr>
          <w:rFonts w:ascii="Arial" w:hAnsi="Arial" w:cs="Arial"/>
          <w:noProof/>
          <w:szCs w:val="24"/>
        </w:rPr>
        <w:t>, 69(1), pp. 27–36. doi: 10.1001/archgenpsychiatry.2011.161.</w:t>
      </w:r>
    </w:p>
    <w:p w14:paraId="32C9A5CD"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Bhattacharyya, S. </w:t>
      </w:r>
      <w:r w:rsidRPr="00317597">
        <w:rPr>
          <w:rFonts w:ascii="Arial" w:hAnsi="Arial" w:cs="Arial"/>
          <w:i/>
          <w:iCs/>
          <w:noProof/>
          <w:szCs w:val="24"/>
        </w:rPr>
        <w:t>et al.</w:t>
      </w:r>
      <w:r w:rsidRPr="00317597">
        <w:rPr>
          <w:rFonts w:ascii="Arial" w:hAnsi="Arial" w:cs="Arial"/>
          <w:noProof/>
          <w:szCs w:val="24"/>
        </w:rPr>
        <w:t xml:space="preserve"> (2018) ‘Effect of Cannabidiol on Medial Temporal, Midbrain, and Striatal Dysfunction in People at Clinical High Risk of Psychosis: A Randomized Clinical Trial’, </w:t>
      </w:r>
      <w:r w:rsidRPr="00317597">
        <w:rPr>
          <w:rFonts w:ascii="Arial" w:hAnsi="Arial" w:cs="Arial"/>
          <w:i/>
          <w:iCs/>
          <w:noProof/>
          <w:szCs w:val="24"/>
        </w:rPr>
        <w:t>JAMA Psychiatry</w:t>
      </w:r>
      <w:r w:rsidRPr="00317597">
        <w:rPr>
          <w:rFonts w:ascii="Arial" w:hAnsi="Arial" w:cs="Arial"/>
          <w:noProof/>
          <w:szCs w:val="24"/>
        </w:rPr>
        <w:t>. American Medical Association, 75(11), pp. 1107–1117. doi: 10.1001/jamapsychiatry.2018.2309.</w:t>
      </w:r>
    </w:p>
    <w:p w14:paraId="7CEA71C6"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Borgwardt, S. J. </w:t>
      </w:r>
      <w:r w:rsidRPr="00317597">
        <w:rPr>
          <w:rFonts w:ascii="Arial" w:hAnsi="Arial" w:cs="Arial"/>
          <w:i/>
          <w:iCs/>
          <w:noProof/>
          <w:szCs w:val="24"/>
        </w:rPr>
        <w:t>et al.</w:t>
      </w:r>
      <w:r w:rsidRPr="00317597">
        <w:rPr>
          <w:rFonts w:ascii="Arial" w:hAnsi="Arial" w:cs="Arial"/>
          <w:noProof/>
          <w:szCs w:val="24"/>
        </w:rPr>
        <w:t xml:space="preserve"> (2008) ‘Neural Basis of Δ-9-Tetrahydrocannabinol and Cannabidiol: Effects During Response Inhibition’, </w:t>
      </w:r>
      <w:r w:rsidRPr="00317597">
        <w:rPr>
          <w:rFonts w:ascii="Arial" w:hAnsi="Arial" w:cs="Arial"/>
          <w:i/>
          <w:iCs/>
          <w:noProof/>
          <w:szCs w:val="24"/>
        </w:rPr>
        <w:t>Biological Psychiatry</w:t>
      </w:r>
      <w:r w:rsidRPr="00317597">
        <w:rPr>
          <w:rFonts w:ascii="Arial" w:hAnsi="Arial" w:cs="Arial"/>
          <w:noProof/>
          <w:szCs w:val="24"/>
        </w:rPr>
        <w:t>, 64(11), pp. 966–973. doi: 10.1016/j.biopsych.2008.05.011.</w:t>
      </w:r>
    </w:p>
    <w:p w14:paraId="491BC3FF"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Crippa, J. A. </w:t>
      </w:r>
      <w:r w:rsidRPr="00317597">
        <w:rPr>
          <w:rFonts w:ascii="Arial" w:hAnsi="Arial" w:cs="Arial"/>
          <w:i/>
          <w:iCs/>
          <w:noProof/>
          <w:szCs w:val="24"/>
        </w:rPr>
        <w:t>et al.</w:t>
      </w:r>
      <w:r w:rsidRPr="00317597">
        <w:rPr>
          <w:rFonts w:ascii="Arial" w:hAnsi="Arial" w:cs="Arial"/>
          <w:noProof/>
          <w:szCs w:val="24"/>
        </w:rPr>
        <w:t xml:space="preserve"> (2004) ‘Effects of Cannabidiol (CBD) on Regional Cerebral Blood Flow’, </w:t>
      </w:r>
      <w:r w:rsidRPr="00317597">
        <w:rPr>
          <w:rFonts w:ascii="Arial" w:hAnsi="Arial" w:cs="Arial"/>
          <w:i/>
          <w:iCs/>
          <w:noProof/>
          <w:szCs w:val="24"/>
        </w:rPr>
        <w:t>Neuropsychopharmacology</w:t>
      </w:r>
      <w:r w:rsidRPr="00317597">
        <w:rPr>
          <w:rFonts w:ascii="Arial" w:hAnsi="Arial" w:cs="Arial"/>
          <w:noProof/>
          <w:szCs w:val="24"/>
        </w:rPr>
        <w:t>, 29(2), pp. 417–426. doi: 10.1038/sj.npp.1300340.</w:t>
      </w:r>
    </w:p>
    <w:p w14:paraId="493AEC45"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Crippa, J. A. </w:t>
      </w:r>
      <w:r w:rsidRPr="00317597">
        <w:rPr>
          <w:rFonts w:ascii="Arial" w:hAnsi="Arial" w:cs="Arial"/>
          <w:i/>
          <w:iCs/>
          <w:noProof/>
          <w:szCs w:val="24"/>
        </w:rPr>
        <w:t>et al.</w:t>
      </w:r>
      <w:r w:rsidRPr="00317597">
        <w:rPr>
          <w:rFonts w:ascii="Arial" w:hAnsi="Arial" w:cs="Arial"/>
          <w:noProof/>
          <w:szCs w:val="24"/>
        </w:rPr>
        <w:t xml:space="preserve"> (2011) ‘Neural basis of anxiolytic effects of cannabidiol (CBD) in generalized social anxiety disorder: A preliminary report’, </w:t>
      </w:r>
      <w:r w:rsidRPr="00317597">
        <w:rPr>
          <w:rFonts w:ascii="Arial" w:hAnsi="Arial" w:cs="Arial"/>
          <w:i/>
          <w:iCs/>
          <w:noProof/>
          <w:szCs w:val="24"/>
        </w:rPr>
        <w:t>Journal of Psychopharmacology</w:t>
      </w:r>
      <w:r w:rsidRPr="00317597">
        <w:rPr>
          <w:rFonts w:ascii="Arial" w:hAnsi="Arial" w:cs="Arial"/>
          <w:noProof/>
          <w:szCs w:val="24"/>
        </w:rPr>
        <w:t>, 25(1), pp. 121–130. doi: 10.1177/0269881110379283.</w:t>
      </w:r>
    </w:p>
    <w:p w14:paraId="7486FCB6"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Davies, C. </w:t>
      </w:r>
      <w:r w:rsidRPr="00317597">
        <w:rPr>
          <w:rFonts w:ascii="Arial" w:hAnsi="Arial" w:cs="Arial"/>
          <w:i/>
          <w:iCs/>
          <w:noProof/>
          <w:szCs w:val="24"/>
        </w:rPr>
        <w:t>et al.</w:t>
      </w:r>
      <w:r w:rsidRPr="00317597">
        <w:rPr>
          <w:rFonts w:ascii="Arial" w:hAnsi="Arial" w:cs="Arial"/>
          <w:noProof/>
          <w:szCs w:val="24"/>
        </w:rPr>
        <w:t xml:space="preserve"> (2020) ‘A single dose of cannabidiol modulates medial temporal and striatal function during fear processing in people at clinical high risk for psychosis’, </w:t>
      </w:r>
      <w:r w:rsidRPr="00317597">
        <w:rPr>
          <w:rFonts w:ascii="Arial" w:hAnsi="Arial" w:cs="Arial"/>
          <w:i/>
          <w:iCs/>
          <w:noProof/>
          <w:szCs w:val="24"/>
        </w:rPr>
        <w:t>Translational Psychiatry</w:t>
      </w:r>
      <w:r w:rsidRPr="00317597">
        <w:rPr>
          <w:rFonts w:ascii="Arial" w:hAnsi="Arial" w:cs="Arial"/>
          <w:noProof/>
          <w:szCs w:val="24"/>
        </w:rPr>
        <w:t>. Springer Nature, 10(1), pp. 1–12. doi: 10.1038/s41398-020-0862-2.</w:t>
      </w:r>
    </w:p>
    <w:p w14:paraId="7999D6AA"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Desikan, R. S. </w:t>
      </w:r>
      <w:r w:rsidRPr="00317597">
        <w:rPr>
          <w:rFonts w:ascii="Arial" w:hAnsi="Arial" w:cs="Arial"/>
          <w:i/>
          <w:iCs/>
          <w:noProof/>
          <w:szCs w:val="24"/>
        </w:rPr>
        <w:t>et al.</w:t>
      </w:r>
      <w:r w:rsidRPr="00317597">
        <w:rPr>
          <w:rFonts w:ascii="Arial" w:hAnsi="Arial" w:cs="Arial"/>
          <w:noProof/>
          <w:szCs w:val="24"/>
        </w:rPr>
        <w:t xml:space="preserve"> (2006) ‘An automated labeling system for subdividing the human cerebral cortex on MRI scans into gyral based regions of interest’, </w:t>
      </w:r>
      <w:r w:rsidRPr="00317597">
        <w:rPr>
          <w:rFonts w:ascii="Arial" w:hAnsi="Arial" w:cs="Arial"/>
          <w:i/>
          <w:iCs/>
          <w:noProof/>
          <w:szCs w:val="24"/>
        </w:rPr>
        <w:t>NeuroImage</w:t>
      </w:r>
      <w:r w:rsidRPr="00317597">
        <w:rPr>
          <w:rFonts w:ascii="Arial" w:hAnsi="Arial" w:cs="Arial"/>
          <w:noProof/>
          <w:szCs w:val="24"/>
        </w:rPr>
        <w:t>. Neuroimage, 31(3), pp. 968–980. doi: 10.1016/j.neuroimage.2006.01.021.</w:t>
      </w:r>
    </w:p>
    <w:p w14:paraId="1DCD1E0A"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Egger, M. </w:t>
      </w:r>
      <w:r w:rsidRPr="00317597">
        <w:rPr>
          <w:rFonts w:ascii="Arial" w:hAnsi="Arial" w:cs="Arial"/>
          <w:i/>
          <w:iCs/>
          <w:noProof/>
          <w:szCs w:val="24"/>
        </w:rPr>
        <w:t>et al.</w:t>
      </w:r>
      <w:r w:rsidRPr="00317597">
        <w:rPr>
          <w:rFonts w:ascii="Arial" w:hAnsi="Arial" w:cs="Arial"/>
          <w:noProof/>
          <w:szCs w:val="24"/>
        </w:rPr>
        <w:t xml:space="preserve"> (1997) ‘Bias in meta-analysis detected by a simple, graphical test’, </w:t>
      </w:r>
      <w:r w:rsidRPr="00317597">
        <w:rPr>
          <w:rFonts w:ascii="Arial" w:hAnsi="Arial" w:cs="Arial"/>
          <w:i/>
          <w:iCs/>
          <w:noProof/>
          <w:szCs w:val="24"/>
        </w:rPr>
        <w:t>British Medical Journal</w:t>
      </w:r>
      <w:r w:rsidRPr="00317597">
        <w:rPr>
          <w:rFonts w:ascii="Arial" w:hAnsi="Arial" w:cs="Arial"/>
          <w:noProof/>
          <w:szCs w:val="24"/>
        </w:rPr>
        <w:t>. BMJ Publishing Group, 315(7109), pp. 629–634. doi: 10.1136/bmj.315.7109.629.</w:t>
      </w:r>
    </w:p>
    <w:p w14:paraId="610616DC"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Fox, J. (2009) </w:t>
      </w:r>
      <w:r w:rsidRPr="00317597">
        <w:rPr>
          <w:rFonts w:ascii="Arial" w:hAnsi="Arial" w:cs="Arial"/>
          <w:i/>
          <w:iCs/>
          <w:noProof/>
          <w:szCs w:val="24"/>
        </w:rPr>
        <w:t>Regression Diagnostics</w:t>
      </w:r>
      <w:r w:rsidRPr="00317597">
        <w:rPr>
          <w:rFonts w:ascii="Arial" w:hAnsi="Arial" w:cs="Arial"/>
          <w:noProof/>
          <w:szCs w:val="24"/>
        </w:rPr>
        <w:t>. Available at: https://socialsciences.mcmaster.ca/jfox/Courses/Brazil-2009/index.html (Accessed: 15 September 2021).</w:t>
      </w:r>
    </w:p>
    <w:p w14:paraId="41A7DCB9"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Fox, J. (2021) ‘Companion to Applied Regression [R package car version 3.0-11]’. Comprehensive R Archive Network (CRAN). Available at: https://cran.r-project.org/package=car (Accessed: 15 September 2021).</w:t>
      </w:r>
    </w:p>
    <w:p w14:paraId="5FCB8723"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Fusar-Poli, P. </w:t>
      </w:r>
      <w:r w:rsidRPr="00317597">
        <w:rPr>
          <w:rFonts w:ascii="Arial" w:hAnsi="Arial" w:cs="Arial"/>
          <w:i/>
          <w:iCs/>
          <w:noProof/>
          <w:szCs w:val="24"/>
        </w:rPr>
        <w:t>et al.</w:t>
      </w:r>
      <w:r w:rsidRPr="00317597">
        <w:rPr>
          <w:rFonts w:ascii="Arial" w:hAnsi="Arial" w:cs="Arial"/>
          <w:noProof/>
          <w:szCs w:val="24"/>
        </w:rPr>
        <w:t xml:space="preserve"> (2009) ‘Distinct effects of A9-Tetrahydrocannabinol and cannabidiol on neural activation during emotional processing’, </w:t>
      </w:r>
      <w:r w:rsidRPr="00317597">
        <w:rPr>
          <w:rFonts w:ascii="Arial" w:hAnsi="Arial" w:cs="Arial"/>
          <w:i/>
          <w:iCs/>
          <w:noProof/>
          <w:szCs w:val="24"/>
        </w:rPr>
        <w:t>Archives of General Psychiatry</w:t>
      </w:r>
      <w:r w:rsidRPr="00317597">
        <w:rPr>
          <w:rFonts w:ascii="Arial" w:hAnsi="Arial" w:cs="Arial"/>
          <w:noProof/>
          <w:szCs w:val="24"/>
        </w:rPr>
        <w:t>, 66(1), pp. 95–105. doi: 10.1001/archgenpsychiatry.2008.519.</w:t>
      </w:r>
    </w:p>
    <w:p w14:paraId="1E0C3311"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Hawrylycz, M. J. </w:t>
      </w:r>
      <w:r w:rsidRPr="00317597">
        <w:rPr>
          <w:rFonts w:ascii="Arial" w:hAnsi="Arial" w:cs="Arial"/>
          <w:i/>
          <w:iCs/>
          <w:noProof/>
          <w:szCs w:val="24"/>
        </w:rPr>
        <w:t>et al.</w:t>
      </w:r>
      <w:r w:rsidRPr="00317597">
        <w:rPr>
          <w:rFonts w:ascii="Arial" w:hAnsi="Arial" w:cs="Arial"/>
          <w:noProof/>
          <w:szCs w:val="24"/>
        </w:rPr>
        <w:t xml:space="preserve"> (2012) ‘An anatomically comprehensive atlas of the adult human brain transcriptome’, </w:t>
      </w:r>
      <w:r w:rsidRPr="00317597">
        <w:rPr>
          <w:rFonts w:ascii="Arial" w:hAnsi="Arial" w:cs="Arial"/>
          <w:i/>
          <w:iCs/>
          <w:noProof/>
          <w:szCs w:val="24"/>
        </w:rPr>
        <w:t>Nature</w:t>
      </w:r>
      <w:r w:rsidRPr="00317597">
        <w:rPr>
          <w:rFonts w:ascii="Arial" w:hAnsi="Arial" w:cs="Arial"/>
          <w:noProof/>
          <w:szCs w:val="24"/>
        </w:rPr>
        <w:t>. Nature Publishing Group, 489(7416), pp. 391–399. doi: 10.1038/nature11405.</w:t>
      </w:r>
    </w:p>
    <w:p w14:paraId="550FD57D"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lastRenderedPageBreak/>
        <w:t xml:space="preserve">Lawn, W. </w:t>
      </w:r>
      <w:r w:rsidRPr="00317597">
        <w:rPr>
          <w:rFonts w:ascii="Arial" w:hAnsi="Arial" w:cs="Arial"/>
          <w:i/>
          <w:iCs/>
          <w:noProof/>
          <w:szCs w:val="24"/>
        </w:rPr>
        <w:t>et al.</w:t>
      </w:r>
      <w:r w:rsidRPr="00317597">
        <w:rPr>
          <w:rFonts w:ascii="Arial" w:hAnsi="Arial" w:cs="Arial"/>
          <w:noProof/>
          <w:szCs w:val="24"/>
        </w:rPr>
        <w:t xml:space="preserve"> (2020) ‘The acute effects of cannabidiol on the neural correlates of reward anticipation and feedback in healthy volunteers’, </w:t>
      </w:r>
      <w:r w:rsidRPr="00317597">
        <w:rPr>
          <w:rFonts w:ascii="Arial" w:hAnsi="Arial" w:cs="Arial"/>
          <w:i/>
          <w:iCs/>
          <w:noProof/>
          <w:szCs w:val="24"/>
        </w:rPr>
        <w:t>Journal of Psychopharmacology</w:t>
      </w:r>
      <w:r w:rsidRPr="00317597">
        <w:rPr>
          <w:rFonts w:ascii="Arial" w:hAnsi="Arial" w:cs="Arial"/>
          <w:noProof/>
          <w:szCs w:val="24"/>
        </w:rPr>
        <w:t>. SAGE Publications, 34(9), pp. 969–980. doi: 10.1177/0269881120944148.</w:t>
      </w:r>
    </w:p>
    <w:p w14:paraId="5B7DECBB"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Markello, R. D. </w:t>
      </w:r>
      <w:r w:rsidRPr="00317597">
        <w:rPr>
          <w:rFonts w:ascii="Arial" w:hAnsi="Arial" w:cs="Arial"/>
          <w:i/>
          <w:iCs/>
          <w:noProof/>
          <w:szCs w:val="24"/>
        </w:rPr>
        <w:t>et al.</w:t>
      </w:r>
      <w:r w:rsidRPr="00317597">
        <w:rPr>
          <w:rFonts w:ascii="Arial" w:hAnsi="Arial" w:cs="Arial"/>
          <w:noProof/>
          <w:szCs w:val="24"/>
        </w:rPr>
        <w:t xml:space="preserve"> (2020) ‘abagen: A toolbox for the Allen Brain Atlas genetics data’, </w:t>
      </w:r>
      <w:r w:rsidRPr="00317597">
        <w:rPr>
          <w:rFonts w:ascii="Arial" w:hAnsi="Arial" w:cs="Arial"/>
          <w:i/>
          <w:iCs/>
          <w:noProof/>
          <w:szCs w:val="24"/>
        </w:rPr>
        <w:t>Zenodo</w:t>
      </w:r>
      <w:r w:rsidRPr="00317597">
        <w:rPr>
          <w:rFonts w:ascii="Arial" w:hAnsi="Arial" w:cs="Arial"/>
          <w:noProof/>
          <w:szCs w:val="24"/>
        </w:rPr>
        <w:t>, p. Available from: https://doi.org/10.5281/zenodo.372. doi: 10.5281/ZENODO.4091537.</w:t>
      </w:r>
    </w:p>
    <w:p w14:paraId="08EFB75A"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O’Neill, A. </w:t>
      </w:r>
      <w:r w:rsidRPr="00317597">
        <w:rPr>
          <w:rFonts w:ascii="Arial" w:hAnsi="Arial" w:cs="Arial"/>
          <w:i/>
          <w:iCs/>
          <w:noProof/>
          <w:szCs w:val="24"/>
        </w:rPr>
        <w:t>et al.</w:t>
      </w:r>
      <w:r w:rsidRPr="00317597">
        <w:rPr>
          <w:rFonts w:ascii="Arial" w:hAnsi="Arial" w:cs="Arial"/>
          <w:noProof/>
          <w:szCs w:val="24"/>
        </w:rPr>
        <w:t xml:space="preserve"> (2021) ‘Normalization of mediotemporal and prefrontal activity, and mediotemporal-striatal connectivity, may underlie antipsychotic effects of cannabidiol in psychosis’, </w:t>
      </w:r>
      <w:r w:rsidRPr="00317597">
        <w:rPr>
          <w:rFonts w:ascii="Arial" w:hAnsi="Arial" w:cs="Arial"/>
          <w:i/>
          <w:iCs/>
          <w:noProof/>
          <w:szCs w:val="24"/>
        </w:rPr>
        <w:t>Psychological Medicine</w:t>
      </w:r>
      <w:r w:rsidRPr="00317597">
        <w:rPr>
          <w:rFonts w:ascii="Arial" w:hAnsi="Arial" w:cs="Arial"/>
          <w:noProof/>
          <w:szCs w:val="24"/>
        </w:rPr>
        <w:t>, 51(4), pp. 596–606. doi: 10.1017/S0033291719003519.</w:t>
      </w:r>
    </w:p>
    <w:p w14:paraId="6F599D02"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Python Software Foundation (2016) </w:t>
      </w:r>
      <w:r w:rsidRPr="00317597">
        <w:rPr>
          <w:rFonts w:ascii="Arial" w:hAnsi="Arial" w:cs="Arial"/>
          <w:i/>
          <w:iCs/>
          <w:noProof/>
          <w:szCs w:val="24"/>
        </w:rPr>
        <w:t>Welcome to Python.org</w:t>
      </w:r>
      <w:r w:rsidRPr="00317597">
        <w:rPr>
          <w:rFonts w:ascii="Arial" w:hAnsi="Arial" w:cs="Arial"/>
          <w:noProof/>
          <w:szCs w:val="24"/>
        </w:rPr>
        <w:t>. Available at: https://www.python.org/about/ (Accessed: 26 January 2021).</w:t>
      </w:r>
    </w:p>
    <w:p w14:paraId="5BE94119"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Sheather, S. J. (2009) ‘A Modern Approach to Regression with R’, in, pp. 1–14. doi: 10.1007/978-0-387-09608-7_1.</w:t>
      </w:r>
    </w:p>
    <w:p w14:paraId="1E73412A"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Sterne, J. A. C. </w:t>
      </w:r>
      <w:r w:rsidRPr="00317597">
        <w:rPr>
          <w:rFonts w:ascii="Arial" w:hAnsi="Arial" w:cs="Arial"/>
          <w:i/>
          <w:iCs/>
          <w:noProof/>
          <w:szCs w:val="24"/>
        </w:rPr>
        <w:t>et al.</w:t>
      </w:r>
      <w:r w:rsidRPr="00317597">
        <w:rPr>
          <w:rFonts w:ascii="Arial" w:hAnsi="Arial" w:cs="Arial"/>
          <w:noProof/>
          <w:szCs w:val="24"/>
        </w:rPr>
        <w:t xml:space="preserve"> (2011) ‘Recommendations for examining and interpreting funnel plot asymmetry in meta-analyses of randomised controlled trials’, </w:t>
      </w:r>
      <w:r w:rsidRPr="00317597">
        <w:rPr>
          <w:rFonts w:ascii="Arial" w:hAnsi="Arial" w:cs="Arial"/>
          <w:i/>
          <w:iCs/>
          <w:noProof/>
          <w:szCs w:val="24"/>
        </w:rPr>
        <w:t>BMJ (Online)</w:t>
      </w:r>
      <w:r w:rsidRPr="00317597">
        <w:rPr>
          <w:rFonts w:ascii="Arial" w:hAnsi="Arial" w:cs="Arial"/>
          <w:noProof/>
          <w:szCs w:val="24"/>
        </w:rPr>
        <w:t>. British Medical Journal Publishing Group, 343(7818). doi: 10.1136/bmj.d4002.</w:t>
      </w:r>
    </w:p>
    <w:p w14:paraId="46979D02" w14:textId="77777777" w:rsidR="00317597" w:rsidRPr="00317597" w:rsidRDefault="00317597" w:rsidP="00317597">
      <w:pPr>
        <w:widowControl w:val="0"/>
        <w:autoSpaceDE w:val="0"/>
        <w:autoSpaceDN w:val="0"/>
        <w:adjustRightInd w:val="0"/>
        <w:spacing w:line="240" w:lineRule="auto"/>
        <w:rPr>
          <w:rFonts w:ascii="Arial" w:hAnsi="Arial" w:cs="Arial"/>
          <w:noProof/>
          <w:szCs w:val="24"/>
        </w:rPr>
      </w:pPr>
      <w:r w:rsidRPr="00317597">
        <w:rPr>
          <w:rFonts w:ascii="Arial" w:hAnsi="Arial" w:cs="Arial"/>
          <w:noProof/>
          <w:szCs w:val="24"/>
        </w:rPr>
        <w:t xml:space="preserve">Wilson, R. </w:t>
      </w:r>
      <w:r w:rsidRPr="00317597">
        <w:rPr>
          <w:rFonts w:ascii="Arial" w:hAnsi="Arial" w:cs="Arial"/>
          <w:i/>
          <w:iCs/>
          <w:noProof/>
          <w:szCs w:val="24"/>
        </w:rPr>
        <w:t>et al.</w:t>
      </w:r>
      <w:r w:rsidRPr="00317597">
        <w:rPr>
          <w:rFonts w:ascii="Arial" w:hAnsi="Arial" w:cs="Arial"/>
          <w:noProof/>
          <w:szCs w:val="24"/>
        </w:rPr>
        <w:t xml:space="preserve"> (2019) ‘Cannabidiol attenuates insular dysfunction during motivational salience processing in subjects at clinical high risk for psychosis’, </w:t>
      </w:r>
      <w:r w:rsidRPr="00317597">
        <w:rPr>
          <w:rFonts w:ascii="Arial" w:hAnsi="Arial" w:cs="Arial"/>
          <w:i/>
          <w:iCs/>
          <w:noProof/>
          <w:szCs w:val="24"/>
        </w:rPr>
        <w:t>Translational Psychiatry</w:t>
      </w:r>
      <w:r w:rsidRPr="00317597">
        <w:rPr>
          <w:rFonts w:ascii="Arial" w:hAnsi="Arial" w:cs="Arial"/>
          <w:noProof/>
          <w:szCs w:val="24"/>
        </w:rPr>
        <w:t>. Nature Publishing Group, 9(1), p. 203. doi: 10.1038/s41398-019-0534-2.</w:t>
      </w:r>
    </w:p>
    <w:p w14:paraId="416F2AC5" w14:textId="77777777" w:rsidR="00317597" w:rsidRPr="00317597" w:rsidRDefault="00317597" w:rsidP="00317597">
      <w:pPr>
        <w:widowControl w:val="0"/>
        <w:autoSpaceDE w:val="0"/>
        <w:autoSpaceDN w:val="0"/>
        <w:adjustRightInd w:val="0"/>
        <w:spacing w:line="240" w:lineRule="auto"/>
        <w:rPr>
          <w:rFonts w:ascii="Arial" w:hAnsi="Arial" w:cs="Arial"/>
          <w:noProof/>
        </w:rPr>
      </w:pPr>
      <w:r w:rsidRPr="00317597">
        <w:rPr>
          <w:rFonts w:ascii="Arial" w:hAnsi="Arial" w:cs="Arial"/>
          <w:noProof/>
          <w:szCs w:val="24"/>
        </w:rPr>
        <w:t xml:space="preserve">Winton-Brown, T. T. </w:t>
      </w:r>
      <w:r w:rsidRPr="00317597">
        <w:rPr>
          <w:rFonts w:ascii="Arial" w:hAnsi="Arial" w:cs="Arial"/>
          <w:i/>
          <w:iCs/>
          <w:noProof/>
          <w:szCs w:val="24"/>
        </w:rPr>
        <w:t>et al.</w:t>
      </w:r>
      <w:r w:rsidRPr="00317597">
        <w:rPr>
          <w:rFonts w:ascii="Arial" w:hAnsi="Arial" w:cs="Arial"/>
          <w:noProof/>
          <w:szCs w:val="24"/>
        </w:rPr>
        <w:t xml:space="preserve"> (2011) ‘Modulation of auditory and visual processing by delta-9- tetrahydrocannabinol and cannabidiol: An fMRI study’, </w:t>
      </w:r>
      <w:r w:rsidRPr="00317597">
        <w:rPr>
          <w:rFonts w:ascii="Arial" w:hAnsi="Arial" w:cs="Arial"/>
          <w:i/>
          <w:iCs/>
          <w:noProof/>
          <w:szCs w:val="24"/>
        </w:rPr>
        <w:t>Neuropsychopharmacology</w:t>
      </w:r>
      <w:r w:rsidRPr="00317597">
        <w:rPr>
          <w:rFonts w:ascii="Arial" w:hAnsi="Arial" w:cs="Arial"/>
          <w:noProof/>
          <w:szCs w:val="24"/>
        </w:rPr>
        <w:t>. Nature Publishing Group, 36(7), pp. 1340–1348. doi: 10.1038/npp.2011.17.</w:t>
      </w:r>
    </w:p>
    <w:p w14:paraId="191DFD3D" w14:textId="1611EDD0" w:rsidR="001E116E" w:rsidRPr="00227111" w:rsidRDefault="00176BBD" w:rsidP="00722D8F">
      <w:pPr>
        <w:rPr>
          <w:rFonts w:ascii="Arial" w:hAnsi="Arial" w:cs="Arial"/>
          <w:color w:val="000000"/>
          <w:shd w:val="clear" w:color="auto" w:fill="FFFFFF"/>
        </w:rPr>
      </w:pPr>
      <w:r w:rsidRPr="00227111">
        <w:rPr>
          <w:rFonts w:ascii="Arial" w:hAnsi="Arial" w:cs="Arial"/>
          <w:color w:val="000000"/>
          <w:shd w:val="clear" w:color="auto" w:fill="FFFFFF"/>
        </w:rPr>
        <w:fldChar w:fldCharType="end"/>
      </w:r>
    </w:p>
    <w:sectPr w:rsidR="001E116E" w:rsidRPr="00227111" w:rsidSect="00C800F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9B7E2" w14:textId="77777777" w:rsidR="000F5D64" w:rsidRDefault="000F5D64" w:rsidP="000F5D64">
      <w:pPr>
        <w:spacing w:after="0" w:line="240" w:lineRule="auto"/>
      </w:pPr>
      <w:r>
        <w:separator/>
      </w:r>
    </w:p>
  </w:endnote>
  <w:endnote w:type="continuationSeparator" w:id="0">
    <w:p w14:paraId="1D0D7BAC" w14:textId="77777777" w:rsidR="000F5D64" w:rsidRDefault="000F5D64" w:rsidP="000F5D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972F4" w14:textId="77777777" w:rsidR="000F5D64" w:rsidRDefault="000F5D64" w:rsidP="000F5D64">
      <w:pPr>
        <w:spacing w:after="0" w:line="240" w:lineRule="auto"/>
      </w:pPr>
      <w:r>
        <w:separator/>
      </w:r>
    </w:p>
  </w:footnote>
  <w:footnote w:type="continuationSeparator" w:id="0">
    <w:p w14:paraId="131B668A" w14:textId="77777777" w:rsidR="000F5D64" w:rsidRDefault="000F5D64" w:rsidP="000F5D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2309261"/>
      <w:docPartObj>
        <w:docPartGallery w:val="Page Numbers (Top of Page)"/>
        <w:docPartUnique/>
      </w:docPartObj>
    </w:sdtPr>
    <w:sdtEndPr>
      <w:rPr>
        <w:noProof/>
      </w:rPr>
    </w:sdtEndPr>
    <w:sdtContent>
      <w:p w14:paraId="1C8D7DBA" w14:textId="252025F4" w:rsidR="000F5D64" w:rsidRDefault="000F5D64">
        <w:pPr>
          <w:pStyle w:val="Header"/>
        </w:pPr>
        <w:r>
          <w:fldChar w:fldCharType="begin"/>
        </w:r>
        <w:r>
          <w:instrText xml:space="preserve"> PAGE   \* MERGEFORMAT </w:instrText>
        </w:r>
        <w:r>
          <w:fldChar w:fldCharType="separate"/>
        </w:r>
        <w:r>
          <w:rPr>
            <w:noProof/>
          </w:rPr>
          <w:t>2</w:t>
        </w:r>
        <w:r>
          <w:rPr>
            <w:noProof/>
          </w:rPr>
          <w:fldChar w:fldCharType="end"/>
        </w:r>
      </w:p>
    </w:sdtContent>
  </w:sdt>
  <w:p w14:paraId="5CE4353C" w14:textId="77777777" w:rsidR="000F5D64" w:rsidRDefault="000F5D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877"/>
    <w:rsid w:val="00011F41"/>
    <w:rsid w:val="000536E7"/>
    <w:rsid w:val="000539A9"/>
    <w:rsid w:val="00062EEB"/>
    <w:rsid w:val="00070A1F"/>
    <w:rsid w:val="000C6665"/>
    <w:rsid w:val="000F2A09"/>
    <w:rsid w:val="000F5D64"/>
    <w:rsid w:val="000F6036"/>
    <w:rsid w:val="00104A68"/>
    <w:rsid w:val="00106EBF"/>
    <w:rsid w:val="00112184"/>
    <w:rsid w:val="00164FE6"/>
    <w:rsid w:val="0017325F"/>
    <w:rsid w:val="00176BBD"/>
    <w:rsid w:val="001C2EDE"/>
    <w:rsid w:val="001D1DE5"/>
    <w:rsid w:val="001E116E"/>
    <w:rsid w:val="00221BE0"/>
    <w:rsid w:val="00227111"/>
    <w:rsid w:val="0026022F"/>
    <w:rsid w:val="002650C3"/>
    <w:rsid w:val="002A0437"/>
    <w:rsid w:val="002B525E"/>
    <w:rsid w:val="002E64EC"/>
    <w:rsid w:val="00317597"/>
    <w:rsid w:val="00386FA6"/>
    <w:rsid w:val="003B10C6"/>
    <w:rsid w:val="003C1DE4"/>
    <w:rsid w:val="003F0C2C"/>
    <w:rsid w:val="00411BC7"/>
    <w:rsid w:val="00453DCF"/>
    <w:rsid w:val="004C6576"/>
    <w:rsid w:val="004E5CED"/>
    <w:rsid w:val="00513717"/>
    <w:rsid w:val="00527975"/>
    <w:rsid w:val="005A234F"/>
    <w:rsid w:val="005A7A90"/>
    <w:rsid w:val="00600FCE"/>
    <w:rsid w:val="006345C6"/>
    <w:rsid w:val="0067610B"/>
    <w:rsid w:val="006829D9"/>
    <w:rsid w:val="00691950"/>
    <w:rsid w:val="006C4C4B"/>
    <w:rsid w:val="00700FD1"/>
    <w:rsid w:val="00722D8F"/>
    <w:rsid w:val="0073342E"/>
    <w:rsid w:val="00781035"/>
    <w:rsid w:val="0079129B"/>
    <w:rsid w:val="00792C7C"/>
    <w:rsid w:val="00825E4C"/>
    <w:rsid w:val="008602BB"/>
    <w:rsid w:val="0086371F"/>
    <w:rsid w:val="008A4CDD"/>
    <w:rsid w:val="008C71EB"/>
    <w:rsid w:val="008E1E8F"/>
    <w:rsid w:val="0097418D"/>
    <w:rsid w:val="009B5318"/>
    <w:rsid w:val="009C0FAF"/>
    <w:rsid w:val="009E57AF"/>
    <w:rsid w:val="00A17A45"/>
    <w:rsid w:val="00A71B6B"/>
    <w:rsid w:val="00A93F5D"/>
    <w:rsid w:val="00AD56F7"/>
    <w:rsid w:val="00AE2458"/>
    <w:rsid w:val="00AE6534"/>
    <w:rsid w:val="00B00877"/>
    <w:rsid w:val="00B01646"/>
    <w:rsid w:val="00B05CD5"/>
    <w:rsid w:val="00B07A24"/>
    <w:rsid w:val="00BC638E"/>
    <w:rsid w:val="00C164AA"/>
    <w:rsid w:val="00C1734F"/>
    <w:rsid w:val="00C3645C"/>
    <w:rsid w:val="00C66F43"/>
    <w:rsid w:val="00C733BC"/>
    <w:rsid w:val="00C76FA1"/>
    <w:rsid w:val="00C800F5"/>
    <w:rsid w:val="00CA43F9"/>
    <w:rsid w:val="00CB4F83"/>
    <w:rsid w:val="00D26E67"/>
    <w:rsid w:val="00D905A9"/>
    <w:rsid w:val="00DB5428"/>
    <w:rsid w:val="00DC69E1"/>
    <w:rsid w:val="00DE7DFC"/>
    <w:rsid w:val="00E365AB"/>
    <w:rsid w:val="00E51E27"/>
    <w:rsid w:val="00E76894"/>
    <w:rsid w:val="00E76C92"/>
    <w:rsid w:val="00EA2A2F"/>
    <w:rsid w:val="00ED072C"/>
    <w:rsid w:val="00F42946"/>
    <w:rsid w:val="00FA5D15"/>
    <w:rsid w:val="00FB2212"/>
    <w:rsid w:val="00FB662D"/>
    <w:rsid w:val="00FC6E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98B0E"/>
  <w15:chartTrackingRefBased/>
  <w15:docId w15:val="{089D44FD-7508-4D68-BF58-9C6962897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87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91950"/>
    <w:pPr>
      <w:spacing w:after="200" w:line="240" w:lineRule="auto"/>
    </w:pPr>
    <w:rPr>
      <w:i/>
      <w:iCs/>
      <w:color w:val="44546A" w:themeColor="text2"/>
      <w:sz w:val="18"/>
      <w:szCs w:val="18"/>
    </w:rPr>
  </w:style>
  <w:style w:type="table" w:styleId="PlainTable5">
    <w:name w:val="Plain Table 5"/>
    <w:basedOn w:val="TableNormal"/>
    <w:uiPriority w:val="45"/>
    <w:rsid w:val="008E1E8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8E1E8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79129B"/>
    <w:rPr>
      <w:sz w:val="16"/>
      <w:szCs w:val="16"/>
    </w:rPr>
  </w:style>
  <w:style w:type="paragraph" w:styleId="CommentText">
    <w:name w:val="annotation text"/>
    <w:basedOn w:val="Normal"/>
    <w:link w:val="CommentTextChar"/>
    <w:uiPriority w:val="99"/>
    <w:semiHidden/>
    <w:unhideWhenUsed/>
    <w:rsid w:val="0079129B"/>
    <w:pPr>
      <w:spacing w:line="240" w:lineRule="auto"/>
    </w:pPr>
    <w:rPr>
      <w:sz w:val="20"/>
      <w:szCs w:val="20"/>
    </w:rPr>
  </w:style>
  <w:style w:type="character" w:customStyle="1" w:styleId="CommentTextChar">
    <w:name w:val="Comment Text Char"/>
    <w:basedOn w:val="DefaultParagraphFont"/>
    <w:link w:val="CommentText"/>
    <w:uiPriority w:val="99"/>
    <w:semiHidden/>
    <w:rsid w:val="0079129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9129B"/>
    <w:rPr>
      <w:b/>
      <w:bCs/>
    </w:rPr>
  </w:style>
  <w:style w:type="character" w:customStyle="1" w:styleId="CommentSubjectChar">
    <w:name w:val="Comment Subject Char"/>
    <w:basedOn w:val="CommentTextChar"/>
    <w:link w:val="CommentSubject"/>
    <w:uiPriority w:val="99"/>
    <w:semiHidden/>
    <w:rsid w:val="0079129B"/>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F42946"/>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F42946"/>
    <w:rPr>
      <w:rFonts w:ascii="Times New Roman" w:eastAsia="Calibri" w:hAnsi="Times New Roman" w:cs="Times New Roman"/>
      <w:sz w:val="18"/>
      <w:szCs w:val="18"/>
    </w:rPr>
  </w:style>
  <w:style w:type="paragraph" w:styleId="Header">
    <w:name w:val="header"/>
    <w:basedOn w:val="Normal"/>
    <w:link w:val="HeaderChar"/>
    <w:uiPriority w:val="99"/>
    <w:unhideWhenUsed/>
    <w:rsid w:val="000F5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5D64"/>
    <w:rPr>
      <w:rFonts w:ascii="Calibri" w:eastAsia="Calibri" w:hAnsi="Calibri" w:cs="Times New Roman"/>
    </w:rPr>
  </w:style>
  <w:style w:type="paragraph" w:styleId="Footer">
    <w:name w:val="footer"/>
    <w:basedOn w:val="Normal"/>
    <w:link w:val="FooterChar"/>
    <w:uiPriority w:val="99"/>
    <w:unhideWhenUsed/>
    <w:rsid w:val="000F5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5D64"/>
    <w:rPr>
      <w:rFonts w:ascii="Calibri" w:eastAsia="Calibri" w:hAnsi="Calibri" w:cs="Times New Roman"/>
    </w:rPr>
  </w:style>
  <w:style w:type="table" w:styleId="TableGrid">
    <w:name w:val="Table Grid"/>
    <w:basedOn w:val="TableNormal"/>
    <w:uiPriority w:val="39"/>
    <w:rsid w:val="00C733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101092">
      <w:bodyDiv w:val="1"/>
      <w:marLeft w:val="0"/>
      <w:marRight w:val="0"/>
      <w:marTop w:val="0"/>
      <w:marBottom w:val="0"/>
      <w:divBdr>
        <w:top w:val="none" w:sz="0" w:space="0" w:color="auto"/>
        <w:left w:val="none" w:sz="0" w:space="0" w:color="auto"/>
        <w:bottom w:val="none" w:sz="0" w:space="0" w:color="auto"/>
        <w:right w:val="none" w:sz="0" w:space="0" w:color="auto"/>
      </w:divBdr>
    </w:div>
    <w:div w:id="1051657932">
      <w:bodyDiv w:val="1"/>
      <w:marLeft w:val="0"/>
      <w:marRight w:val="0"/>
      <w:marTop w:val="0"/>
      <w:marBottom w:val="0"/>
      <w:divBdr>
        <w:top w:val="none" w:sz="0" w:space="0" w:color="auto"/>
        <w:left w:val="none" w:sz="0" w:space="0" w:color="auto"/>
        <w:bottom w:val="none" w:sz="0" w:space="0" w:color="auto"/>
        <w:right w:val="none" w:sz="0" w:space="0" w:color="auto"/>
      </w:divBdr>
    </w:div>
    <w:div w:id="1524133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CC4016-3516-4A68-B498-55341D950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17529</Words>
  <Characters>99920</Characters>
  <Application>Microsoft Office Word</Application>
  <DocSecurity>0</DocSecurity>
  <Lines>832</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Gunasekera</dc:creator>
  <cp:keywords/>
  <dc:description/>
  <cp:lastModifiedBy>Brandon Gunasekera</cp:lastModifiedBy>
  <cp:revision>20</cp:revision>
  <dcterms:created xsi:type="dcterms:W3CDTF">2022-01-17T09:28:00Z</dcterms:created>
  <dcterms:modified xsi:type="dcterms:W3CDTF">2022-03-07T16:26:00Z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b7456a35-e205-3875-a2d3-0ccd243ec7c1</vt:lpwstr>
  </property>
  <property fmtid="{D5CDD505-2E9C-101B-9397-08002B2CF9AE}" pid="4" name="Mendeley Citation Style_1">
    <vt:lpwstr>http://www.zotero.org/styles/harvard-cite-them-right</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http://csl.mendeley.com/styles/555011401/apa</vt:lpwstr>
  </property>
  <property fmtid="{D5CDD505-2E9C-101B-9397-08002B2CF9AE}" pid="12" name="Mendeley Recent Style Name 3_1">
    <vt:lpwstr>American Psychological Association 7th edition - Brandon Gunasekera</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https://csl.mendeley.com/styles/555011401/BG-Harvard</vt:lpwstr>
  </property>
  <property fmtid="{D5CDD505-2E9C-101B-9397-08002B2CF9AE}" pid="16" name="Mendeley Recent Style Name 5_1">
    <vt:lpwstr>BrandonGunasekera-Harvard - Brandon Gunasekera</vt:lpwstr>
  </property>
  <property fmtid="{D5CDD505-2E9C-101B-9397-08002B2CF9AE}" pid="17" name="Mendeley Recent Style Id 6_1">
    <vt:lpwstr>http://www.zotero.org/styles/chicago-author-date</vt:lpwstr>
  </property>
  <property fmtid="{D5CDD505-2E9C-101B-9397-08002B2CF9AE}" pid="18" name="Mendeley Recent Style Name 6_1">
    <vt:lpwstr>Chicago Manual of Style 17th edition (author-date)</vt:lpwstr>
  </property>
  <property fmtid="{D5CDD505-2E9C-101B-9397-08002B2CF9AE}" pid="19" name="Mendeley Recent Style Id 7_1">
    <vt:lpwstr>http://www.zotero.org/styles/harvard-cite-them-right</vt:lpwstr>
  </property>
  <property fmtid="{D5CDD505-2E9C-101B-9397-08002B2CF9AE}" pid="20" name="Mendeley Recent Style Name 7_1">
    <vt:lpwstr>Cite Them Right 10th edition - Harvard</vt:lpwstr>
  </property>
  <property fmtid="{D5CDD505-2E9C-101B-9397-08002B2CF9AE}" pid="21" name="Mendeley Recent Style Id 8_1">
    <vt:lpwstr>http://www.zotero.org/styles/harvard1</vt:lpwstr>
  </property>
  <property fmtid="{D5CDD505-2E9C-101B-9397-08002B2CF9AE}" pid="22" name="Mendeley Recent Style Name 8_1">
    <vt:lpwstr>Harvard reference format 1 (deprecated)</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