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9215FC" w14:textId="77777777" w:rsidR="006F0465" w:rsidRPr="00CB1BE4" w:rsidRDefault="006F0465" w:rsidP="006F0465">
      <w:pPr>
        <w:jc w:val="center"/>
        <w:rPr>
          <w:rFonts w:ascii="Times New Roman" w:hAnsi="Times New Roman"/>
          <w:b/>
        </w:rPr>
      </w:pPr>
      <w:r w:rsidRPr="00CB1BE4">
        <w:rPr>
          <w:rFonts w:ascii="Times New Roman" w:hAnsi="Times New Roman"/>
          <w:b/>
        </w:rPr>
        <w:t>Appendix A</w:t>
      </w:r>
    </w:p>
    <w:p w14:paraId="1A624F79" w14:textId="77777777" w:rsidR="006F0465" w:rsidRPr="009F5EFC" w:rsidRDefault="006F0465" w:rsidP="006F0465">
      <w:pPr>
        <w:pStyle w:val="NormalWeb"/>
        <w:spacing w:before="0" w:beforeAutospacing="0" w:after="120" w:afterAutospacing="0" w:line="360" w:lineRule="auto"/>
        <w:contextualSpacing/>
        <w:textAlignment w:val="baseline"/>
      </w:pPr>
      <w:r w:rsidRPr="009F5EFC">
        <w:rPr>
          <w:b/>
          <w:bCs/>
          <w:sz w:val="20"/>
          <w:szCs w:val="20"/>
        </w:rPr>
        <w:t>Table A1: List of Selected Variables</w:t>
      </w:r>
    </w:p>
    <w:tbl>
      <w:tblPr>
        <w:tblW w:w="9635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4"/>
        <w:gridCol w:w="1890"/>
        <w:gridCol w:w="1350"/>
        <w:gridCol w:w="4140"/>
        <w:gridCol w:w="981"/>
      </w:tblGrid>
      <w:tr w:rsidR="006F0465" w14:paraId="7E05B320" w14:textId="77777777" w:rsidTr="00E62F9E">
        <w:trPr>
          <w:trHeight w:val="182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88F9026" w14:textId="77777777" w:rsidR="006F0465" w:rsidRPr="001C3AF6" w:rsidRDefault="006F0465" w:rsidP="00E62F9E">
            <w:pPr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  <w:t>Dimension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4699EEAD" w14:textId="77777777" w:rsidR="006F0465" w:rsidRPr="001C3AF6" w:rsidRDefault="006F0465" w:rsidP="00E62F9E">
            <w:pPr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  <w:t>Measurement</w:t>
            </w:r>
          </w:p>
        </w:tc>
        <w:tc>
          <w:tcPr>
            <w:tcW w:w="1350" w:type="dxa"/>
            <w:vAlign w:val="center"/>
          </w:tcPr>
          <w:p w14:paraId="1A6639C4" w14:textId="77777777" w:rsidR="006F0465" w:rsidRPr="001C3AF6" w:rsidRDefault="006F0465" w:rsidP="00E62F9E">
            <w:pPr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  <w:t>Description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5EC2E2A7" w14:textId="77777777" w:rsidR="006F0465" w:rsidRPr="001C3AF6" w:rsidRDefault="006F0465" w:rsidP="00E62F9E">
            <w:pPr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  <w:t>Variable Impact Channel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757E0153" w14:textId="77777777" w:rsidR="006F0465" w:rsidRPr="001C3AF6" w:rsidRDefault="006F0465" w:rsidP="00E62F9E">
            <w:pPr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b/>
                <w:bCs/>
                <w:sz w:val="20"/>
                <w:szCs w:val="20"/>
                <w:lang w:val="en-IN"/>
              </w:rPr>
              <w:t>Source</w:t>
            </w:r>
          </w:p>
        </w:tc>
      </w:tr>
      <w:tr w:rsidR="006F0465" w14:paraId="6E2D6A58" w14:textId="77777777" w:rsidTr="00E62F9E">
        <w:trPr>
          <w:trHeight w:val="182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BB5DB12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Aggregate Investment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4AA21289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Real GFCF as % of GDP</w:t>
            </w:r>
          </w:p>
        </w:tc>
        <w:tc>
          <w:tcPr>
            <w:tcW w:w="1350" w:type="dxa"/>
            <w:vAlign w:val="center"/>
          </w:tcPr>
          <w:p w14:paraId="46ADF92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GFCF_GDP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1B3CD9F0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08819492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NAS</w:t>
            </w:r>
          </w:p>
        </w:tc>
      </w:tr>
      <w:tr w:rsidR="006F0465" w14:paraId="3C9765AE" w14:textId="77777777" w:rsidTr="00E62F9E">
        <w:trPr>
          <w:trHeight w:val="182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F55B2D8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Private Investment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75BAF27D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Real private GFCF as % of GDP</w:t>
            </w:r>
          </w:p>
        </w:tc>
        <w:tc>
          <w:tcPr>
            <w:tcW w:w="1350" w:type="dxa"/>
            <w:vAlign w:val="center"/>
          </w:tcPr>
          <w:p w14:paraId="1FF5A670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PRIVATE_GFCF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2DFEE870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2727CAAF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NAS</w:t>
            </w:r>
          </w:p>
        </w:tc>
      </w:tr>
      <w:tr w:rsidR="006F0465" w14:paraId="039CD2F2" w14:textId="77777777" w:rsidTr="00E62F9E">
        <w:trPr>
          <w:trHeight w:val="182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7249057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Corporate Investment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70C2220F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Real corporate GFCF as % of GDP</w:t>
            </w:r>
          </w:p>
        </w:tc>
        <w:tc>
          <w:tcPr>
            <w:tcW w:w="1350" w:type="dxa"/>
            <w:vAlign w:val="center"/>
          </w:tcPr>
          <w:p w14:paraId="62A18C16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COR_GFCF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6A8824E5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03FC5D88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NAS</w:t>
            </w:r>
          </w:p>
        </w:tc>
      </w:tr>
      <w:tr w:rsidR="006F0465" w14:paraId="2700BCC4" w14:textId="77777777" w:rsidTr="00E62F9E">
        <w:trPr>
          <w:trHeight w:val="365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2554BA8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Aggregate Demand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0D443949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Real Gross Value Added </w:t>
            </w:r>
            <w:r w:rsidRPr="001C3AF6">
              <w:rPr>
                <w:rFonts w:ascii="Times New Roman" w:hAnsi="Times New Roman"/>
                <w:kern w:val="24"/>
                <w:sz w:val="20"/>
                <w:szCs w:val="20"/>
                <w:lang w:val="en-IN"/>
              </w:rPr>
              <w:t>BY 2011-12 (Log value)</w:t>
            </w:r>
          </w:p>
        </w:tc>
        <w:tc>
          <w:tcPr>
            <w:tcW w:w="1350" w:type="dxa"/>
            <w:vAlign w:val="center"/>
          </w:tcPr>
          <w:p w14:paraId="0D56636A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LOUTPUT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46308E55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The accelerator theory underscores that firms’ investment is a response of changing demand conditions and influenced by level of output in the economy.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FD12EE4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NAS</w:t>
            </w:r>
          </w:p>
        </w:tc>
      </w:tr>
      <w:tr w:rsidR="006F0465" w14:paraId="47AC3745" w14:textId="77777777" w:rsidTr="00E62F9E">
        <w:trPr>
          <w:trHeight w:val="182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256802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Fiscal policy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2B7FF113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Fiscal Deficit as % of GDP</w:t>
            </w:r>
          </w:p>
        </w:tc>
        <w:tc>
          <w:tcPr>
            <w:tcW w:w="1350" w:type="dxa"/>
            <w:vAlign w:val="center"/>
          </w:tcPr>
          <w:p w14:paraId="66503E9E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GFD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2F7F0FA3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Crowding-in as well as crowding-out effect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3887AAB2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RBI</w:t>
            </w:r>
          </w:p>
        </w:tc>
      </w:tr>
      <w:tr w:rsidR="006F0465" w14:paraId="08EF4952" w14:textId="77777777" w:rsidTr="00E62F9E">
        <w:trPr>
          <w:trHeight w:val="546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34D12C48" w14:textId="77777777" w:rsidR="006F0465" w:rsidRPr="001C3AF6" w:rsidRDefault="006F0465" w:rsidP="00E62F9E">
            <w:pPr>
              <w:textAlignment w:val="bottom"/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kern w:val="24"/>
                <w:sz w:val="20"/>
                <w:szCs w:val="20"/>
                <w:lang w:val="en-IN"/>
              </w:rPr>
              <w:t>Monetary policy rate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579C944E" w14:textId="77777777" w:rsidR="006F0465" w:rsidRPr="001C3AF6" w:rsidRDefault="006F0465" w:rsidP="00E62F9E">
            <w:pPr>
              <w:textAlignment w:val="center"/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kern w:val="24"/>
                <w:sz w:val="20"/>
                <w:szCs w:val="20"/>
                <w:lang w:val="en-IN"/>
              </w:rPr>
              <w:t>Real Lending rate (%, Lending- CPI Inflation)</w:t>
            </w:r>
          </w:p>
        </w:tc>
        <w:tc>
          <w:tcPr>
            <w:tcW w:w="1350" w:type="dxa"/>
            <w:vAlign w:val="center"/>
          </w:tcPr>
          <w:p w14:paraId="2CF25F7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REAL_LR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6945E825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It serves the purpose of cost of capital 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39E7B3F3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eastAsia="Calibri" w:hAnsi="Times New Roman"/>
                <w:kern w:val="24"/>
                <w:sz w:val="20"/>
                <w:szCs w:val="20"/>
                <w:lang w:val="en-IN"/>
              </w:rPr>
              <w:t>IMF  &amp; OECD</w:t>
            </w:r>
          </w:p>
        </w:tc>
      </w:tr>
      <w:tr w:rsidR="006F0465" w14:paraId="5CE09A56" w14:textId="77777777" w:rsidTr="00E62F9E">
        <w:trPr>
          <w:trHeight w:val="365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EDC92A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Monetary policy transmission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4EF3C00D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Lending rate excluding repo rate</w:t>
            </w:r>
          </w:p>
        </w:tc>
        <w:tc>
          <w:tcPr>
            <w:tcW w:w="1350" w:type="dxa"/>
            <w:vAlign w:val="center"/>
          </w:tcPr>
          <w:p w14:paraId="781B9E51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LR_REPO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56958355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Monetary policy transmission effect. The falling gap suggests the bank efficiency and lowers the cost of capital which increases investment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0DC4219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kern w:val="24"/>
                <w:sz w:val="20"/>
                <w:szCs w:val="20"/>
                <w:lang w:val="en-IN"/>
              </w:rPr>
              <w:t>IMF &amp; (RBI)</w:t>
            </w:r>
          </w:p>
        </w:tc>
      </w:tr>
      <w:tr w:rsidR="006F0465" w14:paraId="2109DA7A" w14:textId="77777777" w:rsidTr="00E62F9E">
        <w:trPr>
          <w:trHeight w:val="909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2F8DCC9B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Financial development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6DEF1758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Credit plus corporate debt to Private non-financial sector (% of GDP)</w:t>
            </w:r>
          </w:p>
        </w:tc>
        <w:tc>
          <w:tcPr>
            <w:tcW w:w="1350" w:type="dxa"/>
            <w:vAlign w:val="center"/>
          </w:tcPr>
          <w:p w14:paraId="085F7E4A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FD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527C7EF9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It indicates the channelization of savings into investment. Enhanced credit to non-financial sector indicates the removal of market imperfections arising due to asymmetry of information between firms and funds suppliers 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0D20091A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BIS</w:t>
            </w:r>
          </w:p>
        </w:tc>
      </w:tr>
      <w:tr w:rsidR="006F0465" w14:paraId="0487C0F9" w14:textId="77777777" w:rsidTr="00E62F9E">
        <w:trPr>
          <w:trHeight w:val="909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20F3E5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Financial resources constraint 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6DD80033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Credit gap % of GDP (Non-financial corporate</w:t>
            </w:r>
          </w:p>
        </w:tc>
        <w:tc>
          <w:tcPr>
            <w:tcW w:w="1350" w:type="dxa"/>
            <w:vAlign w:val="center"/>
          </w:tcPr>
          <w:p w14:paraId="128C87E3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CREDIT_GAP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3445BD8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It indicates the mismatch between the financial resources from the trend line and higher gap on negative side results to the short-fall of funds 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72857288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BIS</w:t>
            </w:r>
          </w:p>
        </w:tc>
      </w:tr>
      <w:tr w:rsidR="006F0465" w14:paraId="7BBAC157" w14:textId="77777777" w:rsidTr="00E62F9E">
        <w:trPr>
          <w:trHeight w:val="909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702C3C8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Bonds market development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701DB9C1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Non-financial Corporate debt to GDP (%)</w:t>
            </w:r>
          </w:p>
        </w:tc>
        <w:tc>
          <w:tcPr>
            <w:tcW w:w="1350" w:type="dxa"/>
            <w:vAlign w:val="center"/>
          </w:tcPr>
          <w:p w14:paraId="3F6C02BF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NFC_DEBT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2DB226F0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Deep and liquid bond market potentially serves as an efficient channel to intermediate savings into investments. 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268C9EF4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BIS</w:t>
            </w:r>
          </w:p>
        </w:tc>
      </w:tr>
      <w:tr w:rsidR="006F0465" w14:paraId="3FFCB50F" w14:textId="77777777" w:rsidTr="00E62F9E">
        <w:trPr>
          <w:trHeight w:val="365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46982A7B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Funds utilization for debt purpose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56A27E88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Debt Service Ratio (Private non-financial sector)</w:t>
            </w:r>
          </w:p>
        </w:tc>
        <w:tc>
          <w:tcPr>
            <w:tcW w:w="1350" w:type="dxa"/>
            <w:vAlign w:val="center"/>
          </w:tcPr>
          <w:p w14:paraId="32DD1D0B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DSR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67B00F94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Measure the amount of income used for interest payments and amortisations. 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68527FC6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BIS</w:t>
            </w:r>
          </w:p>
        </w:tc>
      </w:tr>
      <w:tr w:rsidR="006F0465" w14:paraId="38468CB0" w14:textId="77777777" w:rsidTr="00E62F9E">
        <w:trPr>
          <w:trHeight w:val="546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5CBACA07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Debt overhang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04E5569F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Debt gap % of GDP (Non-financial corporate</w:t>
            </w:r>
          </w:p>
        </w:tc>
        <w:tc>
          <w:tcPr>
            <w:tcW w:w="1350" w:type="dxa"/>
            <w:vAlign w:val="center"/>
          </w:tcPr>
          <w:p w14:paraId="6D38D0B3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DEBT_GAP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37AB530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Debt overhang leads to utilization of internal sources for debt servicing, high default probabilities and  financial distress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429DBC1D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BIS</w:t>
            </w:r>
          </w:p>
        </w:tc>
      </w:tr>
      <w:tr w:rsidR="006F0465" w14:paraId="6F77F94E" w14:textId="77777777" w:rsidTr="00E62F9E">
        <w:trPr>
          <w:trHeight w:val="680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059001D9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External sector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00A3A75F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Nominal/Real Exchange Rate</w:t>
            </w:r>
          </w:p>
        </w:tc>
        <w:tc>
          <w:tcPr>
            <w:tcW w:w="1350" w:type="dxa"/>
            <w:vAlign w:val="center"/>
          </w:tcPr>
          <w:p w14:paraId="21588A35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NX/RX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5CBACA8D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Currency depreciation can induce the demand side and also affects through supply side by changing the price of imported inputs 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04F96A84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BIS</w:t>
            </w:r>
          </w:p>
        </w:tc>
      </w:tr>
      <w:tr w:rsidR="006F0465" w14:paraId="50528AA4" w14:textId="77777777" w:rsidTr="00E62F9E">
        <w:trPr>
          <w:trHeight w:val="546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68A41DBE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Uncertainty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7B15FE54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color w:val="000000"/>
                <w:sz w:val="20"/>
                <w:szCs w:val="20"/>
                <w:lang w:val="en-IN"/>
              </w:rPr>
              <w:t>India News-Based Policy Uncertainty Index</w:t>
            </w:r>
          </w:p>
        </w:tc>
        <w:tc>
          <w:tcPr>
            <w:tcW w:w="1350" w:type="dxa"/>
            <w:vAlign w:val="center"/>
          </w:tcPr>
          <w:p w14:paraId="15CAC378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EU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1EB99C40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It increases the systematic risk, and thereby the cost of capital in the economy. 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51AC0BEE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Policyuncertainity.com</w:t>
            </w:r>
          </w:p>
        </w:tc>
      </w:tr>
      <w:tr w:rsidR="006F0465" w14:paraId="1C12AD8E" w14:textId="77777777" w:rsidTr="00E62F9E">
        <w:trPr>
          <w:trHeight w:val="546"/>
        </w:trPr>
        <w:tc>
          <w:tcPr>
            <w:tcW w:w="1274" w:type="dxa"/>
            <w:shd w:val="clear" w:color="auto" w:fill="auto"/>
            <w:noWrap/>
            <w:vAlign w:val="center"/>
          </w:tcPr>
          <w:p w14:paraId="099DA5F9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Economic Sentiment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7FF5069D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color w:val="000000"/>
                <w:sz w:val="20"/>
                <w:szCs w:val="20"/>
                <w:lang w:val="en-IN"/>
              </w:rPr>
              <w:t xml:space="preserve">Through Business climate using the survey question </w:t>
            </w:r>
          </w:p>
        </w:tc>
        <w:tc>
          <w:tcPr>
            <w:tcW w:w="1350" w:type="dxa"/>
            <w:vAlign w:val="center"/>
          </w:tcPr>
          <w:p w14:paraId="760BA7F9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ES</w:t>
            </w:r>
          </w:p>
        </w:tc>
        <w:tc>
          <w:tcPr>
            <w:tcW w:w="4140" w:type="dxa"/>
            <w:shd w:val="clear" w:color="auto" w:fill="auto"/>
            <w:vAlign w:val="center"/>
          </w:tcPr>
          <w:p w14:paraId="3837EDE0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It captures the uncertainty related to business environment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14:paraId="54AD6BF0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RBI</w:t>
            </w:r>
          </w:p>
        </w:tc>
      </w:tr>
      <w:tr w:rsidR="006F0465" w14:paraId="30EB6D98" w14:textId="77777777" w:rsidTr="00E62F9E">
        <w:trPr>
          <w:trHeight w:val="546"/>
        </w:trPr>
        <w:tc>
          <w:tcPr>
            <w:tcW w:w="1274" w:type="dxa"/>
            <w:shd w:val="clear" w:color="auto" w:fill="auto"/>
            <w:noWrap/>
            <w:vAlign w:val="center"/>
            <w:hideMark/>
          </w:tcPr>
          <w:p w14:paraId="1398F27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Business confidence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14:paraId="6D9B46FA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Business Confidence index</w:t>
            </w:r>
          </w:p>
        </w:tc>
        <w:tc>
          <w:tcPr>
            <w:tcW w:w="1350" w:type="dxa"/>
            <w:vAlign w:val="center"/>
          </w:tcPr>
          <w:p w14:paraId="78FECD0B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BC</w:t>
            </w:r>
          </w:p>
        </w:tc>
        <w:tc>
          <w:tcPr>
            <w:tcW w:w="4140" w:type="dxa"/>
            <w:shd w:val="clear" w:color="auto" w:fill="auto"/>
            <w:vAlign w:val="center"/>
            <w:hideMark/>
          </w:tcPr>
          <w:p w14:paraId="620D124F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 xml:space="preserve">It indicates the situation of cyclical behaviour and accordingly affects the investment. </w:t>
            </w:r>
          </w:p>
        </w:tc>
        <w:tc>
          <w:tcPr>
            <w:tcW w:w="981" w:type="dxa"/>
            <w:shd w:val="clear" w:color="auto" w:fill="auto"/>
            <w:noWrap/>
            <w:vAlign w:val="center"/>
            <w:hideMark/>
          </w:tcPr>
          <w:p w14:paraId="2A844F85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RBI</w:t>
            </w:r>
          </w:p>
        </w:tc>
      </w:tr>
      <w:tr w:rsidR="006F0465" w14:paraId="1CFEB333" w14:textId="77777777" w:rsidTr="00E62F9E">
        <w:trPr>
          <w:trHeight w:val="546"/>
        </w:trPr>
        <w:tc>
          <w:tcPr>
            <w:tcW w:w="1274" w:type="dxa"/>
            <w:shd w:val="clear" w:color="auto" w:fill="auto"/>
            <w:noWrap/>
            <w:vAlign w:val="center"/>
          </w:tcPr>
          <w:p w14:paraId="52D8369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lastRenderedPageBreak/>
              <w:t>Global Risk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4BB3E912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US Volatility Index</w:t>
            </w:r>
          </w:p>
        </w:tc>
        <w:tc>
          <w:tcPr>
            <w:tcW w:w="1350" w:type="dxa"/>
            <w:vAlign w:val="center"/>
          </w:tcPr>
          <w:p w14:paraId="50012EAE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GR</w:t>
            </w:r>
          </w:p>
        </w:tc>
        <w:tc>
          <w:tcPr>
            <w:tcW w:w="4140" w:type="dxa"/>
            <w:shd w:val="clear" w:color="auto" w:fill="auto"/>
            <w:vAlign w:val="center"/>
          </w:tcPr>
          <w:p w14:paraId="5868AC91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It reflects the global volatility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14:paraId="42B10AF8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CBOE</w:t>
            </w:r>
          </w:p>
        </w:tc>
      </w:tr>
      <w:tr w:rsidR="006F0465" w14:paraId="309FE868" w14:textId="77777777" w:rsidTr="00E62F9E">
        <w:trPr>
          <w:trHeight w:val="546"/>
        </w:trPr>
        <w:tc>
          <w:tcPr>
            <w:tcW w:w="1274" w:type="dxa"/>
            <w:shd w:val="clear" w:color="auto" w:fill="auto"/>
            <w:noWrap/>
            <w:vAlign w:val="center"/>
          </w:tcPr>
          <w:p w14:paraId="722D5C9A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Disposable Income</w:t>
            </w:r>
          </w:p>
        </w:tc>
        <w:tc>
          <w:tcPr>
            <w:tcW w:w="1890" w:type="dxa"/>
            <w:shd w:val="clear" w:color="auto" w:fill="auto"/>
            <w:vAlign w:val="center"/>
          </w:tcPr>
          <w:p w14:paraId="51467F2C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Log of real disposable income per-capita</w:t>
            </w:r>
          </w:p>
        </w:tc>
        <w:tc>
          <w:tcPr>
            <w:tcW w:w="1350" w:type="dxa"/>
            <w:vAlign w:val="center"/>
          </w:tcPr>
          <w:p w14:paraId="1889A54F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RDY</w:t>
            </w:r>
          </w:p>
        </w:tc>
        <w:tc>
          <w:tcPr>
            <w:tcW w:w="4140" w:type="dxa"/>
            <w:shd w:val="clear" w:color="auto" w:fill="auto"/>
            <w:vAlign w:val="center"/>
          </w:tcPr>
          <w:p w14:paraId="739797DF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It measures the purchasing power of household</w:t>
            </w:r>
          </w:p>
        </w:tc>
        <w:tc>
          <w:tcPr>
            <w:tcW w:w="981" w:type="dxa"/>
            <w:shd w:val="clear" w:color="auto" w:fill="auto"/>
            <w:noWrap/>
            <w:vAlign w:val="center"/>
          </w:tcPr>
          <w:p w14:paraId="19AA2D7E" w14:textId="77777777" w:rsidR="006F0465" w:rsidRPr="001C3AF6" w:rsidRDefault="006F0465" w:rsidP="00E62F9E">
            <w:pPr>
              <w:rPr>
                <w:rFonts w:ascii="Times New Roman" w:hAnsi="Times New Roman"/>
                <w:sz w:val="20"/>
                <w:szCs w:val="20"/>
                <w:lang w:val="en-IN"/>
              </w:rPr>
            </w:pPr>
            <w:r w:rsidRPr="001C3AF6">
              <w:rPr>
                <w:rFonts w:ascii="Times New Roman" w:hAnsi="Times New Roman"/>
                <w:sz w:val="20"/>
                <w:szCs w:val="20"/>
                <w:lang w:val="en-IN"/>
              </w:rPr>
              <w:t>NAS</w:t>
            </w:r>
          </w:p>
        </w:tc>
      </w:tr>
    </w:tbl>
    <w:p w14:paraId="01A3A903" w14:textId="77777777" w:rsidR="006F0465" w:rsidRPr="009F5EFC" w:rsidRDefault="006F0465" w:rsidP="006F0465">
      <w:pPr>
        <w:pStyle w:val="NormalWeb"/>
        <w:spacing w:before="0" w:beforeAutospacing="0" w:after="120" w:afterAutospacing="0" w:line="360" w:lineRule="auto"/>
        <w:contextualSpacing/>
        <w:textAlignment w:val="baseline"/>
      </w:pPr>
    </w:p>
    <w:p w14:paraId="0EBFFDB5" w14:textId="7A4E739B" w:rsidR="006F0465" w:rsidRPr="006F0465" w:rsidRDefault="006F0465" w:rsidP="006F0465">
      <w:pPr>
        <w:rPr>
          <w:rFonts w:ascii="Times New Roman" w:hAnsi="Times New Roman"/>
          <w:b/>
          <w:sz w:val="24"/>
          <w:szCs w:val="24"/>
          <w:lang w:val="en-IN"/>
        </w:rPr>
      </w:pPr>
    </w:p>
    <w:sectPr w:rsidR="006F0465" w:rsidRPr="006F04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465"/>
    <w:rsid w:val="006F0465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36770"/>
  <w15:chartTrackingRefBased/>
  <w15:docId w15:val="{BFDD2655-4860-4CA9-8B1C-C55C33877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465"/>
    <w:pPr>
      <w:spacing w:after="0" w:line="240" w:lineRule="auto"/>
    </w:pPr>
    <w:rPr>
      <w:rFonts w:ascii="Arial" w:eastAsia="Times New Roman" w:hAnsi="Arial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F046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436</Words>
  <Characters>2486</Characters>
  <Application>Microsoft Office Word</Application>
  <DocSecurity>0</DocSecurity>
  <Lines>20</Lines>
  <Paragraphs>5</Paragraphs>
  <ScaleCrop>false</ScaleCrop>
  <Company>Springer Nature</Company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2023-01-31T11:39:00Z</dcterms:created>
  <dcterms:modified xsi:type="dcterms:W3CDTF">2023-01-31T11:39:00Z</dcterms:modified>
</cp:coreProperties>
</file>