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44A" w:rsidRDefault="002D744A" w:rsidP="000F57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color w:val="000000"/>
          <w:szCs w:val="24"/>
        </w:rPr>
      </w:pPr>
      <w:r w:rsidRPr="00A97AC5">
        <w:rPr>
          <w:rFonts w:ascii="Times New Roman" w:hAnsi="Times New Roman"/>
          <w:b/>
          <w:color w:val="000000"/>
          <w:szCs w:val="24"/>
        </w:rPr>
        <w:t>Materials and Methods:</w:t>
      </w:r>
    </w:p>
    <w:p w:rsidR="002D744A" w:rsidRDefault="002D744A" w:rsidP="00CE6E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sidRPr="000F5767">
        <w:rPr>
          <w:rFonts w:ascii="Times New Roman" w:hAnsi="Times New Roman"/>
          <w:b/>
        </w:rPr>
        <w:t xml:space="preserve">Animals: </w:t>
      </w:r>
    </w:p>
    <w:p w:rsidR="002D744A" w:rsidRDefault="002D744A" w:rsidP="00CE6E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0F5767">
        <w:rPr>
          <w:rFonts w:ascii="Times New Roman" w:hAnsi="Times New Roman"/>
        </w:rPr>
        <w:t>AZIP/F1 (</w:t>
      </w:r>
      <w:r w:rsidRPr="00642C35">
        <w:rPr>
          <w:rFonts w:ascii="Times New Roman" w:hAnsi="Times New Roman"/>
          <w:i/>
          <w:iCs/>
        </w:rPr>
        <w:t>A</w:t>
      </w:r>
      <w:r>
        <w:rPr>
          <w:rFonts w:ascii="Times New Roman" w:hAnsi="Times New Roman"/>
          <w:i/>
          <w:iCs/>
        </w:rPr>
        <w:t>-zip</w:t>
      </w:r>
      <w:r w:rsidRPr="000F5767">
        <w:rPr>
          <w:rFonts w:ascii="Times New Roman" w:hAnsi="Times New Roman"/>
        </w:rPr>
        <w:t>) mice on a C57Bl6/J background were a gift from J. Friedman (Rockefeller University, New York, New York)</w:t>
      </w:r>
      <w:r w:rsidRPr="000F5767" w:rsidDel="00857C22">
        <w:rPr>
          <w:rFonts w:ascii="Times New Roman" w:hAnsi="Times New Roman"/>
        </w:rPr>
        <w:t xml:space="preserve"> </w:t>
      </w:r>
      <w:r w:rsidRPr="00BE4E0B">
        <w:rPr>
          <w:rFonts w:ascii="Times New Roman" w:hAnsi="Times New Roman"/>
          <w:noProof/>
          <w:vertAlign w:val="superscript"/>
        </w:rPr>
        <w:t>32,33</w:t>
      </w:r>
      <w:r w:rsidRPr="000F5767">
        <w:rPr>
          <w:rFonts w:ascii="Times New Roman" w:hAnsi="Times New Roman"/>
        </w:rPr>
        <w:t xml:space="preserve">. </w:t>
      </w:r>
      <w:proofErr w:type="spellStart"/>
      <w:r w:rsidRPr="000F5767">
        <w:rPr>
          <w:rFonts w:ascii="Times New Roman" w:hAnsi="Times New Roman"/>
        </w:rPr>
        <w:t>Pthrp-mCherry</w:t>
      </w:r>
      <w:proofErr w:type="spellEnd"/>
      <w:r w:rsidRPr="000F5767">
        <w:rPr>
          <w:rFonts w:ascii="Times New Roman" w:hAnsi="Times New Roman"/>
        </w:rPr>
        <w:t xml:space="preserve"> </w:t>
      </w:r>
      <w:r>
        <w:rPr>
          <w:rFonts w:ascii="Times New Roman" w:hAnsi="Times New Roman"/>
        </w:rPr>
        <w:t>(</w:t>
      </w:r>
      <w:proofErr w:type="spellStart"/>
      <w:r w:rsidRPr="00642C35">
        <w:rPr>
          <w:rFonts w:ascii="Times New Roman" w:hAnsi="Times New Roman"/>
          <w:i/>
          <w:iCs/>
        </w:rPr>
        <w:t>PTHrP</w:t>
      </w:r>
      <w:r w:rsidRPr="00642C35">
        <w:rPr>
          <w:rFonts w:ascii="Times New Roman" w:hAnsi="Times New Roman"/>
          <w:i/>
          <w:iCs/>
          <w:vertAlign w:val="superscript"/>
        </w:rPr>
        <w:t>mcherry</w:t>
      </w:r>
      <w:proofErr w:type="spellEnd"/>
      <w:r w:rsidRPr="00642C35">
        <w:rPr>
          <w:rFonts w:ascii="Times New Roman" w:hAnsi="Times New Roman"/>
          <w:i/>
          <w:iCs/>
          <w:vertAlign w:val="superscript"/>
        </w:rPr>
        <w:t>/+)</w:t>
      </w:r>
      <w:r>
        <w:rPr>
          <w:rFonts w:ascii="Times New Roman" w:hAnsi="Times New Roman"/>
        </w:rPr>
        <w:t xml:space="preserve"> </w:t>
      </w:r>
      <w:r w:rsidRPr="000F5767">
        <w:rPr>
          <w:rFonts w:ascii="Times New Roman" w:hAnsi="Times New Roman"/>
        </w:rPr>
        <w:t>mice were a gift from N. Ono (University of Michigan, Ann Arbor, Michigan)</w:t>
      </w:r>
      <w:r>
        <w:rPr>
          <w:rFonts w:ascii="Times New Roman" w:hAnsi="Times New Roman"/>
        </w:rPr>
        <w:t xml:space="preserve"> </w:t>
      </w:r>
      <w:r w:rsidRPr="00BE4E0B">
        <w:rPr>
          <w:rFonts w:ascii="Times New Roman" w:hAnsi="Times New Roman"/>
          <w:noProof/>
          <w:vertAlign w:val="superscript"/>
        </w:rPr>
        <w:t>34</w:t>
      </w:r>
      <w:r w:rsidRPr="000F5767">
        <w:rPr>
          <w:rFonts w:ascii="Times New Roman" w:hAnsi="Times New Roman"/>
        </w:rPr>
        <w:t>. Cathepsin K-</w:t>
      </w:r>
      <w:proofErr w:type="spellStart"/>
      <w:r w:rsidRPr="000F5767">
        <w:rPr>
          <w:rFonts w:ascii="Times New Roman" w:hAnsi="Times New Roman"/>
        </w:rPr>
        <w:t>cre</w:t>
      </w:r>
      <w:proofErr w:type="spellEnd"/>
      <w:r w:rsidRPr="000F5767">
        <w:rPr>
          <w:rFonts w:ascii="Times New Roman" w:hAnsi="Times New Roman"/>
        </w:rPr>
        <w:t xml:space="preserve"> (</w:t>
      </w:r>
      <w:proofErr w:type="spellStart"/>
      <w:r w:rsidRPr="00642C35">
        <w:rPr>
          <w:rFonts w:ascii="Times New Roman" w:hAnsi="Times New Roman"/>
          <w:i/>
          <w:iCs/>
        </w:rPr>
        <w:t>Ctsk-cre</w:t>
      </w:r>
      <w:proofErr w:type="spellEnd"/>
      <w:r w:rsidRPr="000F5767">
        <w:rPr>
          <w:rFonts w:ascii="Times New Roman" w:hAnsi="Times New Roman"/>
        </w:rPr>
        <w:t>) mice were a gift from S. Kato (University of Tokyo, Tokyo, Japan)</w:t>
      </w:r>
      <w:r>
        <w:rPr>
          <w:rFonts w:ascii="Times New Roman" w:hAnsi="Times New Roman"/>
        </w:rPr>
        <w:t xml:space="preserve"> and T. Nakamura (Tokyo Dental College) </w:t>
      </w:r>
      <w:r w:rsidRPr="00BE4E0B">
        <w:rPr>
          <w:rFonts w:ascii="Times New Roman" w:hAnsi="Times New Roman"/>
          <w:noProof/>
          <w:vertAlign w:val="superscript"/>
        </w:rPr>
        <w:t>35</w:t>
      </w:r>
      <w:r w:rsidRPr="000F5767">
        <w:rPr>
          <w:rFonts w:ascii="Times New Roman" w:hAnsi="Times New Roman"/>
        </w:rPr>
        <w:t xml:space="preserve">. </w:t>
      </w:r>
      <w:proofErr w:type="spellStart"/>
      <w:r w:rsidRPr="00642C35">
        <w:rPr>
          <w:rFonts w:ascii="Times New Roman" w:hAnsi="Times New Roman"/>
          <w:i/>
          <w:iCs/>
        </w:rPr>
        <w:t>mTmG</w:t>
      </w:r>
      <w:proofErr w:type="spellEnd"/>
      <w:r w:rsidRPr="000F5767">
        <w:rPr>
          <w:rFonts w:ascii="Times New Roman" w:hAnsi="Times New Roman"/>
        </w:rPr>
        <w:t xml:space="preserve"> (Stock 007676)</w:t>
      </w:r>
      <w:r>
        <w:rPr>
          <w:rFonts w:ascii="Times New Roman" w:hAnsi="Times New Roman"/>
        </w:rPr>
        <w:t xml:space="preserve"> </w:t>
      </w:r>
      <w:bookmarkStart w:id="0" w:name="_GoBack"/>
      <w:bookmarkEnd w:id="0"/>
      <w:r w:rsidRPr="00BE4E0B">
        <w:rPr>
          <w:rFonts w:ascii="Times New Roman" w:hAnsi="Times New Roman"/>
          <w:noProof/>
          <w:vertAlign w:val="superscript"/>
        </w:rPr>
        <w:t>36</w:t>
      </w:r>
      <w:r w:rsidRPr="000F5767">
        <w:rPr>
          <w:rFonts w:ascii="Times New Roman" w:hAnsi="Times New Roman"/>
        </w:rPr>
        <w:t xml:space="preserve">, </w:t>
      </w:r>
      <w:r w:rsidRPr="00642C35">
        <w:rPr>
          <w:rFonts w:ascii="Times New Roman" w:hAnsi="Times New Roman"/>
          <w:i/>
          <w:iCs/>
        </w:rPr>
        <w:t>UBC-GFP</w:t>
      </w:r>
      <w:r w:rsidRPr="000F5767">
        <w:rPr>
          <w:rFonts w:ascii="Times New Roman" w:hAnsi="Times New Roman"/>
        </w:rPr>
        <w:t xml:space="preserve"> (stock 004353)</w:t>
      </w:r>
      <w:r>
        <w:rPr>
          <w:rFonts w:ascii="Times New Roman" w:hAnsi="Times New Roman"/>
        </w:rPr>
        <w:t xml:space="preserve"> </w:t>
      </w:r>
      <w:r w:rsidRPr="00BE4E0B">
        <w:rPr>
          <w:rFonts w:ascii="Times New Roman" w:hAnsi="Times New Roman"/>
          <w:noProof/>
          <w:vertAlign w:val="superscript"/>
        </w:rPr>
        <w:t>37</w:t>
      </w:r>
      <w:r w:rsidRPr="000F5767">
        <w:rPr>
          <w:rFonts w:ascii="Times New Roman" w:hAnsi="Times New Roman"/>
        </w:rPr>
        <w:t xml:space="preserve">, </w:t>
      </w:r>
      <w:r w:rsidRPr="00642C35">
        <w:rPr>
          <w:rFonts w:ascii="Times New Roman" w:hAnsi="Times New Roman"/>
          <w:i/>
          <w:iCs/>
        </w:rPr>
        <w:t>MIP-GFP</w:t>
      </w:r>
      <w:r w:rsidRPr="000F5767">
        <w:rPr>
          <w:rFonts w:ascii="Times New Roman" w:hAnsi="Times New Roman"/>
        </w:rPr>
        <w:t xml:space="preserve"> (stock 006864)</w:t>
      </w:r>
      <w:r>
        <w:rPr>
          <w:rFonts w:ascii="Times New Roman" w:hAnsi="Times New Roman"/>
        </w:rPr>
        <w:t xml:space="preserve"> </w:t>
      </w:r>
      <w:r w:rsidRPr="00BE4E0B">
        <w:rPr>
          <w:rFonts w:ascii="Times New Roman" w:hAnsi="Times New Roman"/>
          <w:noProof/>
          <w:vertAlign w:val="superscript"/>
        </w:rPr>
        <w:t>38</w:t>
      </w:r>
      <w:r w:rsidRPr="000F5767">
        <w:rPr>
          <w:rFonts w:ascii="Times New Roman" w:hAnsi="Times New Roman"/>
        </w:rPr>
        <w:t xml:space="preserve">, </w:t>
      </w:r>
      <w:proofErr w:type="spellStart"/>
      <w:r w:rsidRPr="00642C35">
        <w:rPr>
          <w:rFonts w:ascii="Times New Roman" w:hAnsi="Times New Roman"/>
          <w:i/>
          <w:iCs/>
        </w:rPr>
        <w:t>LepR-cre</w:t>
      </w:r>
      <w:proofErr w:type="spellEnd"/>
      <w:r w:rsidRPr="000F5767">
        <w:rPr>
          <w:rFonts w:ascii="Times New Roman" w:hAnsi="Times New Roman"/>
        </w:rPr>
        <w:t xml:space="preserve"> (stock 008320)</w:t>
      </w:r>
      <w:r>
        <w:rPr>
          <w:rFonts w:ascii="Times New Roman" w:hAnsi="Times New Roman"/>
        </w:rPr>
        <w:t xml:space="preserve"> </w:t>
      </w:r>
      <w:r w:rsidRPr="00BE4E0B">
        <w:rPr>
          <w:rFonts w:ascii="Times New Roman" w:hAnsi="Times New Roman"/>
          <w:noProof/>
          <w:vertAlign w:val="superscript"/>
        </w:rPr>
        <w:t>39</w:t>
      </w:r>
      <w:r w:rsidRPr="000F5767">
        <w:rPr>
          <w:rFonts w:ascii="Times New Roman" w:hAnsi="Times New Roman"/>
        </w:rPr>
        <w:t xml:space="preserve">, </w:t>
      </w:r>
      <w:r w:rsidRPr="00642C35">
        <w:rPr>
          <w:rFonts w:ascii="Times New Roman" w:hAnsi="Times New Roman"/>
          <w:i/>
          <w:iCs/>
        </w:rPr>
        <w:t>Fabp4</w:t>
      </w:r>
      <w:r>
        <w:rPr>
          <w:rFonts w:ascii="Times New Roman" w:hAnsi="Times New Roman"/>
          <w:i/>
          <w:iCs/>
        </w:rPr>
        <w:t>-c</w:t>
      </w:r>
      <w:r w:rsidRPr="00642C35">
        <w:rPr>
          <w:rFonts w:ascii="Times New Roman" w:hAnsi="Times New Roman"/>
          <w:i/>
          <w:iCs/>
        </w:rPr>
        <w:t>re</w:t>
      </w:r>
      <w:r w:rsidRPr="000F5767">
        <w:rPr>
          <w:rFonts w:ascii="Times New Roman" w:hAnsi="Times New Roman"/>
        </w:rPr>
        <w:t xml:space="preserve"> (stock 005069) </w:t>
      </w:r>
      <w:r w:rsidRPr="00BE4E0B">
        <w:rPr>
          <w:rFonts w:ascii="Times New Roman" w:hAnsi="Times New Roman"/>
          <w:noProof/>
          <w:vertAlign w:val="superscript"/>
        </w:rPr>
        <w:t>40</w:t>
      </w:r>
      <w:r w:rsidRPr="000F5767">
        <w:rPr>
          <w:rFonts w:ascii="Times New Roman" w:hAnsi="Times New Roman"/>
        </w:rPr>
        <w:t xml:space="preserve">, </w:t>
      </w:r>
      <w:r w:rsidRPr="00642C35">
        <w:rPr>
          <w:rFonts w:ascii="Times New Roman" w:hAnsi="Times New Roman"/>
          <w:i/>
          <w:iCs/>
        </w:rPr>
        <w:t>PDGFRα-</w:t>
      </w:r>
      <w:proofErr w:type="spellStart"/>
      <w:r w:rsidRPr="00642C35">
        <w:rPr>
          <w:rFonts w:ascii="Times New Roman" w:hAnsi="Times New Roman"/>
          <w:i/>
          <w:iCs/>
        </w:rPr>
        <w:t>cre</w:t>
      </w:r>
      <w:proofErr w:type="spellEnd"/>
      <w:r w:rsidRPr="000F5767">
        <w:rPr>
          <w:rFonts w:ascii="Times New Roman" w:hAnsi="Times New Roman"/>
        </w:rPr>
        <w:t xml:space="preserve"> (stock 013148) </w:t>
      </w:r>
      <w:r w:rsidRPr="00BE4E0B">
        <w:rPr>
          <w:rFonts w:ascii="Times New Roman" w:hAnsi="Times New Roman"/>
          <w:noProof/>
          <w:vertAlign w:val="superscript"/>
        </w:rPr>
        <w:t>41,42</w:t>
      </w:r>
      <w:r>
        <w:rPr>
          <w:rFonts w:ascii="Times New Roman" w:hAnsi="Times New Roman"/>
        </w:rPr>
        <w:t xml:space="preserve">, </w:t>
      </w:r>
      <w:r w:rsidRPr="000F5767">
        <w:rPr>
          <w:rFonts w:ascii="Times New Roman" w:hAnsi="Times New Roman"/>
        </w:rPr>
        <w:t xml:space="preserve">and </w:t>
      </w:r>
      <w:r w:rsidRPr="00AC313E">
        <w:rPr>
          <w:rFonts w:ascii="Times New Roman" w:hAnsi="Times New Roman"/>
          <w:i/>
          <w:iCs/>
        </w:rPr>
        <w:t>Pol</w:t>
      </w:r>
      <w:r>
        <w:rPr>
          <w:rFonts w:ascii="Times New Roman" w:hAnsi="Times New Roman"/>
          <w:i/>
          <w:iCs/>
        </w:rPr>
        <w:t>G</w:t>
      </w:r>
      <w:r w:rsidRPr="008E6781">
        <w:rPr>
          <w:rFonts w:ascii="Times New Roman" w:hAnsi="Times New Roman"/>
          <w:i/>
          <w:iCs/>
          <w:vertAlign w:val="superscript"/>
        </w:rPr>
        <w:t>D257A</w:t>
      </w:r>
      <w:r w:rsidRPr="000F5767">
        <w:rPr>
          <w:rFonts w:ascii="Times New Roman" w:hAnsi="Times New Roman"/>
        </w:rPr>
        <w:t xml:space="preserve"> (stock 017341)</w:t>
      </w:r>
      <w:r>
        <w:rPr>
          <w:rFonts w:ascii="Times New Roman" w:hAnsi="Times New Roman"/>
        </w:rPr>
        <w:t xml:space="preserve"> </w:t>
      </w:r>
      <w:r w:rsidRPr="00BE4E0B">
        <w:rPr>
          <w:rFonts w:ascii="Times New Roman" w:hAnsi="Times New Roman"/>
          <w:noProof/>
          <w:vertAlign w:val="superscript"/>
        </w:rPr>
        <w:t>43</w:t>
      </w:r>
      <w:r w:rsidRPr="000F5767">
        <w:rPr>
          <w:rFonts w:ascii="Times New Roman" w:hAnsi="Times New Roman"/>
        </w:rPr>
        <w:t xml:space="preserve"> mice were purchased from Jackson Laboratories. </w:t>
      </w:r>
      <w:r>
        <w:rPr>
          <w:rFonts w:ascii="Times New Roman" w:hAnsi="Times New Roman"/>
        </w:rPr>
        <w:t>R</w:t>
      </w:r>
      <w:r w:rsidRPr="000F5767">
        <w:rPr>
          <w:rFonts w:ascii="Times New Roman" w:hAnsi="Times New Roman"/>
        </w:rPr>
        <w:t xml:space="preserve">ecipient heterozygous </w:t>
      </w:r>
      <w:r w:rsidRPr="00AC313E">
        <w:rPr>
          <w:rFonts w:ascii="Times New Roman" w:hAnsi="Times New Roman"/>
          <w:i/>
          <w:iCs/>
        </w:rPr>
        <w:t>MIP</w:t>
      </w:r>
      <w:r>
        <w:rPr>
          <w:rFonts w:ascii="Times New Roman" w:hAnsi="Times New Roman"/>
          <w:i/>
          <w:iCs/>
        </w:rPr>
        <w:t>-GFP</w:t>
      </w:r>
      <w:r w:rsidRPr="000F5767">
        <w:rPr>
          <w:rFonts w:ascii="Times New Roman" w:hAnsi="Times New Roman"/>
        </w:rPr>
        <w:t xml:space="preserve"> mice were generated by breeding homozygous </w:t>
      </w:r>
      <w:r w:rsidRPr="00AC313E">
        <w:rPr>
          <w:rFonts w:ascii="Times New Roman" w:hAnsi="Times New Roman"/>
          <w:i/>
          <w:iCs/>
        </w:rPr>
        <w:t>MI</w:t>
      </w:r>
      <w:r>
        <w:rPr>
          <w:rFonts w:ascii="Times New Roman" w:hAnsi="Times New Roman"/>
          <w:i/>
          <w:iCs/>
        </w:rPr>
        <w:t>P-GFP</w:t>
      </w:r>
      <w:r w:rsidRPr="000F5767">
        <w:rPr>
          <w:rFonts w:ascii="Times New Roman" w:hAnsi="Times New Roman"/>
        </w:rPr>
        <w:t xml:space="preserve"> males with wildtype C57Bl6/J females. Experimental </w:t>
      </w:r>
      <w:r w:rsidRPr="00AC313E">
        <w:rPr>
          <w:rFonts w:ascii="Times New Roman" w:hAnsi="Times New Roman"/>
          <w:i/>
          <w:iCs/>
        </w:rPr>
        <w:t>A</w:t>
      </w:r>
      <w:r>
        <w:rPr>
          <w:rFonts w:ascii="Times New Roman" w:hAnsi="Times New Roman"/>
          <w:i/>
          <w:iCs/>
        </w:rPr>
        <w:t>-</w:t>
      </w:r>
      <w:r w:rsidRPr="00AC313E">
        <w:rPr>
          <w:rFonts w:ascii="Times New Roman" w:hAnsi="Times New Roman"/>
          <w:i/>
          <w:iCs/>
        </w:rPr>
        <w:t>Z</w:t>
      </w:r>
      <w:r>
        <w:rPr>
          <w:rFonts w:ascii="Times New Roman" w:hAnsi="Times New Roman"/>
          <w:i/>
          <w:iCs/>
        </w:rPr>
        <w:t>ip</w:t>
      </w:r>
      <w:r w:rsidRPr="000F5767">
        <w:rPr>
          <w:rFonts w:ascii="Times New Roman" w:hAnsi="Times New Roman"/>
        </w:rPr>
        <w:t xml:space="preserve"> and</w:t>
      </w:r>
      <w:r w:rsidRPr="00AC313E">
        <w:rPr>
          <w:rFonts w:ascii="Times New Roman" w:hAnsi="Times New Roman"/>
          <w:i/>
          <w:iCs/>
        </w:rPr>
        <w:t xml:space="preserve"> A-Zip/MIP</w:t>
      </w:r>
      <w:r>
        <w:rPr>
          <w:rFonts w:ascii="Times New Roman" w:hAnsi="Times New Roman"/>
          <w:i/>
          <w:iCs/>
        </w:rPr>
        <w:t>-GFP</w:t>
      </w:r>
      <w:r w:rsidRPr="000F5767">
        <w:rPr>
          <w:rFonts w:ascii="Times New Roman" w:hAnsi="Times New Roman"/>
        </w:rPr>
        <w:t xml:space="preserve"> mice were generated by breeding </w:t>
      </w:r>
      <w:r w:rsidRPr="00AC313E">
        <w:rPr>
          <w:rFonts w:ascii="Times New Roman" w:hAnsi="Times New Roman"/>
          <w:i/>
          <w:iCs/>
        </w:rPr>
        <w:t>A-Zip</w:t>
      </w:r>
      <w:r w:rsidRPr="000F5767">
        <w:rPr>
          <w:rFonts w:ascii="Times New Roman" w:hAnsi="Times New Roman"/>
        </w:rPr>
        <w:t xml:space="preserve"> males with wildtype C57Bl6/J females or homozygous </w:t>
      </w:r>
      <w:r w:rsidRPr="00AC313E">
        <w:rPr>
          <w:rFonts w:ascii="Times New Roman" w:hAnsi="Times New Roman"/>
          <w:i/>
          <w:iCs/>
        </w:rPr>
        <w:t>MIP</w:t>
      </w:r>
      <w:r>
        <w:rPr>
          <w:rFonts w:ascii="Times New Roman" w:hAnsi="Times New Roman"/>
          <w:i/>
          <w:iCs/>
        </w:rPr>
        <w:t>-GFP</w:t>
      </w:r>
      <w:r w:rsidRPr="000F5767">
        <w:rPr>
          <w:rFonts w:ascii="Times New Roman" w:hAnsi="Times New Roman"/>
        </w:rPr>
        <w:t xml:space="preserve"> females respectively. Experimental </w:t>
      </w:r>
      <w:r w:rsidRPr="00AC313E">
        <w:rPr>
          <w:rFonts w:ascii="Times New Roman" w:hAnsi="Times New Roman"/>
          <w:i/>
          <w:iCs/>
        </w:rPr>
        <w:t>Pol</w:t>
      </w:r>
      <w:r>
        <w:rPr>
          <w:rFonts w:ascii="Times New Roman" w:hAnsi="Times New Roman"/>
          <w:i/>
          <w:iCs/>
        </w:rPr>
        <w:t>G</w:t>
      </w:r>
      <w:r w:rsidRPr="008E6781">
        <w:rPr>
          <w:rFonts w:ascii="Times New Roman" w:hAnsi="Times New Roman"/>
          <w:i/>
          <w:iCs/>
          <w:vertAlign w:val="superscript"/>
        </w:rPr>
        <w:t>D257A</w:t>
      </w:r>
      <w:r>
        <w:rPr>
          <w:rFonts w:ascii="Times New Roman" w:hAnsi="Times New Roman"/>
          <w:i/>
          <w:iCs/>
          <w:vertAlign w:val="superscript"/>
        </w:rPr>
        <w:t>/D257A</w:t>
      </w:r>
      <w:r w:rsidRPr="000F5767">
        <w:rPr>
          <w:rFonts w:ascii="Times New Roman" w:hAnsi="Times New Roman"/>
        </w:rPr>
        <w:t xml:space="preserve"> mice were generated by crossing male </w:t>
      </w:r>
      <w:r w:rsidRPr="00AC313E">
        <w:rPr>
          <w:rFonts w:ascii="Times New Roman" w:hAnsi="Times New Roman"/>
          <w:i/>
          <w:iCs/>
        </w:rPr>
        <w:t>Pol</w:t>
      </w:r>
      <w:r>
        <w:rPr>
          <w:rFonts w:ascii="Times New Roman" w:hAnsi="Times New Roman"/>
          <w:i/>
          <w:iCs/>
        </w:rPr>
        <w:t>G</w:t>
      </w:r>
      <w:r w:rsidRPr="008E6781">
        <w:rPr>
          <w:rFonts w:ascii="Times New Roman" w:hAnsi="Times New Roman"/>
          <w:i/>
          <w:iCs/>
          <w:vertAlign w:val="superscript"/>
        </w:rPr>
        <w:t>D257A</w:t>
      </w:r>
      <w:r>
        <w:rPr>
          <w:rFonts w:ascii="Times New Roman" w:hAnsi="Times New Roman"/>
          <w:i/>
          <w:iCs/>
          <w:vertAlign w:val="superscript"/>
        </w:rPr>
        <w:t>/+</w:t>
      </w:r>
      <w:r w:rsidRPr="000F5767">
        <w:rPr>
          <w:rFonts w:ascii="Times New Roman" w:hAnsi="Times New Roman"/>
        </w:rPr>
        <w:t xml:space="preserve"> with female </w:t>
      </w:r>
      <w:r w:rsidRPr="00AC313E">
        <w:rPr>
          <w:rFonts w:ascii="Times New Roman" w:hAnsi="Times New Roman"/>
          <w:i/>
          <w:iCs/>
        </w:rPr>
        <w:t>Pol</w:t>
      </w:r>
      <w:r>
        <w:rPr>
          <w:rFonts w:ascii="Times New Roman" w:hAnsi="Times New Roman"/>
          <w:i/>
          <w:iCs/>
        </w:rPr>
        <w:t>G</w:t>
      </w:r>
      <w:r w:rsidRPr="008E6781">
        <w:rPr>
          <w:rFonts w:ascii="Times New Roman" w:hAnsi="Times New Roman"/>
          <w:i/>
          <w:iCs/>
          <w:vertAlign w:val="superscript"/>
        </w:rPr>
        <w:t>D257A</w:t>
      </w:r>
      <w:r>
        <w:rPr>
          <w:rFonts w:ascii="Times New Roman" w:hAnsi="Times New Roman"/>
          <w:i/>
          <w:iCs/>
          <w:vertAlign w:val="superscript"/>
        </w:rPr>
        <w:t>/+</w:t>
      </w:r>
      <w:r w:rsidRPr="000F5767">
        <w:rPr>
          <w:rFonts w:ascii="Times New Roman" w:hAnsi="Times New Roman"/>
        </w:rPr>
        <w:t xml:space="preserve"> mice. All mice were maintained on a C57Bl6/J background throughout the study. All animals were maintained in accordance with the NIH Guide for the Care and Use of Laboratory Animals and were handled according to protocols approved by the Weill Cornell Medical College subcommittee on animal care (IACUC). </w:t>
      </w:r>
    </w:p>
    <w:p w:rsidR="002D744A" w:rsidRDefault="002D744A" w:rsidP="006E4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sidRPr="00CE6E20">
        <w:rPr>
          <w:rFonts w:ascii="Times New Roman" w:hAnsi="Times New Roman"/>
          <w:b/>
        </w:rPr>
        <w:t xml:space="preserve">Surgical procedures: </w:t>
      </w:r>
    </w:p>
    <w:p w:rsidR="002D744A" w:rsidRPr="00D16A12" w:rsidRDefault="002D744A" w:rsidP="00CE6E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sidRPr="00CE6E20">
        <w:rPr>
          <w:rFonts w:ascii="Times New Roman" w:hAnsi="Times New Roman"/>
        </w:rPr>
        <w:t>All surgical procedures were performed under isoflurane (1-4%) anesthesia. Surgical sites were sterilized using a betadine/iodide/isopropanol prep</w:t>
      </w:r>
      <w:r>
        <w:rPr>
          <w:rFonts w:ascii="Times New Roman" w:hAnsi="Times New Roman"/>
        </w:rPr>
        <w:t>aration</w:t>
      </w:r>
      <w:r w:rsidRPr="00CE6E20">
        <w:rPr>
          <w:rFonts w:ascii="Times New Roman" w:hAnsi="Times New Roman"/>
        </w:rPr>
        <w:t xml:space="preserve"> after hair removal by a clipper with a #40 blade or a depilatory cream (Nair). After surgery, the visceral lining or muscle was sutured with absorbable Ethicon </w:t>
      </w:r>
      <w:proofErr w:type="spellStart"/>
      <w:r w:rsidRPr="00CE6E20">
        <w:rPr>
          <w:rFonts w:ascii="Times New Roman" w:hAnsi="Times New Roman"/>
        </w:rPr>
        <w:t>vicryl</w:t>
      </w:r>
      <w:proofErr w:type="spellEnd"/>
      <w:r w:rsidRPr="00CE6E20">
        <w:rPr>
          <w:rFonts w:ascii="Times New Roman" w:hAnsi="Times New Roman"/>
        </w:rPr>
        <w:t xml:space="preserve"> sutures (</w:t>
      </w:r>
      <w:r>
        <w:rPr>
          <w:rFonts w:ascii="Times New Roman" w:hAnsi="Times New Roman"/>
        </w:rPr>
        <w:t>Cen-Med,</w:t>
      </w:r>
      <w:r w:rsidRPr="00CE6E20">
        <w:rPr>
          <w:rFonts w:ascii="Times New Roman" w:hAnsi="Times New Roman"/>
        </w:rPr>
        <w:t xml:space="preserve"> cat no</w:t>
      </w:r>
      <w:r>
        <w:rPr>
          <w:rFonts w:ascii="Times New Roman" w:hAnsi="Times New Roman"/>
        </w:rPr>
        <w:t xml:space="preserve"> J386H</w:t>
      </w:r>
      <w:r w:rsidRPr="00CE6E20">
        <w:rPr>
          <w:rFonts w:ascii="Times New Roman" w:hAnsi="Times New Roman"/>
        </w:rPr>
        <w:t xml:space="preserve">) prior to closing the skin with wound clips that were removed 2 weeks post-operatively. Animals received intraperitoneal </w:t>
      </w:r>
      <w:proofErr w:type="spellStart"/>
      <w:r w:rsidRPr="00CE6E20">
        <w:rPr>
          <w:rFonts w:ascii="Times New Roman" w:hAnsi="Times New Roman"/>
        </w:rPr>
        <w:lastRenderedPageBreak/>
        <w:t>Buprenex</w:t>
      </w:r>
      <w:proofErr w:type="spellEnd"/>
      <w:r w:rsidRPr="00CE6E20">
        <w:rPr>
          <w:rFonts w:ascii="Times New Roman" w:hAnsi="Times New Roman"/>
        </w:rPr>
        <w:t xml:space="preserve"> (0.5 mg/kg) and oral Meloxicam (2.0 mg/kg) as analgesia prior to surgery and every 24 hours post-surgery for 3 days</w:t>
      </w:r>
      <w:r>
        <w:rPr>
          <w:rFonts w:ascii="Times New Roman" w:hAnsi="Times New Roman"/>
        </w:rPr>
        <w:t xml:space="preserve"> in total</w:t>
      </w:r>
      <w:r w:rsidRPr="00CE6E20">
        <w:rPr>
          <w:rFonts w:ascii="Times New Roman" w:hAnsi="Times New Roman"/>
        </w:rPr>
        <w:t xml:space="preserve">. </w:t>
      </w:r>
      <w:r>
        <w:rPr>
          <w:rFonts w:ascii="Times New Roman" w:hAnsi="Times New Roman"/>
        </w:rPr>
        <w:t>Host r</w:t>
      </w:r>
      <w:r w:rsidRPr="00CE6E20">
        <w:rPr>
          <w:rFonts w:ascii="Times New Roman" w:hAnsi="Times New Roman"/>
        </w:rPr>
        <w:t>ecipients were syngen</w:t>
      </w:r>
      <w:r>
        <w:rPr>
          <w:rFonts w:ascii="Times New Roman" w:hAnsi="Times New Roman"/>
        </w:rPr>
        <w:t>e</w:t>
      </w:r>
      <w:r w:rsidRPr="00CE6E20">
        <w:rPr>
          <w:rFonts w:ascii="Times New Roman" w:hAnsi="Times New Roman"/>
        </w:rPr>
        <w:t xml:space="preserve">ic with donors. To avoid potential immunogenicity of labeled cells, all transplantation studies used </w:t>
      </w:r>
      <w:r w:rsidRPr="00CE6E20">
        <w:rPr>
          <w:rFonts w:ascii="Times New Roman" w:hAnsi="Times New Roman"/>
          <w:i/>
          <w:iCs/>
        </w:rPr>
        <w:t>MIP</w:t>
      </w:r>
      <w:r>
        <w:rPr>
          <w:rFonts w:ascii="Times New Roman" w:hAnsi="Times New Roman"/>
          <w:i/>
          <w:iCs/>
        </w:rPr>
        <w:t>-GFP</w:t>
      </w:r>
      <w:r w:rsidRPr="00CE6E20">
        <w:rPr>
          <w:rFonts w:ascii="Times New Roman" w:hAnsi="Times New Roman"/>
        </w:rPr>
        <w:t xml:space="preserve"> or </w:t>
      </w:r>
      <w:proofErr w:type="spellStart"/>
      <w:r w:rsidRPr="00CE6E20">
        <w:rPr>
          <w:rFonts w:ascii="Times New Roman" w:hAnsi="Times New Roman"/>
          <w:i/>
          <w:iCs/>
        </w:rPr>
        <w:t>mTmG</w:t>
      </w:r>
      <w:proofErr w:type="spellEnd"/>
      <w:r w:rsidRPr="00CE6E20">
        <w:rPr>
          <w:rFonts w:ascii="Times New Roman" w:hAnsi="Times New Roman"/>
        </w:rPr>
        <w:t xml:space="preserve"> recipients that have baseline immunologic tolerance to GFP variants.  All surgical procedures </w:t>
      </w:r>
      <w:r>
        <w:rPr>
          <w:rFonts w:ascii="Times New Roman" w:hAnsi="Times New Roman"/>
        </w:rPr>
        <w:t xml:space="preserve">were </w:t>
      </w:r>
      <w:r w:rsidRPr="00CE6E20">
        <w:rPr>
          <w:rFonts w:ascii="Times New Roman" w:hAnsi="Times New Roman"/>
        </w:rPr>
        <w:t>approved by the institutional</w:t>
      </w:r>
      <w:r w:rsidRPr="00A56E2C">
        <w:t xml:space="preserve"> </w:t>
      </w:r>
      <w:r w:rsidRPr="00CE6E20">
        <w:rPr>
          <w:rFonts w:ascii="Times New Roman" w:hAnsi="Times New Roman"/>
        </w:rPr>
        <w:t>animal care and use committee at Weill Cornell Medical College.</w:t>
      </w:r>
      <w:r w:rsidRPr="00CE6E20">
        <w:rPr>
          <w:rFonts w:ascii="Times New Roman" w:hAnsi="Times New Roman"/>
          <w:b/>
        </w:rPr>
        <w:t xml:space="preserve"> </w:t>
      </w:r>
    </w:p>
    <w:p w:rsidR="002D744A" w:rsidRPr="00380CF3" w:rsidRDefault="002D744A" w:rsidP="00CE6E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Pr>
          <w:rFonts w:ascii="Times New Roman" w:hAnsi="Times New Roman"/>
          <w:b/>
        </w:rPr>
        <w:t>H</w:t>
      </w:r>
      <w:r w:rsidRPr="00380CF3">
        <w:rPr>
          <w:rFonts w:ascii="Times New Roman" w:hAnsi="Times New Roman"/>
          <w:b/>
        </w:rPr>
        <w:t>igh fat diet</w:t>
      </w:r>
      <w:r>
        <w:rPr>
          <w:rFonts w:ascii="Times New Roman" w:hAnsi="Times New Roman"/>
          <w:b/>
        </w:rPr>
        <w:t xml:space="preserve"> exposure model</w:t>
      </w:r>
      <w:r w:rsidRPr="00380CF3">
        <w:rPr>
          <w:rFonts w:ascii="Times New Roman" w:hAnsi="Times New Roman"/>
          <w:b/>
        </w:rPr>
        <w:t>:</w:t>
      </w:r>
    </w:p>
    <w:p w:rsidR="002D744A" w:rsidRPr="00D16A12" w:rsidRDefault="002D744A" w:rsidP="00A67E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Pr>
          <w:rFonts w:ascii="Times New Roman" w:hAnsi="Times New Roman"/>
        </w:rPr>
        <w:t xml:space="preserve">3-month-old </w:t>
      </w:r>
      <w:proofErr w:type="spellStart"/>
      <w:r w:rsidRPr="00642C35">
        <w:rPr>
          <w:rFonts w:ascii="Times New Roman" w:hAnsi="Times New Roman"/>
          <w:i/>
          <w:iCs/>
        </w:rPr>
        <w:t>mTmG</w:t>
      </w:r>
      <w:proofErr w:type="spellEnd"/>
      <w:r>
        <w:rPr>
          <w:rFonts w:ascii="Times New Roman" w:hAnsi="Times New Roman"/>
          <w:i/>
          <w:iCs/>
        </w:rPr>
        <w:t xml:space="preserve"> </w:t>
      </w:r>
      <w:r w:rsidRPr="00380CF3">
        <w:rPr>
          <w:rFonts w:ascii="Times New Roman" w:hAnsi="Times New Roman"/>
          <w:iCs/>
        </w:rPr>
        <w:t>mice</w:t>
      </w:r>
      <w:r>
        <w:rPr>
          <w:rFonts w:ascii="Times New Roman" w:hAnsi="Times New Roman"/>
          <w:iCs/>
        </w:rPr>
        <w:t xml:space="preserve"> </w:t>
      </w:r>
      <w:proofErr w:type="spellStart"/>
      <w:r>
        <w:rPr>
          <w:rFonts w:ascii="Times New Roman" w:hAnsi="Times New Roman"/>
        </w:rPr>
        <w:t>mice</w:t>
      </w:r>
      <w:proofErr w:type="spellEnd"/>
      <w:r>
        <w:rPr>
          <w:rFonts w:ascii="Times New Roman" w:hAnsi="Times New Roman"/>
          <w:i/>
          <w:iCs/>
        </w:rPr>
        <w:t xml:space="preserve"> </w:t>
      </w:r>
      <w:r w:rsidRPr="00380CF3">
        <w:rPr>
          <w:rFonts w:ascii="Times New Roman" w:hAnsi="Times New Roman"/>
          <w:iCs/>
        </w:rPr>
        <w:t>were fed with</w:t>
      </w:r>
      <w:r>
        <w:rPr>
          <w:rFonts w:ascii="Times New Roman" w:hAnsi="Times New Roman"/>
          <w:iCs/>
        </w:rPr>
        <w:t xml:space="preserve"> high fat diet (HFD, 60% fat; Research Diets 12492i) or a matched control low fat diet (LFD, 10% fat; Research Diets 12450J) for up to 3 months. Animals were left undisturbed and cages were changed once a week.  Fresh food and water were provided each time during cage changes, and body weight was regularly monitored. Animals were euthanized </w:t>
      </w:r>
      <w:r w:rsidRPr="00BB7ADC">
        <w:rPr>
          <w:rFonts w:ascii="Times New Roman" w:hAnsi="Times New Roman"/>
        </w:rPr>
        <w:t>by CO</w:t>
      </w:r>
      <w:r w:rsidRPr="00BB7ADC">
        <w:rPr>
          <w:rFonts w:ascii="Times New Roman" w:hAnsi="Times New Roman"/>
          <w:vertAlign w:val="subscript"/>
        </w:rPr>
        <w:t>2</w:t>
      </w:r>
      <w:r>
        <w:rPr>
          <w:rFonts w:ascii="Times New Roman" w:hAnsi="Times New Roman"/>
          <w:vertAlign w:val="subscript"/>
        </w:rPr>
        <w:t xml:space="preserve"> </w:t>
      </w:r>
      <w:r>
        <w:rPr>
          <w:rFonts w:ascii="Times New Roman" w:hAnsi="Times New Roman"/>
        </w:rPr>
        <w:t>narcosis and femur samples were harvested at 4 and 10 weeks after diet exposure. Skeletal cells were isolated for FACS analysis as described below. Additionally, 3-month-old</w:t>
      </w:r>
      <w:r w:rsidRPr="00A67EB1">
        <w:rPr>
          <w:rFonts w:ascii="Times New Roman" w:hAnsi="Times New Roman"/>
        </w:rPr>
        <w:t xml:space="preserve"> </w:t>
      </w:r>
      <w:r w:rsidRPr="001775C4">
        <w:rPr>
          <w:rFonts w:ascii="Times New Roman" w:hAnsi="Times New Roman"/>
          <w:i/>
        </w:rPr>
        <w:t>MIP</w:t>
      </w:r>
      <w:r>
        <w:rPr>
          <w:rFonts w:ascii="Times New Roman" w:hAnsi="Times New Roman"/>
          <w:i/>
        </w:rPr>
        <w:t>-GFP</w:t>
      </w:r>
      <w:r>
        <w:rPr>
          <w:rFonts w:ascii="Times New Roman" w:hAnsi="Times New Roman"/>
        </w:rPr>
        <w:t xml:space="preserve"> male </w:t>
      </w:r>
      <w:r w:rsidRPr="00A67EB1">
        <w:rPr>
          <w:rFonts w:ascii="Times New Roman" w:hAnsi="Times New Roman"/>
        </w:rPr>
        <w:t xml:space="preserve">mice underwent </w:t>
      </w:r>
      <w:r>
        <w:rPr>
          <w:rFonts w:ascii="Times New Roman" w:hAnsi="Times New Roman"/>
        </w:rPr>
        <w:t xml:space="preserve">cell implantation into the </w:t>
      </w:r>
      <w:r w:rsidRPr="00A67EB1">
        <w:rPr>
          <w:rFonts w:ascii="Times New Roman" w:hAnsi="Times New Roman"/>
        </w:rPr>
        <w:t xml:space="preserve">kidney capsule </w:t>
      </w:r>
      <w:r>
        <w:rPr>
          <w:rFonts w:ascii="Times New Roman" w:hAnsi="Times New Roman"/>
        </w:rPr>
        <w:t>one week</w:t>
      </w:r>
      <w:r w:rsidRPr="00A67EB1">
        <w:rPr>
          <w:rFonts w:ascii="Times New Roman" w:hAnsi="Times New Roman"/>
        </w:rPr>
        <w:t xml:space="preserve"> </w:t>
      </w:r>
      <w:r>
        <w:rPr>
          <w:rFonts w:ascii="Times New Roman" w:hAnsi="Times New Roman"/>
        </w:rPr>
        <w:t>after exposure to LFD or HFD. A 5 µ</w:t>
      </w:r>
      <w:r w:rsidRPr="00A67EB1">
        <w:rPr>
          <w:rFonts w:ascii="Times New Roman" w:hAnsi="Times New Roman"/>
        </w:rPr>
        <w:t>l matrig</w:t>
      </w:r>
      <w:r>
        <w:rPr>
          <w:rFonts w:ascii="Times New Roman" w:hAnsi="Times New Roman"/>
        </w:rPr>
        <w:t>el plug</w:t>
      </w:r>
      <w:r w:rsidRPr="00A67EB1">
        <w:rPr>
          <w:rFonts w:ascii="Times New Roman" w:hAnsi="Times New Roman"/>
        </w:rPr>
        <w:t xml:space="preserve"> </w:t>
      </w:r>
      <w:r>
        <w:rPr>
          <w:rFonts w:ascii="Times New Roman" w:hAnsi="Times New Roman"/>
        </w:rPr>
        <w:t>containing the</w:t>
      </w:r>
      <w:r w:rsidRPr="00A67EB1">
        <w:rPr>
          <w:rFonts w:ascii="Times New Roman" w:hAnsi="Times New Roman"/>
        </w:rPr>
        <w:t xml:space="preserve"> cells</w:t>
      </w:r>
      <w:r>
        <w:rPr>
          <w:rFonts w:ascii="Times New Roman" w:hAnsi="Times New Roman"/>
        </w:rPr>
        <w:t xml:space="preserve"> of interest</w:t>
      </w:r>
      <w:r w:rsidRPr="00A67EB1">
        <w:rPr>
          <w:rFonts w:ascii="Times New Roman" w:hAnsi="Times New Roman"/>
        </w:rPr>
        <w:t xml:space="preserve"> was </w:t>
      </w:r>
      <w:r>
        <w:rPr>
          <w:rFonts w:ascii="Times New Roman" w:hAnsi="Times New Roman"/>
        </w:rPr>
        <w:t>inserted</w:t>
      </w:r>
      <w:r w:rsidRPr="00A67EB1">
        <w:rPr>
          <w:rFonts w:ascii="Times New Roman" w:hAnsi="Times New Roman"/>
        </w:rPr>
        <w:t xml:space="preserve"> underneath</w:t>
      </w:r>
      <w:r>
        <w:rPr>
          <w:rFonts w:ascii="Times New Roman" w:hAnsi="Times New Roman"/>
        </w:rPr>
        <w:t xml:space="preserve"> the capsule</w:t>
      </w:r>
      <w:r w:rsidRPr="00A67EB1">
        <w:rPr>
          <w:rFonts w:ascii="Times New Roman" w:hAnsi="Times New Roman"/>
        </w:rPr>
        <w:t>.</w:t>
      </w:r>
      <w:r>
        <w:rPr>
          <w:rFonts w:ascii="Times New Roman" w:hAnsi="Times New Roman"/>
        </w:rPr>
        <w:t xml:space="preserve"> </w:t>
      </w:r>
      <w:r>
        <w:rPr>
          <w:rFonts w:ascii="Times New Roman" w:hAnsi="Times New Roman"/>
          <w:szCs w:val="24"/>
        </w:rPr>
        <w:t>Animals were regularly fed with LFD or HFD up to 12 weeks after surgery.  Mice were then euthanized by CO</w:t>
      </w:r>
      <w:r>
        <w:rPr>
          <w:rFonts w:ascii="Times New Roman" w:hAnsi="Times New Roman"/>
          <w:szCs w:val="24"/>
          <w:vertAlign w:val="subscript"/>
        </w:rPr>
        <w:t>2</w:t>
      </w:r>
      <w:r>
        <w:rPr>
          <w:rFonts w:ascii="Times New Roman" w:hAnsi="Times New Roman"/>
          <w:szCs w:val="24"/>
        </w:rPr>
        <w:t xml:space="preserve"> and both kidney and femur samples of the recipient mice were collected, fixed and processed as described below. </w:t>
      </w:r>
    </w:p>
    <w:p w:rsidR="002D744A" w:rsidRDefault="002D744A" w:rsidP="00CE6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sidRPr="00A67EB1">
        <w:rPr>
          <w:rFonts w:ascii="Times New Roman" w:hAnsi="Times New Roman"/>
          <w:b/>
        </w:rPr>
        <w:t xml:space="preserve">Kidney capsule transplantation: </w:t>
      </w:r>
    </w:p>
    <w:p w:rsidR="002D744A" w:rsidRPr="00C7441C" w:rsidRDefault="002D744A" w:rsidP="00FE19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szCs w:val="24"/>
        </w:rPr>
      </w:pPr>
      <w:r w:rsidRPr="00A67EB1">
        <w:rPr>
          <w:rFonts w:ascii="Times New Roman" w:hAnsi="Times New Roman"/>
        </w:rPr>
        <w:t>Kidney capsule transplantation w</w:t>
      </w:r>
      <w:r>
        <w:rPr>
          <w:rFonts w:ascii="Times New Roman" w:hAnsi="Times New Roman"/>
        </w:rPr>
        <w:t>as</w:t>
      </w:r>
      <w:r w:rsidRPr="00A67EB1">
        <w:rPr>
          <w:rFonts w:ascii="Times New Roman" w:hAnsi="Times New Roman"/>
        </w:rPr>
        <w:t xml:space="preserve"> </w:t>
      </w:r>
      <w:r>
        <w:rPr>
          <w:rFonts w:ascii="Times New Roman" w:hAnsi="Times New Roman"/>
        </w:rPr>
        <w:t>performed</w:t>
      </w:r>
      <w:r w:rsidRPr="00A67EB1">
        <w:rPr>
          <w:rFonts w:ascii="Times New Roman" w:hAnsi="Times New Roman"/>
        </w:rPr>
        <w:t xml:space="preserve"> </w:t>
      </w:r>
      <w:r>
        <w:rPr>
          <w:rFonts w:ascii="Times New Roman" w:hAnsi="Times New Roman"/>
        </w:rPr>
        <w:t xml:space="preserve">in 8-12 week old </w:t>
      </w:r>
      <w:r w:rsidRPr="00380CF3">
        <w:rPr>
          <w:rFonts w:ascii="Times New Roman" w:hAnsi="Times New Roman"/>
          <w:i/>
        </w:rPr>
        <w:t>MI</w:t>
      </w:r>
      <w:r>
        <w:rPr>
          <w:rFonts w:ascii="Times New Roman" w:hAnsi="Times New Roman"/>
          <w:i/>
        </w:rPr>
        <w:t>P-GFP</w:t>
      </w:r>
      <w:r>
        <w:rPr>
          <w:rFonts w:ascii="Times New Roman" w:hAnsi="Times New Roman"/>
        </w:rPr>
        <w:t xml:space="preserve"> male mice </w:t>
      </w:r>
      <w:r w:rsidRPr="00A67EB1">
        <w:rPr>
          <w:rFonts w:ascii="Times New Roman" w:hAnsi="Times New Roman"/>
        </w:rPr>
        <w:t xml:space="preserve">as previously described </w:t>
      </w:r>
      <w:r w:rsidRPr="00BE4E0B">
        <w:rPr>
          <w:rFonts w:ascii="Times New Roman" w:hAnsi="Times New Roman"/>
          <w:noProof/>
          <w:vertAlign w:val="superscript"/>
        </w:rPr>
        <w:t>44</w:t>
      </w:r>
      <w:r w:rsidRPr="00A67EB1">
        <w:rPr>
          <w:rFonts w:ascii="Times New Roman" w:hAnsi="Times New Roman"/>
        </w:rPr>
        <w:t>. A 1 cm incision was made left of the dorsal midline through the skin and visceral lining. After the kidney was exposed</w:t>
      </w:r>
      <w:r>
        <w:rPr>
          <w:rFonts w:ascii="Times New Roman" w:hAnsi="Times New Roman"/>
        </w:rPr>
        <w:t>,</w:t>
      </w:r>
      <w:r w:rsidRPr="00A67EB1">
        <w:rPr>
          <w:rFonts w:ascii="Times New Roman" w:hAnsi="Times New Roman"/>
        </w:rPr>
        <w:t xml:space="preserve"> a 2 mm incision was made in the capsule and a 5 </w:t>
      </w:r>
      <w:r>
        <w:rPr>
          <w:rFonts w:ascii="Times New Roman" w:hAnsi="Times New Roman"/>
        </w:rPr>
        <w:t>µ</w:t>
      </w:r>
      <w:r w:rsidRPr="00A67EB1">
        <w:rPr>
          <w:rFonts w:ascii="Times New Roman" w:hAnsi="Times New Roman"/>
        </w:rPr>
        <w:t xml:space="preserve">l matrigel plug (Corning, cat no 356231) </w:t>
      </w:r>
      <w:r>
        <w:rPr>
          <w:rFonts w:ascii="Times New Roman" w:hAnsi="Times New Roman"/>
        </w:rPr>
        <w:t>containing the</w:t>
      </w:r>
      <w:r w:rsidRPr="00A67EB1">
        <w:rPr>
          <w:rFonts w:ascii="Times New Roman" w:hAnsi="Times New Roman"/>
        </w:rPr>
        <w:t xml:space="preserve"> cells</w:t>
      </w:r>
      <w:r>
        <w:rPr>
          <w:rFonts w:ascii="Times New Roman" w:hAnsi="Times New Roman"/>
        </w:rPr>
        <w:t xml:space="preserve"> of interest</w:t>
      </w:r>
      <w:r w:rsidRPr="00A67EB1">
        <w:rPr>
          <w:rFonts w:ascii="Times New Roman" w:hAnsi="Times New Roman"/>
        </w:rPr>
        <w:t xml:space="preserve"> was </w:t>
      </w:r>
      <w:r>
        <w:rPr>
          <w:rFonts w:ascii="Times New Roman" w:hAnsi="Times New Roman"/>
        </w:rPr>
        <w:t>inserted</w:t>
      </w:r>
      <w:r w:rsidRPr="00A67EB1">
        <w:rPr>
          <w:rFonts w:ascii="Times New Roman" w:hAnsi="Times New Roman"/>
        </w:rPr>
        <w:t xml:space="preserve"> </w:t>
      </w:r>
      <w:r w:rsidRPr="00A67EB1">
        <w:rPr>
          <w:rFonts w:ascii="Times New Roman" w:hAnsi="Times New Roman"/>
        </w:rPr>
        <w:lastRenderedPageBreak/>
        <w:t>underneath</w:t>
      </w:r>
      <w:r>
        <w:rPr>
          <w:rFonts w:ascii="Times New Roman" w:hAnsi="Times New Roman"/>
        </w:rPr>
        <w:t xml:space="preserve"> the capsule</w:t>
      </w:r>
      <w:r w:rsidRPr="00A67EB1">
        <w:rPr>
          <w:rFonts w:ascii="Times New Roman" w:hAnsi="Times New Roman"/>
        </w:rPr>
        <w:t xml:space="preserve">. </w:t>
      </w:r>
      <w:r>
        <w:rPr>
          <w:rFonts w:ascii="Times New Roman" w:hAnsi="Times New Roman"/>
        </w:rPr>
        <w:t xml:space="preserve">Approximately 15-20 donor mice were sacrificed to harvest the desired number of SSCs (skeletal stem cells) for every organoid based transplantation experiment. </w:t>
      </w:r>
      <w:r w:rsidRPr="00A67EB1">
        <w:rPr>
          <w:rFonts w:ascii="Times New Roman" w:hAnsi="Times New Roman"/>
        </w:rPr>
        <w:t xml:space="preserve">The </w:t>
      </w:r>
      <w:r>
        <w:rPr>
          <w:rFonts w:ascii="Times New Roman" w:hAnsi="Times New Roman"/>
        </w:rPr>
        <w:t>incision</w:t>
      </w:r>
      <w:r w:rsidRPr="00A67EB1">
        <w:rPr>
          <w:rFonts w:ascii="Times New Roman" w:hAnsi="Times New Roman"/>
        </w:rPr>
        <w:t xml:space="preserve"> in the capsule was sealed using a</w:t>
      </w:r>
      <w:r>
        <w:rPr>
          <w:rFonts w:ascii="Times New Roman" w:hAnsi="Times New Roman"/>
        </w:rPr>
        <w:t>n electro</w:t>
      </w:r>
      <w:r w:rsidRPr="00A67EB1">
        <w:rPr>
          <w:rFonts w:ascii="Times New Roman" w:hAnsi="Times New Roman"/>
        </w:rPr>
        <w:t>cauter</w:t>
      </w:r>
      <w:r>
        <w:rPr>
          <w:rFonts w:ascii="Times New Roman" w:hAnsi="Times New Roman"/>
        </w:rPr>
        <w:t>y</w:t>
      </w:r>
      <w:r w:rsidRPr="00A67EB1">
        <w:rPr>
          <w:rFonts w:ascii="Times New Roman" w:hAnsi="Times New Roman"/>
        </w:rPr>
        <w:t xml:space="preserve"> </w:t>
      </w:r>
      <w:r>
        <w:rPr>
          <w:rFonts w:ascii="Times New Roman" w:hAnsi="Times New Roman"/>
        </w:rPr>
        <w:t xml:space="preserve">probe </w:t>
      </w:r>
      <w:r w:rsidRPr="00A67EB1">
        <w:rPr>
          <w:rFonts w:ascii="Times New Roman" w:hAnsi="Times New Roman"/>
        </w:rPr>
        <w:t xml:space="preserve">prior to </w:t>
      </w:r>
      <w:r>
        <w:rPr>
          <w:rFonts w:ascii="Times New Roman" w:hAnsi="Times New Roman"/>
        </w:rPr>
        <w:t>reducing</w:t>
      </w:r>
      <w:r w:rsidRPr="00A67EB1">
        <w:rPr>
          <w:rFonts w:ascii="Times New Roman" w:hAnsi="Times New Roman"/>
        </w:rPr>
        <w:t xml:space="preserve"> the kidney back in</w:t>
      </w:r>
      <w:r>
        <w:rPr>
          <w:rFonts w:ascii="Times New Roman" w:hAnsi="Times New Roman"/>
        </w:rPr>
        <w:t xml:space="preserve">to its </w:t>
      </w:r>
      <w:r w:rsidRPr="002E10F4">
        <w:rPr>
          <w:rFonts w:ascii="Times New Roman" w:hAnsi="Times New Roman"/>
        </w:rPr>
        <w:t>native</w:t>
      </w:r>
      <w:r>
        <w:rPr>
          <w:rFonts w:ascii="Times New Roman" w:hAnsi="Times New Roman"/>
        </w:rPr>
        <w:t xml:space="preserve"> location</w:t>
      </w:r>
      <w:r w:rsidRPr="00A67EB1">
        <w:rPr>
          <w:rFonts w:ascii="Times New Roman" w:hAnsi="Times New Roman"/>
        </w:rPr>
        <w:t xml:space="preserve">. The </w:t>
      </w:r>
      <w:r>
        <w:rPr>
          <w:rFonts w:ascii="Times New Roman" w:hAnsi="Times New Roman"/>
        </w:rPr>
        <w:t xml:space="preserve">skin </w:t>
      </w:r>
      <w:r w:rsidRPr="00A67EB1">
        <w:rPr>
          <w:rFonts w:ascii="Times New Roman" w:hAnsi="Times New Roman"/>
        </w:rPr>
        <w:t xml:space="preserve">incision </w:t>
      </w:r>
      <w:r>
        <w:rPr>
          <w:rFonts w:ascii="Times New Roman" w:hAnsi="Times New Roman"/>
        </w:rPr>
        <w:t>was then</w:t>
      </w:r>
      <w:r w:rsidRPr="00A67EB1">
        <w:rPr>
          <w:rFonts w:ascii="Times New Roman" w:hAnsi="Times New Roman"/>
        </w:rPr>
        <w:t xml:space="preserve"> closed with absorbable sutures and surgical staples. </w:t>
      </w:r>
      <w:r>
        <w:rPr>
          <w:rFonts w:ascii="Times New Roman" w:hAnsi="Times New Roman"/>
          <w:szCs w:val="24"/>
        </w:rPr>
        <w:t>Animals were euthanized by CO</w:t>
      </w:r>
      <w:r>
        <w:rPr>
          <w:rFonts w:ascii="Times New Roman" w:hAnsi="Times New Roman"/>
          <w:szCs w:val="24"/>
          <w:vertAlign w:val="subscript"/>
        </w:rPr>
        <w:t>2</w:t>
      </w:r>
      <w:r>
        <w:rPr>
          <w:rFonts w:ascii="Times New Roman" w:hAnsi="Times New Roman"/>
          <w:szCs w:val="24"/>
        </w:rPr>
        <w:t xml:space="preserve"> narcosis 12-16 weeks after surgery. Post euthanasia, kidney transplants were harvested, fixed with 4% PFA for 4 hours, and washed 3 times with PBS. Bone formation within the kidney graft was detected by micro-CT. Samples were subjected to infiltration, embedding and sectioning as described below. Hematoxylin &amp; Eosin (H&amp;E), Von Kossa staining, immunohistochemistry and </w:t>
      </w:r>
      <w:proofErr w:type="spellStart"/>
      <w:r>
        <w:rPr>
          <w:rFonts w:ascii="Times New Roman" w:hAnsi="Times New Roman"/>
          <w:szCs w:val="24"/>
        </w:rPr>
        <w:t>LipidTox</w:t>
      </w:r>
      <w:proofErr w:type="spellEnd"/>
      <w:r>
        <w:rPr>
          <w:rFonts w:ascii="Times New Roman" w:hAnsi="Times New Roman"/>
          <w:szCs w:val="24"/>
        </w:rPr>
        <w:t xml:space="preserve"> staining were performed to detect bone and adipose tissue generation within the graft. </w:t>
      </w:r>
    </w:p>
    <w:p w:rsidR="002D744A" w:rsidRDefault="002D744A" w:rsidP="00A67E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A67EB1">
        <w:rPr>
          <w:rFonts w:ascii="Times New Roman" w:hAnsi="Times New Roman"/>
          <w:b/>
        </w:rPr>
        <w:t>Ovariectomy:</w:t>
      </w:r>
      <w:r w:rsidRPr="00A67EB1">
        <w:rPr>
          <w:rFonts w:ascii="Times New Roman" w:hAnsi="Times New Roman"/>
        </w:rPr>
        <w:t xml:space="preserve"> </w:t>
      </w:r>
    </w:p>
    <w:p w:rsidR="002D744A" w:rsidRDefault="002D744A" w:rsidP="00A67E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szCs w:val="24"/>
        </w:rPr>
      </w:pPr>
      <w:r w:rsidRPr="00A67EB1">
        <w:rPr>
          <w:rFonts w:ascii="Times New Roman" w:hAnsi="Times New Roman"/>
        </w:rPr>
        <w:t xml:space="preserve">Ovariectomy was performed </w:t>
      </w:r>
      <w:r>
        <w:rPr>
          <w:rFonts w:ascii="Times New Roman" w:hAnsi="Times New Roman"/>
        </w:rPr>
        <w:t xml:space="preserve">in 3-month-old </w:t>
      </w:r>
      <w:proofErr w:type="spellStart"/>
      <w:r w:rsidRPr="001775C4">
        <w:rPr>
          <w:rFonts w:ascii="Times New Roman" w:hAnsi="Times New Roman"/>
          <w:i/>
        </w:rPr>
        <w:t>mTmG</w:t>
      </w:r>
      <w:proofErr w:type="spellEnd"/>
      <w:r>
        <w:rPr>
          <w:rFonts w:ascii="Times New Roman" w:hAnsi="Times New Roman"/>
        </w:rPr>
        <w:t xml:space="preserve"> female mice </w:t>
      </w:r>
      <w:r w:rsidRPr="00A67EB1">
        <w:rPr>
          <w:rFonts w:ascii="Times New Roman" w:hAnsi="Times New Roman"/>
        </w:rPr>
        <w:t>following standard procedures</w:t>
      </w:r>
      <w:r w:rsidRPr="00BE4E0B">
        <w:rPr>
          <w:rFonts w:ascii="Times New Roman" w:hAnsi="Times New Roman"/>
          <w:noProof/>
          <w:vertAlign w:val="superscript"/>
        </w:rPr>
        <w:t>45</w:t>
      </w:r>
      <w:r w:rsidRPr="00A67EB1">
        <w:rPr>
          <w:rFonts w:ascii="Times New Roman" w:hAnsi="Times New Roman"/>
        </w:rPr>
        <w:t>. In brief, a 1 cm incision was made left or right of the dorsal midline through the skin and visceral lining. The ovary and attached fat were exposed and a</w:t>
      </w:r>
      <w:r>
        <w:rPr>
          <w:rFonts w:ascii="Times New Roman" w:hAnsi="Times New Roman"/>
        </w:rPr>
        <w:t>n</w:t>
      </w:r>
      <w:r w:rsidRPr="00A67EB1">
        <w:rPr>
          <w:rFonts w:ascii="Times New Roman" w:hAnsi="Times New Roman"/>
        </w:rPr>
        <w:t xml:space="preserve"> </w:t>
      </w:r>
      <w:r>
        <w:rPr>
          <w:rFonts w:ascii="Times New Roman" w:hAnsi="Times New Roman"/>
        </w:rPr>
        <w:t>electro</w:t>
      </w:r>
      <w:r w:rsidRPr="00A67EB1">
        <w:rPr>
          <w:rFonts w:ascii="Times New Roman" w:hAnsi="Times New Roman"/>
        </w:rPr>
        <w:t>cauter</w:t>
      </w:r>
      <w:r>
        <w:rPr>
          <w:rFonts w:ascii="Times New Roman" w:hAnsi="Times New Roman"/>
        </w:rPr>
        <w:t>y</w:t>
      </w:r>
      <w:r w:rsidRPr="00A67EB1">
        <w:rPr>
          <w:rFonts w:ascii="Times New Roman" w:hAnsi="Times New Roman"/>
        </w:rPr>
        <w:t xml:space="preserve"> </w:t>
      </w:r>
      <w:r>
        <w:rPr>
          <w:rFonts w:ascii="Times New Roman" w:hAnsi="Times New Roman"/>
        </w:rPr>
        <w:t xml:space="preserve">probe </w:t>
      </w:r>
      <w:r w:rsidRPr="00A67EB1">
        <w:rPr>
          <w:rFonts w:ascii="Times New Roman" w:hAnsi="Times New Roman"/>
        </w:rPr>
        <w:t xml:space="preserve">was used to detach the ovary from the fallopian tube. After dissecting out the ovary, incisions were closed with absorbable sutures and surgical staples. The same procedure was then </w:t>
      </w:r>
      <w:r>
        <w:rPr>
          <w:rFonts w:ascii="Times New Roman" w:hAnsi="Times New Roman"/>
        </w:rPr>
        <w:t>performed</w:t>
      </w:r>
      <w:r w:rsidRPr="00A67EB1">
        <w:rPr>
          <w:rFonts w:ascii="Times New Roman" w:hAnsi="Times New Roman"/>
        </w:rPr>
        <w:t xml:space="preserve"> on the other side of the dorsal midline</w:t>
      </w:r>
      <w:r>
        <w:rPr>
          <w:rFonts w:ascii="Times New Roman" w:hAnsi="Times New Roman"/>
        </w:rPr>
        <w:t xml:space="preserve"> to remove the contralateral ovary</w:t>
      </w:r>
      <w:r w:rsidRPr="00A67EB1">
        <w:rPr>
          <w:rFonts w:ascii="Times New Roman" w:hAnsi="Times New Roman"/>
        </w:rPr>
        <w:t xml:space="preserve">. </w:t>
      </w:r>
      <w:r>
        <w:rPr>
          <w:rFonts w:ascii="Times New Roman" w:hAnsi="Times New Roman"/>
        </w:rPr>
        <w:t xml:space="preserve">Femur samples were harvested from overiectomized mice at 2, 4, 6 and 9 weeks after surgery, and skeletal cells were isolated for FACS analysis. </w:t>
      </w:r>
      <w:r w:rsidRPr="00A67EB1">
        <w:rPr>
          <w:rFonts w:ascii="Times New Roman" w:hAnsi="Times New Roman"/>
        </w:rPr>
        <w:t xml:space="preserve">A subset of </w:t>
      </w:r>
      <w:r w:rsidRPr="001775C4">
        <w:rPr>
          <w:rFonts w:ascii="Times New Roman" w:hAnsi="Times New Roman"/>
          <w:i/>
        </w:rPr>
        <w:t>MIP</w:t>
      </w:r>
      <w:r>
        <w:rPr>
          <w:rFonts w:ascii="Times New Roman" w:hAnsi="Times New Roman"/>
          <w:i/>
        </w:rPr>
        <w:t>-GFP</w:t>
      </w:r>
      <w:r w:rsidRPr="00A67EB1" w:rsidDel="007B541F">
        <w:rPr>
          <w:rFonts w:ascii="Times New Roman" w:hAnsi="Times New Roman"/>
        </w:rPr>
        <w:t xml:space="preserve"> </w:t>
      </w:r>
      <w:r>
        <w:rPr>
          <w:rFonts w:ascii="Times New Roman" w:hAnsi="Times New Roman"/>
        </w:rPr>
        <w:t>ove</w:t>
      </w:r>
      <w:r w:rsidRPr="00A67EB1">
        <w:rPr>
          <w:rFonts w:ascii="Times New Roman" w:hAnsi="Times New Roman"/>
        </w:rPr>
        <w:t xml:space="preserve">riectomized </w:t>
      </w:r>
      <w:r>
        <w:rPr>
          <w:rFonts w:ascii="Times New Roman" w:hAnsi="Times New Roman"/>
        </w:rPr>
        <w:t xml:space="preserve">female </w:t>
      </w:r>
      <w:r w:rsidRPr="00A67EB1">
        <w:rPr>
          <w:rFonts w:ascii="Times New Roman" w:hAnsi="Times New Roman"/>
        </w:rPr>
        <w:t>mice underwent kidney capsule transplant</w:t>
      </w:r>
      <w:r>
        <w:rPr>
          <w:rFonts w:ascii="Times New Roman" w:hAnsi="Times New Roman"/>
        </w:rPr>
        <w:t>ation</w:t>
      </w:r>
      <w:r w:rsidRPr="00A67EB1">
        <w:rPr>
          <w:rFonts w:ascii="Times New Roman" w:hAnsi="Times New Roman"/>
        </w:rPr>
        <w:t xml:space="preserve"> two weeks post ovariectomy</w:t>
      </w:r>
      <w:r>
        <w:rPr>
          <w:rFonts w:ascii="Times New Roman" w:hAnsi="Times New Roman"/>
        </w:rPr>
        <w:t xml:space="preserve"> where a 5 µ</w:t>
      </w:r>
      <w:r w:rsidRPr="00A67EB1">
        <w:rPr>
          <w:rFonts w:ascii="Times New Roman" w:hAnsi="Times New Roman"/>
        </w:rPr>
        <w:t>l matrig</w:t>
      </w:r>
      <w:r>
        <w:rPr>
          <w:rFonts w:ascii="Times New Roman" w:hAnsi="Times New Roman"/>
        </w:rPr>
        <w:t>el plug</w:t>
      </w:r>
      <w:r w:rsidRPr="00A67EB1">
        <w:rPr>
          <w:rFonts w:ascii="Times New Roman" w:hAnsi="Times New Roman"/>
        </w:rPr>
        <w:t xml:space="preserve"> </w:t>
      </w:r>
      <w:r>
        <w:rPr>
          <w:rFonts w:ascii="Times New Roman" w:hAnsi="Times New Roman"/>
        </w:rPr>
        <w:t>containing the</w:t>
      </w:r>
      <w:r w:rsidRPr="00A67EB1">
        <w:rPr>
          <w:rFonts w:ascii="Times New Roman" w:hAnsi="Times New Roman"/>
        </w:rPr>
        <w:t xml:space="preserve"> cells</w:t>
      </w:r>
      <w:r>
        <w:rPr>
          <w:rFonts w:ascii="Times New Roman" w:hAnsi="Times New Roman"/>
        </w:rPr>
        <w:t xml:space="preserve"> of interest</w:t>
      </w:r>
      <w:r w:rsidRPr="00A67EB1">
        <w:rPr>
          <w:rFonts w:ascii="Times New Roman" w:hAnsi="Times New Roman"/>
        </w:rPr>
        <w:t xml:space="preserve"> was </w:t>
      </w:r>
      <w:r>
        <w:rPr>
          <w:rFonts w:ascii="Times New Roman" w:hAnsi="Times New Roman"/>
        </w:rPr>
        <w:t>inserted</w:t>
      </w:r>
      <w:r w:rsidRPr="00A67EB1">
        <w:rPr>
          <w:rFonts w:ascii="Times New Roman" w:hAnsi="Times New Roman"/>
        </w:rPr>
        <w:t xml:space="preserve"> underneath</w:t>
      </w:r>
      <w:r>
        <w:rPr>
          <w:rFonts w:ascii="Times New Roman" w:hAnsi="Times New Roman"/>
        </w:rPr>
        <w:t xml:space="preserve"> the kidney capsule</w:t>
      </w:r>
      <w:r w:rsidRPr="00A67EB1">
        <w:rPr>
          <w:rFonts w:ascii="Times New Roman" w:hAnsi="Times New Roman"/>
        </w:rPr>
        <w:t>.</w:t>
      </w:r>
      <w:r>
        <w:rPr>
          <w:rFonts w:ascii="Times New Roman" w:hAnsi="Times New Roman"/>
        </w:rPr>
        <w:t xml:space="preserve"> </w:t>
      </w:r>
      <w:r>
        <w:rPr>
          <w:rFonts w:ascii="Times New Roman" w:hAnsi="Times New Roman"/>
          <w:szCs w:val="24"/>
        </w:rPr>
        <w:t>Animals were euthanized by CO</w:t>
      </w:r>
      <w:r>
        <w:rPr>
          <w:rFonts w:ascii="Times New Roman" w:hAnsi="Times New Roman"/>
          <w:szCs w:val="24"/>
          <w:vertAlign w:val="subscript"/>
        </w:rPr>
        <w:t>2</w:t>
      </w:r>
      <w:r>
        <w:rPr>
          <w:rFonts w:ascii="Times New Roman" w:hAnsi="Times New Roman"/>
          <w:szCs w:val="24"/>
        </w:rPr>
        <w:t xml:space="preserve"> narcosis 12 weeks after surgery and both kidney and femur samples of the recipient mice were harvested, fixed and processed as described. In a separate </w:t>
      </w:r>
      <w:r>
        <w:rPr>
          <w:rFonts w:ascii="Times New Roman" w:hAnsi="Times New Roman"/>
          <w:szCs w:val="24"/>
        </w:rPr>
        <w:lastRenderedPageBreak/>
        <w:t xml:space="preserve">experiment, different subsets of skeletal stem cells were isolated by FACS from femurs of mice 9 weeks post ovariectomy and then transplanted into the kidney capsule of </w:t>
      </w:r>
      <w:r>
        <w:rPr>
          <w:rFonts w:ascii="Times New Roman" w:hAnsi="Times New Roman"/>
        </w:rPr>
        <w:t xml:space="preserve">8-10-week-old </w:t>
      </w:r>
      <w:r w:rsidRPr="000B07DB">
        <w:rPr>
          <w:rFonts w:ascii="Times New Roman" w:hAnsi="Times New Roman"/>
          <w:i/>
        </w:rPr>
        <w:t>MIP</w:t>
      </w:r>
      <w:r>
        <w:rPr>
          <w:rFonts w:ascii="Times New Roman" w:hAnsi="Times New Roman"/>
          <w:i/>
        </w:rPr>
        <w:t>-GFP</w:t>
      </w:r>
      <w:r>
        <w:rPr>
          <w:rFonts w:ascii="Times New Roman" w:hAnsi="Times New Roman"/>
        </w:rPr>
        <w:t xml:space="preserve"> male host mice</w:t>
      </w:r>
      <w:r>
        <w:rPr>
          <w:rFonts w:ascii="Times New Roman" w:hAnsi="Times New Roman"/>
          <w:szCs w:val="24"/>
        </w:rPr>
        <w:t xml:space="preserve">. Kidney samples were harvested 12 weeks after surgery, fixed and processed as described. </w:t>
      </w:r>
    </w:p>
    <w:p w:rsidR="002D744A" w:rsidRDefault="002D744A" w:rsidP="005402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sidRPr="00BB7ADC">
        <w:rPr>
          <w:rFonts w:ascii="Times New Roman" w:hAnsi="Times New Roman"/>
          <w:b/>
        </w:rPr>
        <w:t xml:space="preserve">Femur fracture: </w:t>
      </w:r>
    </w:p>
    <w:p w:rsidR="002D744A" w:rsidRPr="00424009" w:rsidRDefault="002D744A" w:rsidP="00A67E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BB7ADC">
        <w:rPr>
          <w:rFonts w:ascii="Times New Roman" w:hAnsi="Times New Roman"/>
        </w:rPr>
        <w:t xml:space="preserve">Femur fractures were </w:t>
      </w:r>
      <w:r>
        <w:rPr>
          <w:rFonts w:ascii="Times New Roman" w:hAnsi="Times New Roman"/>
        </w:rPr>
        <w:t>performed</w:t>
      </w:r>
      <w:r w:rsidRPr="00BB7ADC">
        <w:rPr>
          <w:rFonts w:ascii="Times New Roman" w:hAnsi="Times New Roman"/>
        </w:rPr>
        <w:t xml:space="preserve"> as previously described </w:t>
      </w:r>
      <w:r w:rsidRPr="00BE4E0B">
        <w:rPr>
          <w:rFonts w:ascii="Times New Roman" w:hAnsi="Times New Roman"/>
          <w:noProof/>
          <w:vertAlign w:val="superscript"/>
        </w:rPr>
        <w:t>44</w:t>
      </w:r>
      <w:r w:rsidRPr="00BB7ADC">
        <w:rPr>
          <w:rFonts w:ascii="Times New Roman" w:hAnsi="Times New Roman"/>
        </w:rPr>
        <w:t>. The femur and patella of the right anterolateral femur were exposed</w:t>
      </w:r>
      <w:r>
        <w:rPr>
          <w:rFonts w:ascii="Times New Roman" w:hAnsi="Times New Roman"/>
        </w:rPr>
        <w:t>,</w:t>
      </w:r>
      <w:r w:rsidRPr="00BB7ADC">
        <w:rPr>
          <w:rFonts w:ascii="Times New Roman" w:hAnsi="Times New Roman"/>
        </w:rPr>
        <w:t xml:space="preserve"> and a single cut </w:t>
      </w:r>
      <w:r>
        <w:rPr>
          <w:rFonts w:ascii="Times New Roman" w:hAnsi="Times New Roman"/>
        </w:rPr>
        <w:t xml:space="preserve">was made </w:t>
      </w:r>
      <w:r w:rsidRPr="00BB7ADC">
        <w:rPr>
          <w:rFonts w:ascii="Times New Roman" w:hAnsi="Times New Roman"/>
        </w:rPr>
        <w:t xml:space="preserve">in the mid-diaphysis of the femur using a </w:t>
      </w:r>
      <w:r>
        <w:rPr>
          <w:rFonts w:ascii="Times New Roman" w:hAnsi="Times New Roman"/>
        </w:rPr>
        <w:t>D</w:t>
      </w:r>
      <w:r w:rsidRPr="00BB7ADC">
        <w:rPr>
          <w:rFonts w:ascii="Times New Roman" w:hAnsi="Times New Roman"/>
        </w:rPr>
        <w:t xml:space="preserve">remel saw with a diamond thin cutting wheel (VWR, cat no 100230-724). A blunt 25-gauge needle was then inserted into the marrow space of the femur </w:t>
      </w:r>
      <w:r>
        <w:rPr>
          <w:rFonts w:ascii="Times New Roman" w:hAnsi="Times New Roman"/>
        </w:rPr>
        <w:t xml:space="preserve">across the osteotomy site </w:t>
      </w:r>
      <w:r w:rsidRPr="00BB7ADC">
        <w:rPr>
          <w:rFonts w:ascii="Times New Roman" w:hAnsi="Times New Roman"/>
        </w:rPr>
        <w:t>to stabilize the fracture</w:t>
      </w:r>
      <w:r>
        <w:rPr>
          <w:rFonts w:ascii="Times New Roman" w:hAnsi="Times New Roman"/>
        </w:rPr>
        <w:t>. This needle was</w:t>
      </w:r>
      <w:r w:rsidRPr="00BB7ADC">
        <w:rPr>
          <w:rFonts w:ascii="Times New Roman" w:hAnsi="Times New Roman"/>
        </w:rPr>
        <w:t xml:space="preserve"> trimmed so </w:t>
      </w:r>
      <w:r>
        <w:rPr>
          <w:rFonts w:ascii="Times New Roman" w:hAnsi="Times New Roman"/>
        </w:rPr>
        <w:t xml:space="preserve">that </w:t>
      </w:r>
      <w:r w:rsidRPr="00BB7ADC">
        <w:rPr>
          <w:rFonts w:ascii="Times New Roman" w:hAnsi="Times New Roman"/>
        </w:rPr>
        <w:t xml:space="preserve">it would not project into stifle joint. Muscle was then placed over the injury site and stitched with absorbable sutures prior to closing the skin with wound clips. We performed femur fracture in </w:t>
      </w:r>
      <w:r>
        <w:rPr>
          <w:rFonts w:ascii="Times New Roman" w:hAnsi="Times New Roman"/>
        </w:rPr>
        <w:t xml:space="preserve">6 weeks old </w:t>
      </w:r>
      <w:proofErr w:type="spellStart"/>
      <w:r w:rsidRPr="00BB7ADC">
        <w:rPr>
          <w:rFonts w:ascii="Times New Roman" w:hAnsi="Times New Roman"/>
          <w:i/>
          <w:iCs/>
        </w:rPr>
        <w:t>Ctsk-cre</w:t>
      </w:r>
      <w:proofErr w:type="spellEnd"/>
      <w:r w:rsidRPr="00BB7ADC">
        <w:rPr>
          <w:rFonts w:ascii="Times New Roman" w:hAnsi="Times New Roman"/>
          <w:i/>
          <w:iCs/>
        </w:rPr>
        <w:t xml:space="preserve">; </w:t>
      </w:r>
      <w:proofErr w:type="spellStart"/>
      <w:r w:rsidRPr="00BB7ADC">
        <w:rPr>
          <w:rFonts w:ascii="Times New Roman" w:hAnsi="Times New Roman"/>
          <w:i/>
          <w:iCs/>
        </w:rPr>
        <w:t>mTmG</w:t>
      </w:r>
      <w:proofErr w:type="spellEnd"/>
      <w:r>
        <w:rPr>
          <w:rFonts w:ascii="Times New Roman" w:hAnsi="Times New Roman"/>
        </w:rPr>
        <w:t xml:space="preserve"> mice</w:t>
      </w:r>
      <w:r w:rsidRPr="00BB7ADC">
        <w:rPr>
          <w:rFonts w:ascii="Times New Roman" w:hAnsi="Times New Roman"/>
        </w:rPr>
        <w:t>. Mice were euthanized by CO</w:t>
      </w:r>
      <w:r w:rsidRPr="00BB7ADC">
        <w:rPr>
          <w:rFonts w:ascii="Times New Roman" w:hAnsi="Times New Roman"/>
          <w:vertAlign w:val="subscript"/>
        </w:rPr>
        <w:t>2</w:t>
      </w:r>
      <w:r w:rsidRPr="00BB7ADC">
        <w:rPr>
          <w:rFonts w:ascii="Times New Roman" w:hAnsi="Times New Roman"/>
        </w:rPr>
        <w:t xml:space="preserve"> a</w:t>
      </w:r>
      <w:r>
        <w:rPr>
          <w:rFonts w:ascii="Times New Roman" w:hAnsi="Times New Roman"/>
        </w:rPr>
        <w:t>t the indicated time points post fracture</w:t>
      </w:r>
      <w:r w:rsidRPr="00BB7ADC">
        <w:rPr>
          <w:rFonts w:ascii="Times New Roman" w:hAnsi="Times New Roman"/>
        </w:rPr>
        <w:t>.</w:t>
      </w:r>
    </w:p>
    <w:p w:rsidR="002D744A" w:rsidRDefault="002D744A" w:rsidP="00A67E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A67EB1">
        <w:rPr>
          <w:rFonts w:ascii="Times New Roman" w:hAnsi="Times New Roman"/>
          <w:b/>
        </w:rPr>
        <w:t>Mammary fat pad transplantation and A</w:t>
      </w:r>
      <w:r>
        <w:rPr>
          <w:rFonts w:ascii="Times New Roman" w:hAnsi="Times New Roman"/>
          <w:b/>
        </w:rPr>
        <w:t>-</w:t>
      </w:r>
      <w:r w:rsidRPr="00A67EB1">
        <w:rPr>
          <w:rFonts w:ascii="Times New Roman" w:hAnsi="Times New Roman"/>
          <w:b/>
        </w:rPr>
        <w:t>Z</w:t>
      </w:r>
      <w:r>
        <w:rPr>
          <w:rFonts w:ascii="Times New Roman" w:hAnsi="Times New Roman"/>
          <w:b/>
        </w:rPr>
        <w:t>ip</w:t>
      </w:r>
      <w:r w:rsidRPr="00A67EB1">
        <w:rPr>
          <w:rFonts w:ascii="Times New Roman" w:hAnsi="Times New Roman"/>
          <w:b/>
        </w:rPr>
        <w:t xml:space="preserve"> </w:t>
      </w:r>
      <w:r>
        <w:rPr>
          <w:rFonts w:ascii="Times New Roman" w:hAnsi="Times New Roman"/>
          <w:b/>
        </w:rPr>
        <w:t>adipose</w:t>
      </w:r>
      <w:r w:rsidRPr="00A67EB1">
        <w:rPr>
          <w:rFonts w:ascii="Times New Roman" w:hAnsi="Times New Roman"/>
          <w:b/>
        </w:rPr>
        <w:t xml:space="preserve"> reconstitution:</w:t>
      </w:r>
      <w:r w:rsidRPr="00A67EB1">
        <w:rPr>
          <w:rFonts w:ascii="Times New Roman" w:hAnsi="Times New Roman"/>
        </w:rPr>
        <w:t xml:space="preserve"> </w:t>
      </w:r>
    </w:p>
    <w:p w:rsidR="002D744A" w:rsidRDefault="002D744A" w:rsidP="00A67E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r w:rsidRPr="00A67EB1">
        <w:rPr>
          <w:rFonts w:ascii="Times New Roman" w:hAnsi="Times New Roman"/>
        </w:rPr>
        <w:t xml:space="preserve">Mammary fat pad transplantation </w:t>
      </w:r>
      <w:r>
        <w:rPr>
          <w:rFonts w:ascii="Times New Roman" w:hAnsi="Times New Roman"/>
        </w:rPr>
        <w:t>was</w:t>
      </w:r>
      <w:r w:rsidRPr="00A67EB1">
        <w:rPr>
          <w:rFonts w:ascii="Times New Roman" w:hAnsi="Times New Roman"/>
        </w:rPr>
        <w:t xml:space="preserve"> </w:t>
      </w:r>
      <w:r>
        <w:rPr>
          <w:rFonts w:ascii="Times New Roman" w:hAnsi="Times New Roman"/>
        </w:rPr>
        <w:t>performed</w:t>
      </w:r>
      <w:r w:rsidRPr="00A67EB1">
        <w:rPr>
          <w:rFonts w:ascii="Times New Roman" w:hAnsi="Times New Roman"/>
        </w:rPr>
        <w:t xml:space="preserve"> as previously described </w:t>
      </w:r>
      <w:r w:rsidRPr="00BE4E0B">
        <w:rPr>
          <w:rFonts w:ascii="Times New Roman" w:hAnsi="Times New Roman"/>
          <w:noProof/>
          <w:vertAlign w:val="superscript"/>
        </w:rPr>
        <w:t>44</w:t>
      </w:r>
      <w:r w:rsidRPr="00A67EB1">
        <w:rPr>
          <w:rFonts w:ascii="Times New Roman" w:hAnsi="Times New Roman"/>
        </w:rPr>
        <w:t xml:space="preserve">. A 1.5 cm longitudinal incision was made </w:t>
      </w:r>
      <w:r>
        <w:rPr>
          <w:rFonts w:ascii="Times New Roman" w:hAnsi="Times New Roman"/>
        </w:rPr>
        <w:t xml:space="preserve">in 3-4 week old </w:t>
      </w:r>
      <w:proofErr w:type="spellStart"/>
      <w:r w:rsidRPr="00A67EB1">
        <w:rPr>
          <w:rFonts w:ascii="Times New Roman" w:hAnsi="Times New Roman"/>
          <w:i/>
          <w:iCs/>
        </w:rPr>
        <w:t>mTmG</w:t>
      </w:r>
      <w:proofErr w:type="spellEnd"/>
      <w:r>
        <w:rPr>
          <w:rFonts w:ascii="Times New Roman" w:hAnsi="Times New Roman"/>
        </w:rPr>
        <w:t xml:space="preserve"> or </w:t>
      </w:r>
      <w:r>
        <w:rPr>
          <w:rFonts w:ascii="Times New Roman" w:hAnsi="Times New Roman"/>
          <w:i/>
          <w:iCs/>
        </w:rPr>
        <w:t>MIP-GFP</w:t>
      </w:r>
      <w:r>
        <w:rPr>
          <w:rFonts w:ascii="Times New Roman" w:hAnsi="Times New Roman"/>
        </w:rPr>
        <w:t xml:space="preserve"> females at the</w:t>
      </w:r>
      <w:r w:rsidRPr="00A67EB1">
        <w:rPr>
          <w:rFonts w:ascii="Times New Roman" w:hAnsi="Times New Roman"/>
        </w:rPr>
        <w:t xml:space="preserve"> midline </w:t>
      </w:r>
      <w:r>
        <w:rPr>
          <w:rFonts w:ascii="Times New Roman" w:hAnsi="Times New Roman"/>
        </w:rPr>
        <w:t xml:space="preserve">from just </w:t>
      </w:r>
      <w:r w:rsidRPr="00A67EB1">
        <w:rPr>
          <w:rFonts w:ascii="Times New Roman" w:hAnsi="Times New Roman"/>
        </w:rPr>
        <w:t>below the sternum to just above the pelvic region</w:t>
      </w:r>
      <w:r>
        <w:rPr>
          <w:rFonts w:ascii="Times New Roman" w:hAnsi="Times New Roman"/>
        </w:rPr>
        <w:t>,</w:t>
      </w:r>
      <w:r w:rsidRPr="00A67EB1">
        <w:rPr>
          <w:rFonts w:ascii="Times New Roman" w:hAnsi="Times New Roman"/>
        </w:rPr>
        <w:t xml:space="preserve"> and a second 0.5 cm </w:t>
      </w:r>
      <w:r>
        <w:rPr>
          <w:rFonts w:ascii="Times New Roman" w:hAnsi="Times New Roman"/>
        </w:rPr>
        <w:t>incision</w:t>
      </w:r>
      <w:r w:rsidRPr="00A67EB1">
        <w:rPr>
          <w:rFonts w:ascii="Times New Roman" w:hAnsi="Times New Roman"/>
        </w:rPr>
        <w:t xml:space="preserve"> was made from the bottom of the midline incision towards the </w:t>
      </w:r>
      <w:r>
        <w:rPr>
          <w:rFonts w:ascii="Times New Roman" w:hAnsi="Times New Roman"/>
        </w:rPr>
        <w:t>hip joint of</w:t>
      </w:r>
      <w:r w:rsidRPr="00A67EB1">
        <w:rPr>
          <w:rFonts w:ascii="Times New Roman" w:hAnsi="Times New Roman"/>
        </w:rPr>
        <w:t xml:space="preserve"> </w:t>
      </w:r>
      <w:r>
        <w:rPr>
          <w:rFonts w:ascii="Times New Roman" w:hAnsi="Times New Roman"/>
        </w:rPr>
        <w:t xml:space="preserve">the </w:t>
      </w:r>
      <w:r w:rsidRPr="00A67EB1">
        <w:rPr>
          <w:rFonts w:ascii="Times New Roman" w:hAnsi="Times New Roman"/>
        </w:rPr>
        <w:t xml:space="preserve">right </w:t>
      </w:r>
      <w:proofErr w:type="spellStart"/>
      <w:r w:rsidRPr="00A67EB1">
        <w:rPr>
          <w:rFonts w:ascii="Times New Roman" w:hAnsi="Times New Roman"/>
        </w:rPr>
        <w:t>hindlimb</w:t>
      </w:r>
      <w:proofErr w:type="spellEnd"/>
      <w:r w:rsidRPr="00A67EB1">
        <w:rPr>
          <w:rFonts w:ascii="Times New Roman" w:hAnsi="Times New Roman"/>
        </w:rPr>
        <w:t>. After exposing the inguinal mammary gland</w:t>
      </w:r>
      <w:r>
        <w:rPr>
          <w:rFonts w:ascii="Times New Roman" w:hAnsi="Times New Roman"/>
        </w:rPr>
        <w:t>,</w:t>
      </w:r>
      <w:r w:rsidRPr="00A67EB1">
        <w:rPr>
          <w:rFonts w:ascii="Times New Roman" w:hAnsi="Times New Roman"/>
        </w:rPr>
        <w:t xml:space="preserve"> a 2 mm pocket was created in the mammary fat</w:t>
      </w:r>
      <w:r>
        <w:rPr>
          <w:rFonts w:ascii="Times New Roman" w:hAnsi="Times New Roman"/>
        </w:rPr>
        <w:t xml:space="preserve"> </w:t>
      </w:r>
      <w:r w:rsidRPr="00A67EB1">
        <w:rPr>
          <w:rFonts w:ascii="Times New Roman" w:hAnsi="Times New Roman"/>
        </w:rPr>
        <w:t>pad just below the lymph node</w:t>
      </w:r>
      <w:r>
        <w:rPr>
          <w:rFonts w:ascii="Times New Roman" w:hAnsi="Times New Roman"/>
        </w:rPr>
        <w:t>,</w:t>
      </w:r>
      <w:r w:rsidRPr="00A67EB1">
        <w:rPr>
          <w:rFonts w:ascii="Times New Roman" w:hAnsi="Times New Roman"/>
        </w:rPr>
        <w:t xml:space="preserve"> and a 5</w:t>
      </w:r>
      <w:r>
        <w:rPr>
          <w:rFonts w:ascii="Times New Roman" w:hAnsi="Times New Roman"/>
        </w:rPr>
        <w:t>μ</w:t>
      </w:r>
      <w:r w:rsidRPr="00A67EB1">
        <w:rPr>
          <w:rFonts w:ascii="Times New Roman" w:hAnsi="Times New Roman"/>
        </w:rPr>
        <w:t xml:space="preserve">l matrigel plug </w:t>
      </w:r>
      <w:r>
        <w:rPr>
          <w:rFonts w:ascii="Times New Roman" w:hAnsi="Times New Roman"/>
        </w:rPr>
        <w:t>containing the</w:t>
      </w:r>
      <w:r w:rsidRPr="00A67EB1">
        <w:rPr>
          <w:rFonts w:ascii="Times New Roman" w:hAnsi="Times New Roman"/>
        </w:rPr>
        <w:t xml:space="preserve"> cells</w:t>
      </w:r>
      <w:r>
        <w:rPr>
          <w:rFonts w:ascii="Times New Roman" w:hAnsi="Times New Roman"/>
        </w:rPr>
        <w:t xml:space="preserve"> of interest</w:t>
      </w:r>
      <w:r w:rsidRPr="00A67EB1">
        <w:rPr>
          <w:rFonts w:ascii="Times New Roman" w:hAnsi="Times New Roman"/>
        </w:rPr>
        <w:t xml:space="preserve"> was implanted into th</w:t>
      </w:r>
      <w:r>
        <w:rPr>
          <w:rFonts w:ascii="Times New Roman" w:hAnsi="Times New Roman"/>
        </w:rPr>
        <w:t>is</w:t>
      </w:r>
      <w:r w:rsidRPr="00A67EB1">
        <w:rPr>
          <w:rFonts w:ascii="Times New Roman" w:hAnsi="Times New Roman"/>
        </w:rPr>
        <w:t xml:space="preserve"> pocket. Th</w:t>
      </w:r>
      <w:r>
        <w:rPr>
          <w:rFonts w:ascii="Times New Roman" w:hAnsi="Times New Roman"/>
        </w:rPr>
        <w:t>is</w:t>
      </w:r>
      <w:r w:rsidRPr="00A67EB1">
        <w:rPr>
          <w:rFonts w:ascii="Times New Roman" w:hAnsi="Times New Roman"/>
        </w:rPr>
        <w:t xml:space="preserve"> pocket was sealed by clamping the edges of the </w:t>
      </w:r>
      <w:proofErr w:type="spellStart"/>
      <w:r w:rsidRPr="00A67EB1">
        <w:rPr>
          <w:rFonts w:ascii="Times New Roman" w:hAnsi="Times New Roman"/>
        </w:rPr>
        <w:t>fatpad</w:t>
      </w:r>
      <w:proofErr w:type="spellEnd"/>
      <w:r w:rsidRPr="00A67EB1">
        <w:rPr>
          <w:rFonts w:ascii="Times New Roman" w:hAnsi="Times New Roman"/>
        </w:rPr>
        <w:t xml:space="preserve"> </w:t>
      </w:r>
      <w:r>
        <w:rPr>
          <w:rFonts w:ascii="Times New Roman" w:hAnsi="Times New Roman"/>
        </w:rPr>
        <w:t xml:space="preserve">incision </w:t>
      </w:r>
      <w:r w:rsidRPr="00A67EB1">
        <w:rPr>
          <w:rFonts w:ascii="Times New Roman" w:hAnsi="Times New Roman"/>
        </w:rPr>
        <w:t>together with toothed forcep</w:t>
      </w:r>
      <w:r>
        <w:rPr>
          <w:rFonts w:ascii="Times New Roman" w:hAnsi="Times New Roman"/>
        </w:rPr>
        <w:t>s</w:t>
      </w:r>
      <w:r w:rsidRPr="00A67EB1">
        <w:rPr>
          <w:rFonts w:ascii="Times New Roman" w:hAnsi="Times New Roman"/>
        </w:rPr>
        <w:t>. Wound clips were used to close the skin incision</w:t>
      </w:r>
      <w:r>
        <w:rPr>
          <w:rFonts w:ascii="Times New Roman" w:hAnsi="Times New Roman"/>
        </w:rPr>
        <w:t>s</w:t>
      </w:r>
      <w:r w:rsidRPr="00A67EB1">
        <w:rPr>
          <w:rFonts w:ascii="Times New Roman" w:hAnsi="Times New Roman"/>
        </w:rPr>
        <w:t xml:space="preserve">. Transplantation for reconstitution </w:t>
      </w:r>
      <w:r>
        <w:rPr>
          <w:rFonts w:ascii="Times New Roman" w:hAnsi="Times New Roman"/>
        </w:rPr>
        <w:t>of adipose tissue in</w:t>
      </w:r>
      <w:r w:rsidRPr="00A67EB1">
        <w:rPr>
          <w:rFonts w:ascii="Times New Roman" w:hAnsi="Times New Roman"/>
        </w:rPr>
        <w:t xml:space="preserve"> </w:t>
      </w:r>
      <w:r>
        <w:rPr>
          <w:rFonts w:ascii="Times New Roman" w:hAnsi="Times New Roman"/>
        </w:rPr>
        <w:t xml:space="preserve">8-10 week old </w:t>
      </w:r>
      <w:r w:rsidRPr="0083405E">
        <w:rPr>
          <w:rFonts w:ascii="Times New Roman" w:hAnsi="Times New Roman"/>
          <w:i/>
          <w:iCs/>
        </w:rPr>
        <w:t>A-Zip</w:t>
      </w:r>
      <w:r>
        <w:rPr>
          <w:rFonts w:ascii="Times New Roman" w:hAnsi="Times New Roman"/>
          <w:i/>
          <w:iCs/>
        </w:rPr>
        <w:t>/</w:t>
      </w:r>
      <w:r w:rsidRPr="0083405E">
        <w:rPr>
          <w:rFonts w:ascii="Times New Roman" w:hAnsi="Times New Roman"/>
          <w:i/>
          <w:iCs/>
        </w:rPr>
        <w:t>MIP</w:t>
      </w:r>
      <w:r>
        <w:rPr>
          <w:rFonts w:ascii="Times New Roman" w:hAnsi="Times New Roman"/>
          <w:i/>
          <w:iCs/>
        </w:rPr>
        <w:t>-GFP</w:t>
      </w:r>
      <w:r w:rsidRPr="0083405E">
        <w:rPr>
          <w:rFonts w:ascii="Times New Roman" w:hAnsi="Times New Roman"/>
        </w:rPr>
        <w:t xml:space="preserve"> </w:t>
      </w:r>
      <w:r w:rsidRPr="00A67EB1">
        <w:rPr>
          <w:rFonts w:ascii="Times New Roman" w:hAnsi="Times New Roman"/>
        </w:rPr>
        <w:t xml:space="preserve">mice was </w:t>
      </w:r>
      <w:r>
        <w:rPr>
          <w:rFonts w:ascii="Times New Roman" w:hAnsi="Times New Roman"/>
        </w:rPr>
        <w:t>performed</w:t>
      </w:r>
      <w:r w:rsidRPr="00A67EB1">
        <w:rPr>
          <w:rFonts w:ascii="Times New Roman" w:hAnsi="Times New Roman"/>
        </w:rPr>
        <w:t xml:space="preserve"> following </w:t>
      </w:r>
      <w:r w:rsidRPr="00A67EB1">
        <w:rPr>
          <w:rFonts w:ascii="Times New Roman" w:hAnsi="Times New Roman"/>
        </w:rPr>
        <w:lastRenderedPageBreak/>
        <w:t xml:space="preserve">the same procedure </w:t>
      </w:r>
      <w:r>
        <w:rPr>
          <w:rFonts w:ascii="Times New Roman" w:hAnsi="Times New Roman"/>
        </w:rPr>
        <w:t xml:space="preserve">except that </w:t>
      </w:r>
      <w:r w:rsidRPr="00A67EB1">
        <w:rPr>
          <w:rFonts w:ascii="Times New Roman" w:hAnsi="Times New Roman"/>
        </w:rPr>
        <w:t xml:space="preserve">the matrigel plug was placed subcutaneously under the residual </w:t>
      </w:r>
      <w:proofErr w:type="spellStart"/>
      <w:r>
        <w:rPr>
          <w:rFonts w:ascii="Times New Roman" w:hAnsi="Times New Roman"/>
        </w:rPr>
        <w:t>parametrial</w:t>
      </w:r>
      <w:proofErr w:type="spellEnd"/>
      <w:r>
        <w:rPr>
          <w:rFonts w:ascii="Times New Roman" w:hAnsi="Times New Roman"/>
        </w:rPr>
        <w:t xml:space="preserve"> adipose pad</w:t>
      </w:r>
      <w:r w:rsidRPr="00A67EB1">
        <w:rPr>
          <w:rFonts w:ascii="Times New Roman" w:hAnsi="Times New Roman"/>
        </w:rPr>
        <w:t xml:space="preserve"> in the location of the inguinal mammary gland in both male and female mice </w:t>
      </w:r>
      <w:r w:rsidRPr="00BE4E0B">
        <w:rPr>
          <w:rFonts w:ascii="Times New Roman" w:hAnsi="Times New Roman"/>
          <w:noProof/>
          <w:vertAlign w:val="superscript"/>
        </w:rPr>
        <w:t>46</w:t>
      </w:r>
      <w:r w:rsidRPr="00A67EB1">
        <w:rPr>
          <w:rFonts w:ascii="Times New Roman" w:hAnsi="Times New Roman"/>
        </w:rPr>
        <w:t xml:space="preserve">. </w:t>
      </w:r>
      <w:r>
        <w:rPr>
          <w:rFonts w:ascii="Times New Roman" w:hAnsi="Times New Roman"/>
        </w:rPr>
        <w:t xml:space="preserve">Mice were sacrificed 12-20 weeks after transplantation, and reconstitution of adipose tissue was assayed. Serum was collected, and levels of insulin C-peptide (ALPCO) and Adiponectin (R and D Systems) were determined by ELISA following the manufacturer’s instructions. </w:t>
      </w:r>
    </w:p>
    <w:p w:rsidR="002D744A" w:rsidRDefault="002D744A" w:rsidP="00834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heme="minorHAnsi" w:hAnsi="Times New Roman"/>
          <w:szCs w:val="24"/>
        </w:rPr>
      </w:pPr>
      <w:r>
        <w:rPr>
          <w:rFonts w:ascii="Times New Roman" w:hAnsi="Times New Roman"/>
          <w:szCs w:val="24"/>
        </w:rPr>
        <w:t>For FACS analysis during serial transplantation studies, animals were euthanized by CO</w:t>
      </w:r>
      <w:r>
        <w:rPr>
          <w:rFonts w:ascii="Times New Roman" w:hAnsi="Times New Roman"/>
          <w:szCs w:val="24"/>
          <w:vertAlign w:val="subscript"/>
        </w:rPr>
        <w:t>2</w:t>
      </w:r>
      <w:r>
        <w:rPr>
          <w:rFonts w:ascii="Times New Roman" w:hAnsi="Times New Roman"/>
          <w:szCs w:val="24"/>
        </w:rPr>
        <w:t xml:space="preserve"> narcosis 2-3-weeks post-surgery, and the mammary fat pad was extracted. The graft tissue was thoroughly minced with razor blades and digested at 37</w:t>
      </w:r>
      <w:r>
        <w:rPr>
          <w:rFonts w:ascii="Times New Roman" w:hAnsi="Times New Roman"/>
          <w:szCs w:val="24"/>
          <w:vertAlign w:val="superscript"/>
        </w:rPr>
        <w:t>o</w:t>
      </w:r>
      <w:r>
        <w:rPr>
          <w:rFonts w:ascii="Times New Roman" w:hAnsi="Times New Roman"/>
          <w:szCs w:val="24"/>
        </w:rPr>
        <w:t>C in digestion buffer (Collagenase P (1 mg/ml</w:t>
      </w:r>
      <w:r w:rsidRPr="00256E32">
        <w:rPr>
          <w:rFonts w:ascii="Times New Roman" w:hAnsi="Times New Roman"/>
          <w:szCs w:val="24"/>
        </w:rPr>
        <w:t xml:space="preserve"> </w:t>
      </w:r>
      <w:r>
        <w:rPr>
          <w:rFonts w:ascii="Times New Roman" w:hAnsi="Times New Roman"/>
          <w:szCs w:val="24"/>
        </w:rPr>
        <w:t>Roche;</w:t>
      </w:r>
      <w:r w:rsidRPr="00A97AC5">
        <w:rPr>
          <w:rFonts w:ascii="Times New Roman" w:hAnsi="Times New Roman"/>
          <w:szCs w:val="24"/>
        </w:rPr>
        <w:t xml:space="preserve"> cat 11213857001</w:t>
      </w:r>
      <w:r>
        <w:rPr>
          <w:rFonts w:ascii="Times New Roman" w:hAnsi="Times New Roman"/>
          <w:szCs w:val="24"/>
        </w:rPr>
        <w:t>) + Dispase II (2 mg/ml</w:t>
      </w:r>
      <w:r w:rsidRPr="00A97AC5">
        <w:rPr>
          <w:rFonts w:ascii="Times New Roman" w:hAnsi="Times New Roman"/>
          <w:szCs w:val="24"/>
        </w:rPr>
        <w:t>; Roche, cat 04942078001</w:t>
      </w:r>
      <w:r>
        <w:rPr>
          <w:rFonts w:ascii="Times New Roman" w:hAnsi="Times New Roman"/>
          <w:szCs w:val="24"/>
        </w:rPr>
        <w:t>) in MEM m</w:t>
      </w:r>
      <w:r w:rsidRPr="00A97AC5">
        <w:rPr>
          <w:rFonts w:ascii="Times New Roman" w:hAnsi="Times New Roman"/>
          <w:szCs w:val="24"/>
        </w:rPr>
        <w:t xml:space="preserve">edia </w:t>
      </w:r>
      <w:r>
        <w:rPr>
          <w:rFonts w:ascii="Times New Roman" w:hAnsi="Times New Roman"/>
          <w:szCs w:val="24"/>
        </w:rPr>
        <w:t>(</w:t>
      </w:r>
      <w:proofErr w:type="spellStart"/>
      <w:r>
        <w:rPr>
          <w:rFonts w:ascii="Times New Roman" w:hAnsi="Times New Roman"/>
          <w:szCs w:val="24"/>
        </w:rPr>
        <w:t>Gibco</w:t>
      </w:r>
      <w:proofErr w:type="spellEnd"/>
      <w:r>
        <w:rPr>
          <w:rFonts w:ascii="Times New Roman" w:hAnsi="Times New Roman"/>
          <w:szCs w:val="24"/>
        </w:rPr>
        <w:t>, cat no A1049001) supplied with 2% serum for 30 mins. Media was added and tubes were centrifuged for 10 mins at 1,500 rpm. The supernatant was carefully removed without disturbing the cellular pellet. DNase I solution was added for 5 mins to the pellet, and the reaction was terminated by adding media containing 2% serum. Tubes were again spun for 10 mins and the resulting pellet was prepared for FACS analysis as described below.</w:t>
      </w:r>
      <w:r>
        <w:rPr>
          <w:rFonts w:ascii="Times New Roman" w:eastAsiaTheme="minorHAnsi" w:hAnsi="Times New Roman"/>
          <w:szCs w:val="24"/>
        </w:rPr>
        <w:t xml:space="preserve"> </w:t>
      </w:r>
    </w:p>
    <w:p w:rsidR="002D744A" w:rsidRPr="0083405E" w:rsidRDefault="002D744A" w:rsidP="00834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sidRPr="0083405E">
        <w:rPr>
          <w:rFonts w:ascii="Times New Roman" w:hAnsi="Times New Roman"/>
          <w:b/>
        </w:rPr>
        <w:t xml:space="preserve">Intrafemoral </w:t>
      </w:r>
      <w:r>
        <w:rPr>
          <w:rFonts w:ascii="Times New Roman" w:hAnsi="Times New Roman"/>
          <w:b/>
        </w:rPr>
        <w:t>transplantation</w:t>
      </w:r>
      <w:r w:rsidRPr="0083405E">
        <w:rPr>
          <w:rFonts w:ascii="Times New Roman" w:hAnsi="Times New Roman"/>
          <w:b/>
        </w:rPr>
        <w:t xml:space="preserve">: </w:t>
      </w:r>
    </w:p>
    <w:p w:rsidR="002D744A" w:rsidRPr="003D10E6" w:rsidRDefault="002D744A" w:rsidP="00497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szCs w:val="24"/>
        </w:rPr>
      </w:pPr>
      <w:r w:rsidRPr="0083405E">
        <w:rPr>
          <w:rFonts w:ascii="Times New Roman" w:hAnsi="Times New Roman"/>
        </w:rPr>
        <w:t xml:space="preserve">Intrafemoral </w:t>
      </w:r>
      <w:r>
        <w:rPr>
          <w:rFonts w:ascii="Times New Roman" w:hAnsi="Times New Roman"/>
        </w:rPr>
        <w:t>transplantation</w:t>
      </w:r>
      <w:r w:rsidRPr="0083405E">
        <w:rPr>
          <w:rFonts w:ascii="Times New Roman" w:hAnsi="Times New Roman"/>
        </w:rPr>
        <w:t xml:space="preserve"> was done as previously described with modifications </w:t>
      </w:r>
      <w:r w:rsidRPr="00BE4E0B">
        <w:rPr>
          <w:rFonts w:ascii="Times New Roman" w:hAnsi="Times New Roman"/>
          <w:noProof/>
          <w:vertAlign w:val="superscript"/>
        </w:rPr>
        <w:t>47,48</w:t>
      </w:r>
      <w:r w:rsidRPr="0083405E">
        <w:rPr>
          <w:rFonts w:ascii="Times New Roman" w:hAnsi="Times New Roman"/>
        </w:rPr>
        <w:t xml:space="preserve">. </w:t>
      </w:r>
      <w:r>
        <w:rPr>
          <w:rFonts w:ascii="Times New Roman" w:hAnsi="Times New Roman"/>
        </w:rPr>
        <w:t xml:space="preserve">10-12 week old </w:t>
      </w:r>
      <w:r w:rsidRPr="0083405E">
        <w:rPr>
          <w:rFonts w:ascii="Times New Roman" w:hAnsi="Times New Roman"/>
          <w:i/>
          <w:iCs/>
        </w:rPr>
        <w:t>A-Zip</w:t>
      </w:r>
      <w:r>
        <w:rPr>
          <w:rFonts w:ascii="Times New Roman" w:hAnsi="Times New Roman"/>
          <w:i/>
          <w:iCs/>
        </w:rPr>
        <w:t>/</w:t>
      </w:r>
      <w:r w:rsidRPr="0083405E">
        <w:rPr>
          <w:rFonts w:ascii="Times New Roman" w:hAnsi="Times New Roman"/>
          <w:i/>
          <w:iCs/>
        </w:rPr>
        <w:t>MIP</w:t>
      </w:r>
      <w:r>
        <w:rPr>
          <w:rFonts w:ascii="Times New Roman" w:hAnsi="Times New Roman"/>
          <w:i/>
          <w:iCs/>
        </w:rPr>
        <w:t>-GFP</w:t>
      </w:r>
      <w:r w:rsidRPr="0083405E">
        <w:rPr>
          <w:rFonts w:ascii="Times New Roman" w:hAnsi="Times New Roman"/>
        </w:rPr>
        <w:t xml:space="preserve"> </w:t>
      </w:r>
      <w:r>
        <w:rPr>
          <w:rFonts w:ascii="Times New Roman" w:hAnsi="Times New Roman"/>
        </w:rPr>
        <w:t xml:space="preserve">male or female </w:t>
      </w:r>
      <w:r w:rsidRPr="0083405E">
        <w:rPr>
          <w:rFonts w:ascii="Times New Roman" w:hAnsi="Times New Roman"/>
        </w:rPr>
        <w:t xml:space="preserve">mice were first lethally irradiated with 900 </w:t>
      </w:r>
      <w:proofErr w:type="spellStart"/>
      <w:r w:rsidRPr="0083405E">
        <w:rPr>
          <w:rFonts w:ascii="Times New Roman" w:hAnsi="Times New Roman"/>
        </w:rPr>
        <w:t>Gy</w:t>
      </w:r>
      <w:proofErr w:type="spellEnd"/>
      <w:r w:rsidRPr="0083405E">
        <w:rPr>
          <w:rFonts w:ascii="Times New Roman" w:hAnsi="Times New Roman"/>
        </w:rPr>
        <w:t xml:space="preserve"> using a Rad Source Technologies RS 2000 Biological Research X-ray Irradiator. 24 hours post irradiation mice received 5 x 10</w:t>
      </w:r>
      <w:r w:rsidRPr="0083405E">
        <w:rPr>
          <w:rFonts w:ascii="Times New Roman" w:hAnsi="Times New Roman"/>
          <w:vertAlign w:val="superscript"/>
        </w:rPr>
        <w:t>6</w:t>
      </w:r>
      <w:r w:rsidRPr="0083405E">
        <w:rPr>
          <w:rFonts w:ascii="Times New Roman" w:hAnsi="Times New Roman"/>
        </w:rPr>
        <w:t xml:space="preserve"> whole bone marrow cells from syngen</w:t>
      </w:r>
      <w:r>
        <w:rPr>
          <w:rFonts w:ascii="Times New Roman" w:hAnsi="Times New Roman"/>
        </w:rPr>
        <w:t>e</w:t>
      </w:r>
      <w:r w:rsidRPr="0083405E">
        <w:rPr>
          <w:rFonts w:ascii="Times New Roman" w:hAnsi="Times New Roman"/>
        </w:rPr>
        <w:t xml:space="preserve">ic </w:t>
      </w:r>
      <w:r w:rsidRPr="0083405E">
        <w:rPr>
          <w:rFonts w:ascii="Times New Roman" w:hAnsi="Times New Roman"/>
          <w:i/>
          <w:iCs/>
        </w:rPr>
        <w:t>MIP</w:t>
      </w:r>
      <w:r>
        <w:rPr>
          <w:rFonts w:ascii="Times New Roman" w:hAnsi="Times New Roman"/>
          <w:i/>
          <w:iCs/>
        </w:rPr>
        <w:t>-GFP</w:t>
      </w:r>
      <w:r w:rsidRPr="0083405E">
        <w:rPr>
          <w:rFonts w:ascii="Times New Roman" w:hAnsi="Times New Roman"/>
        </w:rPr>
        <w:t xml:space="preserve"> mice by retro-orbital injection prior to </w:t>
      </w:r>
      <w:r>
        <w:rPr>
          <w:rFonts w:ascii="Times New Roman" w:hAnsi="Times New Roman"/>
        </w:rPr>
        <w:t>intrafemoral implantation of the cells of interest</w:t>
      </w:r>
      <w:r w:rsidRPr="0083405E">
        <w:rPr>
          <w:rFonts w:ascii="Times New Roman" w:hAnsi="Times New Roman"/>
        </w:rPr>
        <w:t xml:space="preserve">. After </w:t>
      </w:r>
      <w:r>
        <w:rPr>
          <w:rFonts w:ascii="Times New Roman" w:hAnsi="Times New Roman"/>
        </w:rPr>
        <w:t xml:space="preserve">induction of isoflurane </w:t>
      </w:r>
      <w:r w:rsidRPr="0083405E">
        <w:rPr>
          <w:rFonts w:ascii="Times New Roman" w:hAnsi="Times New Roman"/>
        </w:rPr>
        <w:t xml:space="preserve">anesthesia and </w:t>
      </w:r>
      <w:r>
        <w:rPr>
          <w:rFonts w:ascii="Times New Roman" w:hAnsi="Times New Roman"/>
        </w:rPr>
        <w:t xml:space="preserve">surgical site </w:t>
      </w:r>
      <w:r w:rsidRPr="0083405E">
        <w:rPr>
          <w:rFonts w:ascii="Times New Roman" w:hAnsi="Times New Roman"/>
        </w:rPr>
        <w:t xml:space="preserve">sterilization, an incision </w:t>
      </w:r>
      <w:r>
        <w:rPr>
          <w:rFonts w:ascii="Times New Roman" w:hAnsi="Times New Roman"/>
        </w:rPr>
        <w:t xml:space="preserve">was made </w:t>
      </w:r>
      <w:r w:rsidRPr="0083405E">
        <w:rPr>
          <w:rFonts w:ascii="Times New Roman" w:hAnsi="Times New Roman"/>
        </w:rPr>
        <w:t xml:space="preserve">above the right anterolateral femur </w:t>
      </w:r>
      <w:r>
        <w:rPr>
          <w:rFonts w:ascii="Times New Roman" w:hAnsi="Times New Roman"/>
        </w:rPr>
        <w:t>and</w:t>
      </w:r>
      <w:r w:rsidRPr="0083405E">
        <w:rPr>
          <w:rFonts w:ascii="Times New Roman" w:hAnsi="Times New Roman"/>
        </w:rPr>
        <w:t xml:space="preserve"> </w:t>
      </w:r>
      <w:r>
        <w:rPr>
          <w:rFonts w:ascii="Times New Roman" w:hAnsi="Times New Roman"/>
        </w:rPr>
        <w:t xml:space="preserve">the </w:t>
      </w:r>
      <w:r w:rsidRPr="0083405E">
        <w:rPr>
          <w:rFonts w:ascii="Times New Roman" w:hAnsi="Times New Roman"/>
        </w:rPr>
        <w:t>patellar groove</w:t>
      </w:r>
      <w:r>
        <w:rPr>
          <w:rFonts w:ascii="Times New Roman" w:hAnsi="Times New Roman"/>
        </w:rPr>
        <w:t xml:space="preserve"> was exposed</w:t>
      </w:r>
      <w:r w:rsidRPr="0083405E">
        <w:rPr>
          <w:rFonts w:ascii="Times New Roman" w:hAnsi="Times New Roman"/>
        </w:rPr>
        <w:t xml:space="preserve">. A 25-gauge needle was inserted parallel </w:t>
      </w:r>
      <w:r w:rsidRPr="0083405E">
        <w:rPr>
          <w:rFonts w:ascii="Times New Roman" w:hAnsi="Times New Roman"/>
        </w:rPr>
        <w:lastRenderedPageBreak/>
        <w:t xml:space="preserve">with the long axis of the femur through the patellar groove to </w:t>
      </w:r>
      <w:r>
        <w:rPr>
          <w:rFonts w:ascii="Times New Roman" w:hAnsi="Times New Roman"/>
        </w:rPr>
        <w:t>create</w:t>
      </w:r>
      <w:r w:rsidRPr="0083405E">
        <w:rPr>
          <w:rFonts w:ascii="Times New Roman" w:hAnsi="Times New Roman"/>
        </w:rPr>
        <w:t xml:space="preserve"> a cavity in the fem</w:t>
      </w:r>
      <w:r>
        <w:rPr>
          <w:rFonts w:ascii="Times New Roman" w:hAnsi="Times New Roman"/>
        </w:rPr>
        <w:t>oral marrow</w:t>
      </w:r>
      <w:r w:rsidRPr="0083405E">
        <w:rPr>
          <w:rFonts w:ascii="Times New Roman" w:hAnsi="Times New Roman"/>
        </w:rPr>
        <w:t xml:space="preserve">. A 100 microliter Hamilton syringe with a 26-gauge needle was then inserted into the femur to inject 10 </w:t>
      </w:r>
      <w:r>
        <w:rPr>
          <w:rFonts w:ascii="Times New Roman" w:hAnsi="Times New Roman"/>
        </w:rPr>
        <w:t xml:space="preserve">µL </w:t>
      </w:r>
      <w:r w:rsidRPr="0083405E">
        <w:rPr>
          <w:rFonts w:ascii="Times New Roman" w:hAnsi="Times New Roman"/>
        </w:rPr>
        <w:t xml:space="preserve">of </w:t>
      </w:r>
      <w:r>
        <w:rPr>
          <w:rFonts w:ascii="Times New Roman" w:hAnsi="Times New Roman"/>
        </w:rPr>
        <w:t>the skeletal cell of interest</w:t>
      </w:r>
      <w:r w:rsidRPr="0083405E">
        <w:rPr>
          <w:rFonts w:ascii="Times New Roman" w:hAnsi="Times New Roman"/>
        </w:rPr>
        <w:t xml:space="preserve"> resuspended in</w:t>
      </w:r>
      <w:r>
        <w:rPr>
          <w:rFonts w:ascii="Times New Roman" w:hAnsi="Times New Roman"/>
        </w:rPr>
        <w:t xml:space="preserve"> serum free MEM (</w:t>
      </w:r>
      <w:proofErr w:type="spellStart"/>
      <w:r>
        <w:rPr>
          <w:rFonts w:ascii="Times New Roman" w:hAnsi="Times New Roman"/>
        </w:rPr>
        <w:t>Gibco</w:t>
      </w:r>
      <w:proofErr w:type="spellEnd"/>
      <w:r>
        <w:rPr>
          <w:rFonts w:ascii="Times New Roman" w:hAnsi="Times New Roman"/>
        </w:rPr>
        <w:t xml:space="preserve">, </w:t>
      </w:r>
      <w:r>
        <w:rPr>
          <w:rFonts w:ascii="Times New Roman" w:hAnsi="Times New Roman"/>
          <w:szCs w:val="24"/>
        </w:rPr>
        <w:t>cat no A1049001</w:t>
      </w:r>
      <w:r>
        <w:rPr>
          <w:rFonts w:ascii="Times New Roman" w:hAnsi="Times New Roman"/>
        </w:rPr>
        <w:t>)</w:t>
      </w:r>
      <w:r w:rsidRPr="0083405E">
        <w:rPr>
          <w:rFonts w:ascii="Times New Roman" w:hAnsi="Times New Roman"/>
        </w:rPr>
        <w:t xml:space="preserve"> media. After injection, </w:t>
      </w:r>
      <w:r>
        <w:rPr>
          <w:rFonts w:ascii="Times New Roman" w:hAnsi="Times New Roman"/>
        </w:rPr>
        <w:t xml:space="preserve">the patella was reduced </w:t>
      </w:r>
      <w:r w:rsidRPr="0083405E">
        <w:rPr>
          <w:rFonts w:ascii="Times New Roman" w:hAnsi="Times New Roman"/>
        </w:rPr>
        <w:t>prior to closing the skin with wound clips.</w:t>
      </w:r>
      <w:r>
        <w:rPr>
          <w:rFonts w:ascii="Times New Roman" w:hAnsi="Times New Roman"/>
        </w:rPr>
        <w:t xml:space="preserve"> Mice were euthanized 12 weeks after surgery and serum was collected to determine C-peptide and adipokine levels. Femurs were also collected, fixed with 4% PFA at 4°C for 4-6 hours</w:t>
      </w:r>
      <w:r>
        <w:rPr>
          <w:rFonts w:ascii="Times New Roman" w:hAnsi="Times New Roman"/>
          <w:szCs w:val="24"/>
        </w:rPr>
        <w:t xml:space="preserve">, washed with PBS and decalcified </w:t>
      </w:r>
      <w:r w:rsidRPr="00A97AC5">
        <w:rPr>
          <w:rFonts w:ascii="Times New Roman" w:hAnsi="Times New Roman"/>
          <w:szCs w:val="24"/>
        </w:rPr>
        <w:t>with 0.5M EDTA for 1-5 days</w:t>
      </w:r>
      <w:r>
        <w:rPr>
          <w:rFonts w:ascii="Times New Roman" w:hAnsi="Times New Roman"/>
          <w:szCs w:val="24"/>
        </w:rPr>
        <w:t xml:space="preserve">. Samples were subjected to infiltration, embedding and sectioning as described below. GFP fluorescence was visualized to detect successful engraftment and location of the transplanted populations.  Successful engraftment of SSCs into the host bone was achieved despite injecting very low numbers (5,000-50,000 cells per population of interest) of highly purified SSC subsets. Concurrent immunofluorescence staining for additional markers was performed as indicated to determine the differentiation state and local milieu of the engrafted populations. </w:t>
      </w:r>
    </w:p>
    <w:p w:rsidR="002D744A" w:rsidRPr="004971A7" w:rsidRDefault="002D744A" w:rsidP="00497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b/>
        </w:rPr>
      </w:pPr>
      <w:r w:rsidRPr="00A97AC5">
        <w:rPr>
          <w:rFonts w:ascii="Times New Roman" w:hAnsi="Times New Roman"/>
          <w:b/>
          <w:szCs w:val="24"/>
        </w:rPr>
        <w:t>Isolation of mesenchymal cells:</w:t>
      </w:r>
    </w:p>
    <w:p w:rsidR="002D744A" w:rsidRDefault="002D744A" w:rsidP="00BA35FD">
      <w:pPr>
        <w:spacing w:line="480" w:lineRule="auto"/>
        <w:rPr>
          <w:rFonts w:ascii="Times New Roman" w:hAnsi="Times New Roman"/>
          <w:szCs w:val="24"/>
        </w:rPr>
      </w:pPr>
      <w:r>
        <w:rPr>
          <w:rFonts w:ascii="Times New Roman" w:hAnsi="Times New Roman"/>
          <w:szCs w:val="24"/>
        </w:rPr>
        <w:t xml:space="preserve">Detailed description for isolation of mesenchymal cells can be obtained from published work </w:t>
      </w:r>
      <w:r w:rsidRPr="00BE4E0B">
        <w:rPr>
          <w:rFonts w:ascii="Times New Roman" w:hAnsi="Times New Roman"/>
          <w:noProof/>
          <w:szCs w:val="24"/>
          <w:vertAlign w:val="superscript"/>
        </w:rPr>
        <w:t>49</w:t>
      </w:r>
      <w:r>
        <w:rPr>
          <w:rFonts w:ascii="Times New Roman" w:hAnsi="Times New Roman"/>
          <w:szCs w:val="24"/>
        </w:rPr>
        <w:t>. Briefly, s</w:t>
      </w:r>
      <w:r w:rsidRPr="00A97AC5">
        <w:rPr>
          <w:rFonts w:ascii="Times New Roman" w:hAnsi="Times New Roman"/>
          <w:szCs w:val="24"/>
        </w:rPr>
        <w:t xml:space="preserve">keletal tissue from </w:t>
      </w:r>
      <w:r>
        <w:rPr>
          <w:rFonts w:ascii="Times New Roman" w:hAnsi="Times New Roman"/>
          <w:szCs w:val="24"/>
        </w:rPr>
        <w:t>young mice (</w:t>
      </w:r>
      <w:r w:rsidRPr="00A97AC5">
        <w:rPr>
          <w:rFonts w:ascii="Times New Roman" w:hAnsi="Times New Roman"/>
          <w:szCs w:val="24"/>
        </w:rPr>
        <w:t>postnatal day 7, 15 or 32</w:t>
      </w:r>
      <w:r>
        <w:rPr>
          <w:rFonts w:ascii="Times New Roman" w:hAnsi="Times New Roman"/>
          <w:szCs w:val="24"/>
        </w:rPr>
        <w:t>)</w:t>
      </w:r>
      <w:r w:rsidRPr="00A97AC5">
        <w:rPr>
          <w:rFonts w:ascii="Times New Roman" w:hAnsi="Times New Roman"/>
          <w:szCs w:val="24"/>
        </w:rPr>
        <w:t xml:space="preserve"> was subjected to both mechanical and enzymatic digestion. The harvested tissue was minced using razor blades and digested for up to 1 hour </w:t>
      </w:r>
      <w:r>
        <w:rPr>
          <w:rFonts w:ascii="Times New Roman" w:hAnsi="Times New Roman"/>
          <w:szCs w:val="24"/>
        </w:rPr>
        <w:t>in digestion buffer containing</w:t>
      </w:r>
      <w:r w:rsidRPr="00A97AC5">
        <w:rPr>
          <w:rFonts w:ascii="Times New Roman" w:hAnsi="Times New Roman"/>
          <w:szCs w:val="24"/>
        </w:rPr>
        <w:t xml:space="preserve"> Collagenase P (1mg/ml; Roche, cat 11213857001) + Dispase II (2mg/ml; Roche, cat 04942078001) </w:t>
      </w:r>
      <w:r>
        <w:rPr>
          <w:rFonts w:ascii="Times New Roman" w:hAnsi="Times New Roman"/>
          <w:szCs w:val="24"/>
        </w:rPr>
        <w:t>in MEM m</w:t>
      </w:r>
      <w:r w:rsidRPr="00A97AC5">
        <w:rPr>
          <w:rFonts w:ascii="Times New Roman" w:hAnsi="Times New Roman"/>
          <w:szCs w:val="24"/>
        </w:rPr>
        <w:t xml:space="preserve">edia </w:t>
      </w:r>
      <w:r>
        <w:rPr>
          <w:rFonts w:ascii="Times New Roman" w:hAnsi="Times New Roman"/>
          <w:szCs w:val="24"/>
        </w:rPr>
        <w:t>(</w:t>
      </w:r>
      <w:proofErr w:type="spellStart"/>
      <w:r>
        <w:rPr>
          <w:rFonts w:ascii="Times New Roman" w:hAnsi="Times New Roman"/>
          <w:szCs w:val="24"/>
        </w:rPr>
        <w:t>Gibco</w:t>
      </w:r>
      <w:proofErr w:type="spellEnd"/>
      <w:r>
        <w:rPr>
          <w:rFonts w:ascii="Times New Roman" w:hAnsi="Times New Roman"/>
          <w:szCs w:val="24"/>
        </w:rPr>
        <w:t>, cat no A1049001)</w:t>
      </w:r>
      <w:r w:rsidRPr="00A97AC5">
        <w:rPr>
          <w:rFonts w:ascii="Times New Roman" w:hAnsi="Times New Roman"/>
          <w:szCs w:val="24"/>
        </w:rPr>
        <w:t xml:space="preserve"> </w:t>
      </w:r>
      <w:r>
        <w:rPr>
          <w:rFonts w:ascii="Times New Roman" w:hAnsi="Times New Roman"/>
          <w:szCs w:val="24"/>
        </w:rPr>
        <w:t>with 2% serum</w:t>
      </w:r>
      <w:r w:rsidRPr="00A97AC5">
        <w:rPr>
          <w:rFonts w:ascii="Times New Roman" w:hAnsi="Times New Roman"/>
          <w:szCs w:val="24"/>
        </w:rPr>
        <w:t xml:space="preserve"> at 37</w:t>
      </w:r>
      <w:r w:rsidRPr="00A97AC5">
        <w:rPr>
          <w:rFonts w:ascii="Times New Roman" w:hAnsi="Times New Roman"/>
          <w:szCs w:val="24"/>
          <w:vertAlign w:val="superscript"/>
        </w:rPr>
        <w:t>o</w:t>
      </w:r>
      <w:r w:rsidRPr="00A97AC5">
        <w:rPr>
          <w:rFonts w:ascii="Times New Roman" w:hAnsi="Times New Roman"/>
          <w:szCs w:val="24"/>
        </w:rPr>
        <w:t xml:space="preserve">C with agitation. </w:t>
      </w:r>
      <w:r>
        <w:rPr>
          <w:rFonts w:ascii="Times New Roman" w:hAnsi="Times New Roman"/>
          <w:szCs w:val="24"/>
        </w:rPr>
        <w:t>Harvested femurs from 3-6-month-old mice were initially crushed using a mortar and pestle, minced thoroughly with razor blades and then subjected to enzymatic digestion as described above. The digested tissue was suspended in MEM m</w:t>
      </w:r>
      <w:r w:rsidRPr="00A97AC5">
        <w:rPr>
          <w:rFonts w:ascii="Times New Roman" w:hAnsi="Times New Roman"/>
          <w:szCs w:val="24"/>
        </w:rPr>
        <w:t xml:space="preserve">edia </w:t>
      </w:r>
      <w:r>
        <w:rPr>
          <w:rFonts w:ascii="Times New Roman" w:hAnsi="Times New Roman"/>
          <w:szCs w:val="24"/>
        </w:rPr>
        <w:t>(</w:t>
      </w:r>
      <w:proofErr w:type="spellStart"/>
      <w:r>
        <w:rPr>
          <w:rFonts w:ascii="Times New Roman" w:hAnsi="Times New Roman"/>
          <w:szCs w:val="24"/>
        </w:rPr>
        <w:t>Gibco</w:t>
      </w:r>
      <w:proofErr w:type="spellEnd"/>
      <w:r>
        <w:rPr>
          <w:rFonts w:ascii="Times New Roman" w:hAnsi="Times New Roman"/>
          <w:szCs w:val="24"/>
        </w:rPr>
        <w:t xml:space="preserve">, cat no A1049001) </w:t>
      </w:r>
      <w:r w:rsidRPr="00A97AC5">
        <w:rPr>
          <w:rFonts w:ascii="Times New Roman" w:hAnsi="Times New Roman"/>
          <w:szCs w:val="24"/>
        </w:rPr>
        <w:t xml:space="preserve">containing 2% serum and the tubes were centrifuged </w:t>
      </w:r>
      <w:r>
        <w:rPr>
          <w:rFonts w:ascii="Times New Roman" w:hAnsi="Times New Roman"/>
          <w:szCs w:val="24"/>
        </w:rPr>
        <w:t xml:space="preserve">at 1,500 </w:t>
      </w:r>
      <w:r>
        <w:rPr>
          <w:rFonts w:ascii="Times New Roman" w:hAnsi="Times New Roman"/>
          <w:szCs w:val="24"/>
        </w:rPr>
        <w:lastRenderedPageBreak/>
        <w:t xml:space="preserve">rpm for 10 mins </w:t>
      </w:r>
      <w:r w:rsidRPr="00A97AC5">
        <w:rPr>
          <w:rFonts w:ascii="Times New Roman" w:hAnsi="Times New Roman"/>
          <w:szCs w:val="24"/>
        </w:rPr>
        <w:t>to pellet</w:t>
      </w:r>
      <w:r>
        <w:rPr>
          <w:rFonts w:ascii="Times New Roman" w:hAnsi="Times New Roman"/>
          <w:szCs w:val="24"/>
        </w:rPr>
        <w:t xml:space="preserve"> the liberated </w:t>
      </w:r>
      <w:r w:rsidRPr="00A97AC5">
        <w:rPr>
          <w:rFonts w:ascii="Times New Roman" w:hAnsi="Times New Roman"/>
          <w:szCs w:val="24"/>
        </w:rPr>
        <w:t xml:space="preserve">cells. The supernatant was removed, and the pellet was resuspended in </w:t>
      </w:r>
      <w:r>
        <w:rPr>
          <w:rFonts w:ascii="Times New Roman" w:hAnsi="Times New Roman"/>
          <w:szCs w:val="24"/>
        </w:rPr>
        <w:t xml:space="preserve">1-2 ml of </w:t>
      </w:r>
      <w:r w:rsidRPr="00A97AC5">
        <w:rPr>
          <w:rFonts w:ascii="Times New Roman" w:hAnsi="Times New Roman"/>
          <w:szCs w:val="24"/>
        </w:rPr>
        <w:t>DNase I (2 units/ml) solution and briefly incubated for 5 mins at 37</w:t>
      </w:r>
      <w:r w:rsidRPr="00A97AC5">
        <w:rPr>
          <w:rFonts w:ascii="Times New Roman" w:hAnsi="Times New Roman"/>
          <w:szCs w:val="24"/>
          <w:vertAlign w:val="superscript"/>
        </w:rPr>
        <w:t>o</w:t>
      </w:r>
      <w:r w:rsidRPr="00A97AC5">
        <w:rPr>
          <w:rFonts w:ascii="Times New Roman" w:hAnsi="Times New Roman"/>
          <w:szCs w:val="24"/>
        </w:rPr>
        <w:t xml:space="preserve">C.  </w:t>
      </w:r>
      <w:r>
        <w:rPr>
          <w:rFonts w:ascii="Times New Roman" w:hAnsi="Times New Roman"/>
          <w:szCs w:val="24"/>
        </w:rPr>
        <w:t>MEM m</w:t>
      </w:r>
      <w:r w:rsidRPr="00A97AC5">
        <w:rPr>
          <w:rFonts w:ascii="Times New Roman" w:hAnsi="Times New Roman"/>
          <w:szCs w:val="24"/>
        </w:rPr>
        <w:t xml:space="preserve">edia </w:t>
      </w:r>
      <w:r>
        <w:rPr>
          <w:rFonts w:ascii="Times New Roman" w:hAnsi="Times New Roman"/>
          <w:szCs w:val="24"/>
        </w:rPr>
        <w:t>(</w:t>
      </w:r>
      <w:proofErr w:type="spellStart"/>
      <w:r>
        <w:rPr>
          <w:rFonts w:ascii="Times New Roman" w:hAnsi="Times New Roman"/>
          <w:szCs w:val="24"/>
        </w:rPr>
        <w:t>Gibco</w:t>
      </w:r>
      <w:proofErr w:type="spellEnd"/>
      <w:r>
        <w:rPr>
          <w:rFonts w:ascii="Times New Roman" w:hAnsi="Times New Roman"/>
          <w:szCs w:val="24"/>
        </w:rPr>
        <w:t xml:space="preserve">) containing 2% serum </w:t>
      </w:r>
      <w:r w:rsidRPr="00A97AC5">
        <w:rPr>
          <w:rFonts w:ascii="Times New Roman" w:hAnsi="Times New Roman"/>
          <w:szCs w:val="24"/>
        </w:rPr>
        <w:t>was added to the tube</w:t>
      </w:r>
      <w:r>
        <w:rPr>
          <w:rFonts w:ascii="Times New Roman" w:hAnsi="Times New Roman"/>
          <w:szCs w:val="24"/>
        </w:rPr>
        <w:t>,</w:t>
      </w:r>
      <w:r w:rsidRPr="00A97AC5">
        <w:rPr>
          <w:rFonts w:ascii="Times New Roman" w:hAnsi="Times New Roman"/>
          <w:szCs w:val="24"/>
        </w:rPr>
        <w:t xml:space="preserve"> and the digested tissue was resuspended thoroughly by pipetting</w:t>
      </w:r>
      <w:r>
        <w:rPr>
          <w:rFonts w:ascii="Times New Roman" w:hAnsi="Times New Roman"/>
          <w:szCs w:val="24"/>
        </w:rPr>
        <w:t xml:space="preserve">. </w:t>
      </w:r>
      <w:r w:rsidRPr="00A97AC5">
        <w:rPr>
          <w:rFonts w:ascii="Times New Roman" w:hAnsi="Times New Roman"/>
          <w:szCs w:val="24"/>
        </w:rPr>
        <w:t xml:space="preserve"> </w:t>
      </w:r>
      <w:r>
        <w:rPr>
          <w:rFonts w:ascii="Times New Roman" w:hAnsi="Times New Roman"/>
          <w:szCs w:val="24"/>
        </w:rPr>
        <w:t>The resuspended cell pellet was</w:t>
      </w:r>
      <w:r w:rsidRPr="00A97AC5">
        <w:rPr>
          <w:rFonts w:ascii="Times New Roman" w:hAnsi="Times New Roman"/>
          <w:szCs w:val="24"/>
        </w:rPr>
        <w:t xml:space="preserve"> then filtered thorough 70-micron nylon mesh</w:t>
      </w:r>
      <w:r>
        <w:rPr>
          <w:rFonts w:ascii="Times New Roman" w:hAnsi="Times New Roman"/>
          <w:szCs w:val="24"/>
        </w:rPr>
        <w:t>, and the t</w:t>
      </w:r>
      <w:r w:rsidRPr="00A97AC5">
        <w:rPr>
          <w:rFonts w:ascii="Times New Roman" w:hAnsi="Times New Roman"/>
          <w:szCs w:val="24"/>
        </w:rPr>
        <w:t xml:space="preserve">ubes were centrifuged </w:t>
      </w:r>
      <w:r>
        <w:rPr>
          <w:rFonts w:ascii="Times New Roman" w:hAnsi="Times New Roman"/>
          <w:szCs w:val="24"/>
        </w:rPr>
        <w:t xml:space="preserve">at 1,500 rpm for 10 mins. </w:t>
      </w:r>
      <w:r w:rsidRPr="00A97AC5">
        <w:rPr>
          <w:rFonts w:ascii="Times New Roman" w:hAnsi="Times New Roman"/>
          <w:szCs w:val="24"/>
        </w:rPr>
        <w:t xml:space="preserve"> </w:t>
      </w:r>
      <w:r>
        <w:rPr>
          <w:rFonts w:ascii="Times New Roman" w:hAnsi="Times New Roman"/>
          <w:szCs w:val="24"/>
        </w:rPr>
        <w:t>T</w:t>
      </w:r>
      <w:r w:rsidRPr="00A97AC5">
        <w:rPr>
          <w:rFonts w:ascii="Times New Roman" w:hAnsi="Times New Roman"/>
          <w:szCs w:val="24"/>
        </w:rPr>
        <w:t xml:space="preserve">he resulting cell </w:t>
      </w:r>
      <w:r>
        <w:rPr>
          <w:rFonts w:ascii="Times New Roman" w:hAnsi="Times New Roman"/>
          <w:szCs w:val="24"/>
        </w:rPr>
        <w:t>pellet</w:t>
      </w:r>
      <w:r w:rsidRPr="00A97AC5">
        <w:rPr>
          <w:rFonts w:ascii="Times New Roman" w:hAnsi="Times New Roman"/>
          <w:szCs w:val="24"/>
        </w:rPr>
        <w:t xml:space="preserve"> was </w:t>
      </w:r>
      <w:r>
        <w:rPr>
          <w:rFonts w:ascii="Times New Roman" w:hAnsi="Times New Roman"/>
          <w:szCs w:val="24"/>
        </w:rPr>
        <w:t xml:space="preserve">then </w:t>
      </w:r>
      <w:r w:rsidRPr="00A97AC5">
        <w:rPr>
          <w:rFonts w:ascii="Times New Roman" w:hAnsi="Times New Roman"/>
          <w:szCs w:val="24"/>
        </w:rPr>
        <w:t xml:space="preserve">subjected to FACS. </w:t>
      </w:r>
    </w:p>
    <w:p w:rsidR="002D744A" w:rsidRDefault="002D744A" w:rsidP="00BA35FD">
      <w:pPr>
        <w:spacing w:line="480" w:lineRule="auto"/>
        <w:rPr>
          <w:rFonts w:ascii="Times New Roman" w:hAnsi="Times New Roman"/>
          <w:szCs w:val="24"/>
        </w:rPr>
      </w:pPr>
      <w:r w:rsidRPr="00A97AC5">
        <w:rPr>
          <w:rFonts w:ascii="Times New Roman" w:hAnsi="Times New Roman"/>
          <w:b/>
          <w:szCs w:val="24"/>
        </w:rPr>
        <w:t>Florescence</w:t>
      </w:r>
      <w:r>
        <w:rPr>
          <w:rFonts w:ascii="Times New Roman" w:hAnsi="Times New Roman"/>
          <w:b/>
          <w:szCs w:val="24"/>
        </w:rPr>
        <w:t>-activated</w:t>
      </w:r>
      <w:r w:rsidRPr="00A97AC5">
        <w:rPr>
          <w:rFonts w:ascii="Times New Roman" w:hAnsi="Times New Roman"/>
          <w:b/>
          <w:szCs w:val="24"/>
        </w:rPr>
        <w:t xml:space="preserve"> cell sorting (FACS):</w:t>
      </w:r>
      <w:r w:rsidRPr="00A97AC5">
        <w:rPr>
          <w:rFonts w:ascii="Times New Roman" w:hAnsi="Times New Roman"/>
          <w:szCs w:val="24"/>
        </w:rPr>
        <w:cr/>
      </w:r>
      <w:r>
        <w:rPr>
          <w:rFonts w:ascii="Times New Roman" w:hAnsi="Times New Roman"/>
          <w:szCs w:val="24"/>
        </w:rPr>
        <w:t xml:space="preserve">Cells were prepared for FACS following a previously published protocol </w:t>
      </w:r>
      <w:r w:rsidRPr="00BE4E0B">
        <w:rPr>
          <w:rFonts w:ascii="Times New Roman" w:hAnsi="Times New Roman"/>
          <w:noProof/>
          <w:szCs w:val="24"/>
          <w:vertAlign w:val="superscript"/>
        </w:rPr>
        <w:t>44,49</w:t>
      </w:r>
      <w:r>
        <w:rPr>
          <w:rFonts w:ascii="Times New Roman" w:hAnsi="Times New Roman"/>
          <w:szCs w:val="24"/>
        </w:rPr>
        <w:t>. Briefly, c</w:t>
      </w:r>
      <w:r w:rsidRPr="00A97AC5">
        <w:rPr>
          <w:rFonts w:ascii="Times New Roman" w:hAnsi="Times New Roman"/>
          <w:szCs w:val="24"/>
        </w:rPr>
        <w:t>ells were washed twice with ice cold FACS buffer (2% FBS + 1mM EDTA in PBS)</w:t>
      </w:r>
      <w:r>
        <w:rPr>
          <w:rFonts w:ascii="Times New Roman" w:hAnsi="Times New Roman"/>
          <w:szCs w:val="24"/>
        </w:rPr>
        <w:t xml:space="preserve"> and </w:t>
      </w:r>
      <w:r w:rsidRPr="00A97AC5">
        <w:rPr>
          <w:rFonts w:ascii="Times New Roman" w:hAnsi="Times New Roman"/>
          <w:szCs w:val="24"/>
        </w:rPr>
        <w:t>incubated with blocking buffer (1:100 dilution; BD bioscience</w:t>
      </w:r>
      <w:r>
        <w:rPr>
          <w:rFonts w:ascii="Times New Roman" w:hAnsi="Times New Roman"/>
          <w:szCs w:val="24"/>
        </w:rPr>
        <w:t>,</w:t>
      </w:r>
      <w:r w:rsidRPr="00A97AC5">
        <w:rPr>
          <w:rFonts w:ascii="Times New Roman" w:hAnsi="Times New Roman"/>
          <w:szCs w:val="24"/>
        </w:rPr>
        <w:t xml:space="preserve"> 553142 for mouse</w:t>
      </w:r>
      <w:r>
        <w:rPr>
          <w:rFonts w:ascii="Times New Roman" w:hAnsi="Times New Roman"/>
          <w:szCs w:val="24"/>
        </w:rPr>
        <w:t>)</w:t>
      </w:r>
      <w:r w:rsidRPr="00A97AC5">
        <w:rPr>
          <w:rFonts w:ascii="Times New Roman" w:hAnsi="Times New Roman"/>
          <w:szCs w:val="24"/>
        </w:rPr>
        <w:t xml:space="preserve"> for 15 mins at 4</w:t>
      </w:r>
      <w:r w:rsidRPr="00A97AC5">
        <w:rPr>
          <w:rFonts w:ascii="Times New Roman" w:hAnsi="Times New Roman"/>
          <w:szCs w:val="24"/>
          <w:vertAlign w:val="superscript"/>
        </w:rPr>
        <w:t>o</w:t>
      </w:r>
      <w:r w:rsidRPr="00A97AC5">
        <w:rPr>
          <w:rFonts w:ascii="Times New Roman" w:hAnsi="Times New Roman"/>
          <w:szCs w:val="24"/>
        </w:rPr>
        <w:t>C.</w:t>
      </w:r>
      <w:r>
        <w:rPr>
          <w:rFonts w:ascii="Times New Roman" w:hAnsi="Times New Roman"/>
          <w:szCs w:val="24"/>
        </w:rPr>
        <w:t xml:space="preserve"> All</w:t>
      </w:r>
      <w:r w:rsidRPr="00A97AC5">
        <w:rPr>
          <w:rFonts w:ascii="Times New Roman" w:hAnsi="Times New Roman"/>
          <w:szCs w:val="24"/>
        </w:rPr>
        <w:t xml:space="preserve"> </w:t>
      </w:r>
      <w:r>
        <w:rPr>
          <w:rFonts w:ascii="Times New Roman" w:hAnsi="Times New Roman"/>
          <w:szCs w:val="24"/>
        </w:rPr>
        <w:t>p</w:t>
      </w:r>
      <w:r w:rsidRPr="00A97AC5">
        <w:rPr>
          <w:rFonts w:ascii="Times New Roman" w:hAnsi="Times New Roman"/>
          <w:szCs w:val="24"/>
        </w:rPr>
        <w:t>rimary antibody dilutions were</w:t>
      </w:r>
      <w:r>
        <w:rPr>
          <w:rFonts w:ascii="Times New Roman" w:hAnsi="Times New Roman"/>
          <w:szCs w:val="24"/>
        </w:rPr>
        <w:t xml:space="preserve"> initially</w:t>
      </w:r>
      <w:r w:rsidRPr="00A97AC5">
        <w:rPr>
          <w:rFonts w:ascii="Times New Roman" w:hAnsi="Times New Roman"/>
          <w:szCs w:val="24"/>
        </w:rPr>
        <w:t xml:space="preserve"> prepared in brilliant stain buffer (BD bioscience 563794). Cells were incubated </w:t>
      </w:r>
      <w:r>
        <w:rPr>
          <w:rFonts w:ascii="Times New Roman" w:hAnsi="Times New Roman"/>
          <w:szCs w:val="24"/>
        </w:rPr>
        <w:t xml:space="preserve">with primary antibody cocktail on ice </w:t>
      </w:r>
      <w:r w:rsidRPr="00A97AC5">
        <w:rPr>
          <w:rFonts w:ascii="Times New Roman" w:hAnsi="Times New Roman"/>
          <w:szCs w:val="24"/>
        </w:rPr>
        <w:t>for 1 hour</w:t>
      </w:r>
      <w:r>
        <w:rPr>
          <w:rFonts w:ascii="Times New Roman" w:hAnsi="Times New Roman"/>
          <w:szCs w:val="24"/>
        </w:rPr>
        <w:t xml:space="preserve"> in the dark. Cells were</w:t>
      </w:r>
      <w:r w:rsidRPr="00A97AC5">
        <w:rPr>
          <w:rFonts w:ascii="Times New Roman" w:hAnsi="Times New Roman"/>
          <w:szCs w:val="24"/>
        </w:rPr>
        <w:t xml:space="preserve"> washed 2 to 3 times with FACS buffer and incubated with secondary antibody solution for 20 minutes. Cells were then washed </w:t>
      </w:r>
      <w:r>
        <w:rPr>
          <w:rFonts w:ascii="Times New Roman" w:hAnsi="Times New Roman"/>
          <w:szCs w:val="24"/>
        </w:rPr>
        <w:t>twice</w:t>
      </w:r>
      <w:r w:rsidRPr="00A97AC5">
        <w:rPr>
          <w:rFonts w:ascii="Times New Roman" w:hAnsi="Times New Roman"/>
          <w:szCs w:val="24"/>
        </w:rPr>
        <w:t xml:space="preserve"> and re-suspended in FACS buffer with DAPI (4-6, Diamidino-2-Phenylindole; 1µg/ml; Invitrogen D1306). FACS was performed using a Becton-Dickinson Aria II equipped with 5 lasers (BD bioscience). </w:t>
      </w:r>
      <w:r>
        <w:rPr>
          <w:rFonts w:ascii="Times New Roman" w:hAnsi="Times New Roman"/>
          <w:szCs w:val="24"/>
        </w:rPr>
        <w:t xml:space="preserve">Initial compensation was set up using </w:t>
      </w:r>
      <w:proofErr w:type="spellStart"/>
      <w:r>
        <w:rPr>
          <w:rFonts w:ascii="Times New Roman" w:hAnsi="Times New Roman"/>
          <w:szCs w:val="24"/>
        </w:rPr>
        <w:t>Ultracomp</w:t>
      </w:r>
      <w:proofErr w:type="spellEnd"/>
      <w:r>
        <w:rPr>
          <w:rFonts w:ascii="Times New Roman" w:hAnsi="Times New Roman"/>
          <w:szCs w:val="24"/>
        </w:rPr>
        <w:t xml:space="preserve"> b</w:t>
      </w:r>
      <w:r w:rsidRPr="00A97AC5">
        <w:rPr>
          <w:rFonts w:ascii="Times New Roman" w:hAnsi="Times New Roman"/>
          <w:szCs w:val="24"/>
        </w:rPr>
        <w:t>eads (</w:t>
      </w:r>
      <w:proofErr w:type="spellStart"/>
      <w:r w:rsidRPr="00A97AC5">
        <w:rPr>
          <w:rFonts w:ascii="Times New Roman" w:hAnsi="Times New Roman"/>
          <w:szCs w:val="24"/>
        </w:rPr>
        <w:t>eBioscience</w:t>
      </w:r>
      <w:proofErr w:type="spellEnd"/>
      <w:r w:rsidRPr="00A97AC5">
        <w:rPr>
          <w:rFonts w:ascii="Times New Roman" w:hAnsi="Times New Roman"/>
          <w:szCs w:val="24"/>
        </w:rPr>
        <w:t xml:space="preserve"> 01-1111)</w:t>
      </w:r>
      <w:r>
        <w:rPr>
          <w:rFonts w:ascii="Times New Roman" w:hAnsi="Times New Roman"/>
          <w:szCs w:val="24"/>
        </w:rPr>
        <w:t xml:space="preserve">. </w:t>
      </w:r>
      <w:r w:rsidRPr="00A97AC5">
        <w:rPr>
          <w:rFonts w:ascii="Times New Roman" w:hAnsi="Times New Roman"/>
          <w:szCs w:val="24"/>
        </w:rPr>
        <w:t xml:space="preserve">Fluorescence minus one (FMO) controls were used for additional compensation and to assess background levels for each stain. Gates were drawn as determined by internal FMO controls to separate positive and negative populations for each cell surface marker. Typically, </w:t>
      </w:r>
      <w:r>
        <w:rPr>
          <w:rFonts w:ascii="Times New Roman" w:hAnsi="Times New Roman"/>
          <w:szCs w:val="24"/>
        </w:rPr>
        <w:t>5</w:t>
      </w:r>
      <w:r w:rsidRPr="00A97AC5">
        <w:rPr>
          <w:rFonts w:ascii="Times New Roman" w:hAnsi="Times New Roman"/>
          <w:szCs w:val="24"/>
        </w:rPr>
        <w:t xml:space="preserve"> to </w:t>
      </w:r>
      <w:r>
        <w:rPr>
          <w:rFonts w:ascii="Times New Roman" w:hAnsi="Times New Roman"/>
          <w:szCs w:val="24"/>
        </w:rPr>
        <w:t>10</w:t>
      </w:r>
      <w:r w:rsidRPr="00A97AC5">
        <w:rPr>
          <w:rFonts w:ascii="Times New Roman" w:hAnsi="Times New Roman"/>
          <w:szCs w:val="24"/>
        </w:rPr>
        <w:t xml:space="preserve"> million events were recorded for each FACS analysis, and the data was analyzed using </w:t>
      </w:r>
      <w:proofErr w:type="spellStart"/>
      <w:r w:rsidRPr="00A97AC5">
        <w:rPr>
          <w:rFonts w:ascii="Times New Roman" w:hAnsi="Times New Roman"/>
          <w:szCs w:val="24"/>
        </w:rPr>
        <w:t>FlowJo</w:t>
      </w:r>
      <w:proofErr w:type="spellEnd"/>
      <w:r w:rsidRPr="00A97AC5">
        <w:rPr>
          <w:rFonts w:ascii="Times New Roman" w:hAnsi="Times New Roman"/>
          <w:szCs w:val="24"/>
        </w:rPr>
        <w:t xml:space="preserve"> (version 10.1). Calculations were made in Excel and bar graphs were generated in </w:t>
      </w:r>
      <w:proofErr w:type="spellStart"/>
      <w:r w:rsidRPr="00A97AC5">
        <w:rPr>
          <w:rFonts w:ascii="Times New Roman" w:hAnsi="Times New Roman"/>
          <w:szCs w:val="24"/>
        </w:rPr>
        <w:t>GraphPad</w:t>
      </w:r>
      <w:proofErr w:type="spellEnd"/>
      <w:r w:rsidRPr="00A97AC5">
        <w:rPr>
          <w:rFonts w:ascii="Times New Roman" w:hAnsi="Times New Roman"/>
          <w:szCs w:val="24"/>
        </w:rPr>
        <w:t xml:space="preserve"> Prism. </w:t>
      </w:r>
      <w:r w:rsidRPr="007263B1">
        <w:rPr>
          <w:rFonts w:ascii="Times New Roman" w:hAnsi="Times New Roman"/>
          <w:szCs w:val="24"/>
        </w:rPr>
        <w:t xml:space="preserve">To better depict the FACS gating strategy, color-coded boxes </w:t>
      </w:r>
      <w:r>
        <w:rPr>
          <w:rFonts w:ascii="Times New Roman" w:hAnsi="Times New Roman"/>
          <w:szCs w:val="24"/>
        </w:rPr>
        <w:t xml:space="preserve">were drawn </w:t>
      </w:r>
      <w:r w:rsidRPr="007263B1">
        <w:rPr>
          <w:rFonts w:ascii="Times New Roman" w:hAnsi="Times New Roman"/>
          <w:szCs w:val="24"/>
        </w:rPr>
        <w:t xml:space="preserve">to illustrate parent/daughter gates. </w:t>
      </w:r>
    </w:p>
    <w:p w:rsidR="002D744A" w:rsidRDefault="002D744A" w:rsidP="00BA35FD">
      <w:pPr>
        <w:spacing w:line="480" w:lineRule="auto"/>
        <w:rPr>
          <w:rFonts w:ascii="Times New Roman" w:hAnsi="Times New Roman"/>
          <w:szCs w:val="24"/>
        </w:rPr>
      </w:pPr>
    </w:p>
    <w:p w:rsidR="002D744A" w:rsidRDefault="002D744A" w:rsidP="00BA35FD">
      <w:pPr>
        <w:spacing w:line="480" w:lineRule="auto"/>
        <w:rPr>
          <w:rFonts w:ascii="Times New Roman" w:hAnsi="Times New Roman"/>
          <w:b/>
          <w:bCs/>
          <w:szCs w:val="24"/>
        </w:rPr>
      </w:pPr>
      <w:r w:rsidRPr="00A47786">
        <w:rPr>
          <w:rFonts w:ascii="Times New Roman" w:hAnsi="Times New Roman"/>
          <w:b/>
          <w:bCs/>
          <w:szCs w:val="24"/>
        </w:rPr>
        <w:t>FACS antibodies:</w:t>
      </w:r>
    </w:p>
    <w:p w:rsidR="002D744A" w:rsidRPr="00432C37" w:rsidRDefault="002D744A" w:rsidP="00BA35FD">
      <w:pPr>
        <w:spacing w:line="480" w:lineRule="auto"/>
        <w:rPr>
          <w:rFonts w:ascii="Times New Roman" w:eastAsiaTheme="minorHAnsi" w:hAnsi="Times New Roman"/>
          <w:szCs w:val="24"/>
        </w:rPr>
      </w:pPr>
      <w:r>
        <w:rPr>
          <w:rFonts w:ascii="Times New Roman" w:hAnsi="Times New Roman"/>
          <w:szCs w:val="24"/>
        </w:rPr>
        <w:t xml:space="preserve">FACS antibodies for mouse samples include CD45 (clone 30-F11, BD bioscience), CD31 (clone MEC13.3, BD bioscience), Ter119 (clone Ter119, BD bioscience), CD90.2 (clone 53-2.1, BD bioscience), BP-1 (clone 6C3, </w:t>
      </w:r>
      <w:proofErr w:type="spellStart"/>
      <w:r>
        <w:rPr>
          <w:rFonts w:ascii="Times New Roman" w:hAnsi="Times New Roman"/>
          <w:szCs w:val="24"/>
        </w:rPr>
        <w:t>eBioscience</w:t>
      </w:r>
      <w:proofErr w:type="spellEnd"/>
      <w:r>
        <w:rPr>
          <w:rFonts w:ascii="Times New Roman" w:hAnsi="Times New Roman"/>
          <w:szCs w:val="24"/>
        </w:rPr>
        <w:t xml:space="preserve">), CD200 (clone OX-90, BD bioscience), CD105 (clone MJ7/18, </w:t>
      </w:r>
      <w:proofErr w:type="spellStart"/>
      <w:r>
        <w:rPr>
          <w:rFonts w:ascii="Times New Roman" w:hAnsi="Times New Roman"/>
          <w:szCs w:val="24"/>
        </w:rPr>
        <w:t>Biolegend</w:t>
      </w:r>
      <w:proofErr w:type="spellEnd"/>
      <w:r>
        <w:rPr>
          <w:rFonts w:ascii="Times New Roman" w:hAnsi="Times New Roman"/>
          <w:szCs w:val="24"/>
        </w:rPr>
        <w:t xml:space="preserve">), CD24 (clone M1/69, BD bioscience), CD29 (clone HMβ1-1, </w:t>
      </w:r>
      <w:proofErr w:type="spellStart"/>
      <w:r>
        <w:rPr>
          <w:rFonts w:ascii="Times New Roman" w:hAnsi="Times New Roman"/>
          <w:szCs w:val="24"/>
        </w:rPr>
        <w:t>Biolegend</w:t>
      </w:r>
      <w:proofErr w:type="spellEnd"/>
      <w:r>
        <w:rPr>
          <w:rFonts w:ascii="Times New Roman" w:hAnsi="Times New Roman"/>
          <w:szCs w:val="24"/>
        </w:rPr>
        <w:t xml:space="preserve">), CD36 (clone CRF D-2712, BD bioscience), CD146 (clone ME-9F1, BD bioscience), CD140α (clone APA5, </w:t>
      </w:r>
      <w:proofErr w:type="spellStart"/>
      <w:r>
        <w:rPr>
          <w:rFonts w:ascii="Times New Roman" w:hAnsi="Times New Roman"/>
          <w:szCs w:val="24"/>
        </w:rPr>
        <w:t>Biolegend</w:t>
      </w:r>
      <w:proofErr w:type="spellEnd"/>
      <w:r>
        <w:rPr>
          <w:rFonts w:ascii="Times New Roman" w:hAnsi="Times New Roman"/>
          <w:szCs w:val="24"/>
        </w:rPr>
        <w:t xml:space="preserve">), </w:t>
      </w:r>
      <w:proofErr w:type="spellStart"/>
      <w:r>
        <w:rPr>
          <w:rFonts w:ascii="Times New Roman" w:hAnsi="Times New Roman"/>
          <w:szCs w:val="24"/>
        </w:rPr>
        <w:t>LeptinR</w:t>
      </w:r>
      <w:proofErr w:type="spellEnd"/>
      <w:r>
        <w:rPr>
          <w:rFonts w:ascii="Times New Roman" w:hAnsi="Times New Roman"/>
          <w:szCs w:val="24"/>
        </w:rPr>
        <w:t xml:space="preserve"> (R&amp;D system), Streptavidin </w:t>
      </w:r>
      <w:proofErr w:type="spellStart"/>
      <w:r>
        <w:rPr>
          <w:rFonts w:ascii="Times New Roman" w:hAnsi="Times New Roman"/>
          <w:szCs w:val="24"/>
        </w:rPr>
        <w:t>eFluor</w:t>
      </w:r>
      <w:proofErr w:type="spellEnd"/>
      <w:r>
        <w:rPr>
          <w:rFonts w:ascii="Times New Roman" w:hAnsi="Times New Roman"/>
          <w:szCs w:val="24"/>
        </w:rPr>
        <w:t xml:space="preserve"> 710 (</w:t>
      </w:r>
      <w:proofErr w:type="spellStart"/>
      <w:r>
        <w:rPr>
          <w:rFonts w:ascii="Times New Roman" w:hAnsi="Times New Roman"/>
          <w:szCs w:val="24"/>
        </w:rPr>
        <w:t>eBioscence</w:t>
      </w:r>
      <w:proofErr w:type="spellEnd"/>
      <w:r>
        <w:rPr>
          <w:rFonts w:ascii="Times New Roman" w:hAnsi="Times New Roman"/>
          <w:szCs w:val="24"/>
        </w:rPr>
        <w:t>), Streptavidin BUV737 (BD bioscience).</w:t>
      </w:r>
      <w:r>
        <w:rPr>
          <w:rFonts w:ascii="Times New Roman" w:eastAsiaTheme="minorHAnsi" w:hAnsi="Times New Roman"/>
          <w:szCs w:val="24"/>
        </w:rPr>
        <w:t xml:space="preserve"> </w:t>
      </w:r>
    </w:p>
    <w:p w:rsidR="002D744A" w:rsidRDefault="002D744A" w:rsidP="00B83B95">
      <w:pPr>
        <w:spacing w:line="480" w:lineRule="auto"/>
        <w:rPr>
          <w:rFonts w:ascii="Times New Roman" w:hAnsi="Times New Roman"/>
          <w:szCs w:val="24"/>
        </w:rPr>
      </w:pPr>
      <w:r>
        <w:rPr>
          <w:rFonts w:ascii="Times New Roman" w:hAnsi="Times New Roman"/>
          <w:b/>
          <w:szCs w:val="24"/>
        </w:rPr>
        <w:t>Sample prepara</w:t>
      </w:r>
      <w:r w:rsidRPr="00A97AC5">
        <w:rPr>
          <w:rFonts w:ascii="Times New Roman" w:hAnsi="Times New Roman"/>
          <w:b/>
          <w:szCs w:val="24"/>
        </w:rPr>
        <w:t>tion for cryo-sectioning:</w:t>
      </w:r>
      <w:r w:rsidRPr="00A97AC5">
        <w:rPr>
          <w:rFonts w:ascii="Times New Roman" w:hAnsi="Times New Roman"/>
          <w:szCs w:val="24"/>
        </w:rPr>
        <w:cr/>
      </w:r>
      <w:r>
        <w:rPr>
          <w:rFonts w:ascii="Times New Roman" w:hAnsi="Times New Roman"/>
          <w:szCs w:val="24"/>
        </w:rPr>
        <w:t>M</w:t>
      </w:r>
      <w:r w:rsidRPr="00A97AC5">
        <w:rPr>
          <w:rFonts w:ascii="Times New Roman" w:hAnsi="Times New Roman"/>
          <w:szCs w:val="24"/>
        </w:rPr>
        <w:t>ouse</w:t>
      </w:r>
      <w:r>
        <w:rPr>
          <w:rFonts w:ascii="Times New Roman" w:hAnsi="Times New Roman"/>
          <w:szCs w:val="24"/>
        </w:rPr>
        <w:t xml:space="preserve"> bone</w:t>
      </w:r>
      <w:r w:rsidRPr="00A97AC5">
        <w:rPr>
          <w:rFonts w:ascii="Times New Roman" w:hAnsi="Times New Roman"/>
          <w:szCs w:val="24"/>
        </w:rPr>
        <w:t xml:space="preserve"> samples were </w:t>
      </w:r>
      <w:r>
        <w:rPr>
          <w:rFonts w:ascii="Times New Roman" w:hAnsi="Times New Roman"/>
          <w:szCs w:val="24"/>
        </w:rPr>
        <w:t xml:space="preserve">extracted and </w:t>
      </w:r>
      <w:r w:rsidRPr="00A97AC5">
        <w:rPr>
          <w:rFonts w:ascii="Times New Roman" w:hAnsi="Times New Roman"/>
          <w:szCs w:val="24"/>
        </w:rPr>
        <w:t>fixed with 4% Paraformaldehyde (PFA) for 4</w:t>
      </w:r>
      <w:r>
        <w:rPr>
          <w:rFonts w:ascii="Times New Roman" w:hAnsi="Times New Roman"/>
          <w:szCs w:val="24"/>
        </w:rPr>
        <w:t>-6</w:t>
      </w:r>
      <w:r w:rsidRPr="00A97AC5">
        <w:rPr>
          <w:rFonts w:ascii="Times New Roman" w:hAnsi="Times New Roman"/>
          <w:szCs w:val="24"/>
        </w:rPr>
        <w:t xml:space="preserve"> hours at 4°C. Samples were washed </w:t>
      </w:r>
      <w:r>
        <w:rPr>
          <w:rFonts w:ascii="Times New Roman" w:hAnsi="Times New Roman"/>
          <w:szCs w:val="24"/>
        </w:rPr>
        <w:t xml:space="preserve">three times </w:t>
      </w:r>
      <w:r w:rsidRPr="00A97AC5">
        <w:rPr>
          <w:rFonts w:ascii="Times New Roman" w:hAnsi="Times New Roman"/>
          <w:szCs w:val="24"/>
        </w:rPr>
        <w:t>with PBS and decalcified with 0.5M EDTA for 1-5 days depending on the</w:t>
      </w:r>
      <w:r>
        <w:rPr>
          <w:rFonts w:ascii="Times New Roman" w:hAnsi="Times New Roman"/>
          <w:szCs w:val="24"/>
        </w:rPr>
        <w:t xml:space="preserve"> size and the </w:t>
      </w:r>
      <w:r w:rsidRPr="00A97AC5">
        <w:rPr>
          <w:rFonts w:ascii="Times New Roman" w:hAnsi="Times New Roman"/>
          <w:szCs w:val="24"/>
        </w:rPr>
        <w:t xml:space="preserve">age of </w:t>
      </w:r>
      <w:r>
        <w:rPr>
          <w:rFonts w:ascii="Times New Roman" w:hAnsi="Times New Roman"/>
          <w:szCs w:val="24"/>
        </w:rPr>
        <w:t>the mice from which the specimens were harvested</w:t>
      </w:r>
      <w:r w:rsidRPr="00A97AC5">
        <w:rPr>
          <w:rFonts w:ascii="Times New Roman" w:hAnsi="Times New Roman"/>
          <w:szCs w:val="24"/>
        </w:rPr>
        <w:t>. Samples were incubated with infiltration solution (20% sucrose + 2% PVP in PBS) in rocking conditions until they sank to the bottom of the tube.  Embedding was performed with OCT + 15% sucrose</w:t>
      </w:r>
      <w:r>
        <w:rPr>
          <w:rFonts w:ascii="Times New Roman" w:hAnsi="Times New Roman"/>
          <w:szCs w:val="24"/>
        </w:rPr>
        <w:t>,</w:t>
      </w:r>
      <w:r w:rsidRPr="00A97AC5">
        <w:rPr>
          <w:rFonts w:ascii="Times New Roman" w:hAnsi="Times New Roman"/>
          <w:szCs w:val="24"/>
        </w:rPr>
        <w:t xml:space="preserve"> and samples were preserved at -80</w:t>
      </w:r>
      <w:r w:rsidRPr="00A97AC5">
        <w:rPr>
          <w:rFonts w:ascii="Times New Roman" w:hAnsi="Times New Roman"/>
          <w:szCs w:val="24"/>
          <w:vertAlign w:val="superscript"/>
        </w:rPr>
        <w:t>o</w:t>
      </w:r>
      <w:r w:rsidRPr="00A97AC5">
        <w:rPr>
          <w:rFonts w:ascii="Times New Roman" w:hAnsi="Times New Roman"/>
          <w:szCs w:val="24"/>
        </w:rPr>
        <w:t>C. 10-20 µm thick sections wer</w:t>
      </w:r>
      <w:r>
        <w:rPr>
          <w:rFonts w:ascii="Times New Roman" w:hAnsi="Times New Roman"/>
          <w:szCs w:val="24"/>
        </w:rPr>
        <w:t xml:space="preserve">e cut using a Leica cryostat. </w:t>
      </w:r>
    </w:p>
    <w:p w:rsidR="002D744A" w:rsidRDefault="002D744A" w:rsidP="00B83B95">
      <w:pPr>
        <w:spacing w:line="480" w:lineRule="auto"/>
        <w:rPr>
          <w:rFonts w:ascii="Times New Roman" w:hAnsi="Times New Roman"/>
          <w:szCs w:val="24"/>
        </w:rPr>
      </w:pPr>
      <w:r w:rsidRPr="00A97AC5">
        <w:rPr>
          <w:rFonts w:ascii="Times New Roman" w:hAnsi="Times New Roman"/>
          <w:b/>
          <w:szCs w:val="24"/>
        </w:rPr>
        <w:t>Immunohistochemistry (IHC):</w:t>
      </w:r>
      <w:r w:rsidRPr="00A97AC5">
        <w:rPr>
          <w:rFonts w:ascii="Times New Roman" w:hAnsi="Times New Roman"/>
          <w:szCs w:val="24"/>
        </w:rPr>
        <w:cr/>
        <w:t>Frozen samples were thawed at room temperature (RT)</w:t>
      </w:r>
      <w:r>
        <w:rPr>
          <w:rFonts w:ascii="Times New Roman" w:hAnsi="Times New Roman"/>
          <w:szCs w:val="24"/>
        </w:rPr>
        <w:t xml:space="preserve">. </w:t>
      </w:r>
      <w:r w:rsidRPr="00A97AC5">
        <w:rPr>
          <w:rFonts w:ascii="Times New Roman" w:hAnsi="Times New Roman"/>
          <w:szCs w:val="24"/>
        </w:rPr>
        <w:t xml:space="preserve"> </w:t>
      </w:r>
      <w:r>
        <w:rPr>
          <w:rFonts w:ascii="Times New Roman" w:hAnsi="Times New Roman"/>
          <w:szCs w:val="24"/>
        </w:rPr>
        <w:t xml:space="preserve">Tissue sections were circumscribed with an </w:t>
      </w:r>
      <w:proofErr w:type="spellStart"/>
      <w:r>
        <w:rPr>
          <w:rFonts w:ascii="Times New Roman" w:hAnsi="Times New Roman"/>
          <w:szCs w:val="24"/>
        </w:rPr>
        <w:t>ImmEdge</w:t>
      </w:r>
      <w:proofErr w:type="spellEnd"/>
      <w:r>
        <w:rPr>
          <w:rFonts w:ascii="Times New Roman" w:hAnsi="Times New Roman"/>
          <w:szCs w:val="24"/>
        </w:rPr>
        <w:t xml:space="preserve"> pen (Vector, cat no H-4000) and allowed to dry. Samples were then </w:t>
      </w:r>
      <w:r w:rsidRPr="00A97AC5">
        <w:rPr>
          <w:rFonts w:ascii="Times New Roman" w:hAnsi="Times New Roman"/>
          <w:szCs w:val="24"/>
        </w:rPr>
        <w:t>rehydrated with PBS, permeabilized with PBS + 0.3% Triton X-100 for 15mins and blocked for 1</w:t>
      </w:r>
      <w:r>
        <w:rPr>
          <w:rFonts w:ascii="Times New Roman" w:hAnsi="Times New Roman"/>
          <w:szCs w:val="24"/>
        </w:rPr>
        <w:t xml:space="preserve"> </w:t>
      </w:r>
      <w:r w:rsidRPr="00A97AC5">
        <w:rPr>
          <w:rFonts w:ascii="Times New Roman" w:hAnsi="Times New Roman"/>
          <w:szCs w:val="24"/>
        </w:rPr>
        <w:t xml:space="preserve">hour with 5% donkey serum + 0.3% Triton X-100 in PBS (blocking buffer). Dilutions of primary antibodies were freshly prepared in blocking buffer. Samples were incubated overnight </w:t>
      </w:r>
      <w:r w:rsidRPr="00A97AC5">
        <w:rPr>
          <w:rFonts w:ascii="Times New Roman" w:hAnsi="Times New Roman"/>
          <w:szCs w:val="24"/>
        </w:rPr>
        <w:lastRenderedPageBreak/>
        <w:t>with primary antibodies at 4°C, then washed three times with PBS. Secondary antibodies (1:2000 dilution</w:t>
      </w:r>
      <w:r>
        <w:rPr>
          <w:rFonts w:ascii="Times New Roman" w:hAnsi="Times New Roman"/>
          <w:szCs w:val="24"/>
        </w:rPr>
        <w:t xml:space="preserve"> in blocking buffer</w:t>
      </w:r>
      <w:r w:rsidRPr="00A97AC5">
        <w:rPr>
          <w:rFonts w:ascii="Times New Roman" w:hAnsi="Times New Roman"/>
          <w:szCs w:val="24"/>
        </w:rPr>
        <w:t xml:space="preserve">) were added to the sample for 1-2 hours, followed by washing three times with PBS. DAPI (300 nM) was added for 5-10 mins and the samples were mounted with </w:t>
      </w:r>
      <w:proofErr w:type="spellStart"/>
      <w:r w:rsidRPr="00A97AC5">
        <w:rPr>
          <w:rFonts w:ascii="Times New Roman" w:hAnsi="Times New Roman"/>
          <w:szCs w:val="24"/>
        </w:rPr>
        <w:t>antifade</w:t>
      </w:r>
      <w:proofErr w:type="spellEnd"/>
      <w:r w:rsidRPr="00A97AC5">
        <w:rPr>
          <w:rFonts w:ascii="Times New Roman" w:hAnsi="Times New Roman"/>
          <w:szCs w:val="24"/>
        </w:rPr>
        <w:t xml:space="preserve"> mounting solution (Life technologies, cat no P36970). Imaging was performed with a Zeiss LSM 880 </w:t>
      </w:r>
      <w:r>
        <w:rPr>
          <w:rFonts w:ascii="Times New Roman" w:hAnsi="Times New Roman"/>
          <w:szCs w:val="24"/>
        </w:rPr>
        <w:t>confocal microscope</w:t>
      </w:r>
      <w:r w:rsidRPr="00A97AC5">
        <w:rPr>
          <w:rFonts w:ascii="Times New Roman" w:hAnsi="Times New Roman"/>
          <w:szCs w:val="24"/>
        </w:rPr>
        <w:t xml:space="preserve"> with </w:t>
      </w:r>
      <w:r>
        <w:rPr>
          <w:rFonts w:ascii="Times New Roman" w:hAnsi="Times New Roman"/>
          <w:szCs w:val="24"/>
        </w:rPr>
        <w:t xml:space="preserve">an </w:t>
      </w:r>
      <w:proofErr w:type="spellStart"/>
      <w:r w:rsidRPr="00A97AC5">
        <w:rPr>
          <w:rFonts w:ascii="Times New Roman" w:hAnsi="Times New Roman"/>
          <w:szCs w:val="24"/>
        </w:rPr>
        <w:t>Airyscan</w:t>
      </w:r>
      <w:proofErr w:type="spellEnd"/>
      <w:r w:rsidRPr="00A97AC5">
        <w:rPr>
          <w:rFonts w:ascii="Times New Roman" w:hAnsi="Times New Roman"/>
          <w:szCs w:val="24"/>
        </w:rPr>
        <w:t xml:space="preserve"> high resolutio</w:t>
      </w:r>
      <w:r>
        <w:rPr>
          <w:rFonts w:ascii="Times New Roman" w:hAnsi="Times New Roman"/>
          <w:szCs w:val="24"/>
        </w:rPr>
        <w:t>n detector.</w:t>
      </w:r>
    </w:p>
    <w:p w:rsidR="002D744A" w:rsidRPr="00010776" w:rsidRDefault="002D744A" w:rsidP="00B83B95">
      <w:pPr>
        <w:spacing w:line="480" w:lineRule="auto"/>
        <w:rPr>
          <w:rFonts w:ascii="Times New Roman" w:hAnsi="Times New Roman"/>
          <w:b/>
          <w:szCs w:val="24"/>
        </w:rPr>
      </w:pPr>
      <w:r w:rsidRPr="00010776">
        <w:rPr>
          <w:rFonts w:ascii="Times New Roman" w:hAnsi="Times New Roman"/>
          <w:b/>
          <w:szCs w:val="24"/>
        </w:rPr>
        <w:t>Neutral lipid staining:</w:t>
      </w:r>
    </w:p>
    <w:p w:rsidR="002D744A" w:rsidRDefault="002D744A" w:rsidP="00B83B95">
      <w:pPr>
        <w:spacing w:line="480" w:lineRule="auto"/>
        <w:rPr>
          <w:rFonts w:ascii="Times New Roman" w:hAnsi="Times New Roman"/>
          <w:szCs w:val="24"/>
        </w:rPr>
      </w:pPr>
      <w:r>
        <w:rPr>
          <w:rFonts w:ascii="Times New Roman" w:hAnsi="Times New Roman"/>
          <w:szCs w:val="24"/>
        </w:rPr>
        <w:t xml:space="preserve">Cryopreserved PFA fixed tissue specimens were allowed to come to room temperature. Samples were briefly rehydrated with PBS. </w:t>
      </w:r>
      <w:proofErr w:type="spellStart"/>
      <w:r>
        <w:rPr>
          <w:rFonts w:ascii="Times New Roman" w:hAnsi="Times New Roman"/>
          <w:szCs w:val="24"/>
        </w:rPr>
        <w:t>LipidTox</w:t>
      </w:r>
      <w:proofErr w:type="spellEnd"/>
      <w:r>
        <w:rPr>
          <w:rFonts w:ascii="Times New Roman" w:hAnsi="Times New Roman"/>
          <w:szCs w:val="24"/>
        </w:rPr>
        <w:t xml:space="preserve"> neutral lipid stain was prepared at a 1:200 dilution in PBS + 0.3% </w:t>
      </w:r>
      <w:proofErr w:type="spellStart"/>
      <w:r>
        <w:rPr>
          <w:rFonts w:ascii="Times New Roman" w:hAnsi="Times New Roman"/>
          <w:szCs w:val="24"/>
        </w:rPr>
        <w:t>Digitonin</w:t>
      </w:r>
      <w:proofErr w:type="spellEnd"/>
      <w:r>
        <w:rPr>
          <w:rFonts w:ascii="Times New Roman" w:hAnsi="Times New Roman"/>
          <w:szCs w:val="24"/>
        </w:rPr>
        <w:t xml:space="preserve"> and added to tissue samples for 30 mins at room temperature. Samples were washed with PBS, mounted and subsequently imaged. We used HCS </w:t>
      </w:r>
      <w:proofErr w:type="spellStart"/>
      <w:r>
        <w:rPr>
          <w:rFonts w:ascii="Times New Roman" w:hAnsi="Times New Roman"/>
          <w:szCs w:val="24"/>
        </w:rPr>
        <w:t>LipidTox</w:t>
      </w:r>
      <w:proofErr w:type="spellEnd"/>
      <w:r>
        <w:rPr>
          <w:rFonts w:ascii="Times New Roman" w:hAnsi="Times New Roman"/>
          <w:szCs w:val="24"/>
        </w:rPr>
        <w:t xml:space="preserve"> deep red neutral lipid stain (Invitrogen, H34477) and HCS </w:t>
      </w:r>
      <w:proofErr w:type="spellStart"/>
      <w:r>
        <w:rPr>
          <w:rFonts w:ascii="Times New Roman" w:hAnsi="Times New Roman"/>
          <w:szCs w:val="24"/>
        </w:rPr>
        <w:t>LipidTox</w:t>
      </w:r>
      <w:proofErr w:type="spellEnd"/>
      <w:r>
        <w:rPr>
          <w:rFonts w:ascii="Times New Roman" w:hAnsi="Times New Roman"/>
          <w:szCs w:val="24"/>
        </w:rPr>
        <w:t xml:space="preserve"> green neutral lipid stain (Invitrogen, H34475).</w:t>
      </w:r>
    </w:p>
    <w:p w:rsidR="002D744A" w:rsidRDefault="002D744A" w:rsidP="00B83B95">
      <w:pPr>
        <w:spacing w:line="480" w:lineRule="auto"/>
        <w:rPr>
          <w:rFonts w:ascii="Times New Roman" w:hAnsi="Times New Roman"/>
          <w:szCs w:val="24"/>
        </w:rPr>
      </w:pPr>
      <w:r w:rsidRPr="00A97AC5">
        <w:rPr>
          <w:rFonts w:ascii="Times New Roman" w:hAnsi="Times New Roman"/>
          <w:b/>
          <w:szCs w:val="24"/>
        </w:rPr>
        <w:t>Primary antibodies for IHC:</w:t>
      </w:r>
      <w:r w:rsidRPr="00A97AC5">
        <w:rPr>
          <w:rFonts w:ascii="Times New Roman" w:hAnsi="Times New Roman"/>
          <w:szCs w:val="24"/>
        </w:rPr>
        <w:cr/>
        <w:t xml:space="preserve">Primary antibodies used </w:t>
      </w:r>
      <w:r>
        <w:rPr>
          <w:rFonts w:ascii="Times New Roman" w:hAnsi="Times New Roman"/>
          <w:szCs w:val="24"/>
        </w:rPr>
        <w:t xml:space="preserve">include antibodies recognizing </w:t>
      </w:r>
      <w:proofErr w:type="spellStart"/>
      <w:r w:rsidRPr="00471FDA">
        <w:rPr>
          <w:rFonts w:ascii="Times New Roman" w:hAnsi="Times New Roman"/>
          <w:szCs w:val="24"/>
        </w:rPr>
        <w:t>Nestin</w:t>
      </w:r>
      <w:proofErr w:type="spellEnd"/>
      <w:r w:rsidRPr="00471FDA">
        <w:rPr>
          <w:rFonts w:ascii="Times New Roman" w:hAnsi="Times New Roman"/>
          <w:szCs w:val="24"/>
        </w:rPr>
        <w:t xml:space="preserve"> (</w:t>
      </w:r>
      <w:proofErr w:type="spellStart"/>
      <w:r w:rsidRPr="00471FDA">
        <w:rPr>
          <w:rFonts w:ascii="Times New Roman" w:hAnsi="Times New Roman"/>
          <w:szCs w:val="24"/>
        </w:rPr>
        <w:t>A</w:t>
      </w:r>
      <w:r>
        <w:rPr>
          <w:rFonts w:ascii="Times New Roman" w:hAnsi="Times New Roman"/>
          <w:szCs w:val="24"/>
        </w:rPr>
        <w:t>bcam</w:t>
      </w:r>
      <w:proofErr w:type="spellEnd"/>
      <w:r>
        <w:rPr>
          <w:rFonts w:ascii="Times New Roman" w:hAnsi="Times New Roman"/>
          <w:szCs w:val="24"/>
        </w:rPr>
        <w:t>, ab11306, 1:200 dilution),</w:t>
      </w:r>
      <w:r w:rsidRPr="00471FDA">
        <w:rPr>
          <w:rFonts w:ascii="Times New Roman" w:hAnsi="Times New Roman"/>
          <w:szCs w:val="24"/>
        </w:rPr>
        <w:t xml:space="preserve"> </w:t>
      </w:r>
      <w:r>
        <w:rPr>
          <w:rFonts w:ascii="Times New Roman" w:hAnsi="Times New Roman"/>
          <w:szCs w:val="24"/>
        </w:rPr>
        <w:t>Perilipin 1 (</w:t>
      </w:r>
      <w:proofErr w:type="spellStart"/>
      <w:r>
        <w:rPr>
          <w:rFonts w:ascii="Times New Roman" w:hAnsi="Times New Roman"/>
          <w:szCs w:val="24"/>
        </w:rPr>
        <w:t>Abcam</w:t>
      </w:r>
      <w:proofErr w:type="spellEnd"/>
      <w:r>
        <w:rPr>
          <w:rFonts w:ascii="Times New Roman" w:hAnsi="Times New Roman"/>
          <w:szCs w:val="24"/>
        </w:rPr>
        <w:t>, ab3526</w:t>
      </w:r>
      <w:r w:rsidRPr="00471FDA">
        <w:rPr>
          <w:rFonts w:ascii="Times New Roman" w:hAnsi="Times New Roman"/>
          <w:szCs w:val="24"/>
        </w:rPr>
        <w:t xml:space="preserve">, 1:100 dilution), </w:t>
      </w:r>
      <w:r>
        <w:rPr>
          <w:rFonts w:ascii="Times New Roman" w:hAnsi="Times New Roman"/>
          <w:szCs w:val="24"/>
        </w:rPr>
        <w:t>CD24</w:t>
      </w:r>
      <w:r w:rsidRPr="00471FDA">
        <w:rPr>
          <w:rFonts w:ascii="Times New Roman" w:hAnsi="Times New Roman"/>
          <w:szCs w:val="24"/>
        </w:rPr>
        <w:t xml:space="preserve"> (</w:t>
      </w:r>
      <w:proofErr w:type="spellStart"/>
      <w:r>
        <w:rPr>
          <w:rFonts w:ascii="Times New Roman" w:hAnsi="Times New Roman"/>
          <w:szCs w:val="24"/>
        </w:rPr>
        <w:t>Abcam</w:t>
      </w:r>
      <w:proofErr w:type="spellEnd"/>
      <w:r w:rsidRPr="00471FDA">
        <w:rPr>
          <w:rFonts w:ascii="Times New Roman" w:hAnsi="Times New Roman"/>
          <w:szCs w:val="24"/>
        </w:rPr>
        <w:t xml:space="preserve">, </w:t>
      </w:r>
      <w:r>
        <w:rPr>
          <w:rFonts w:ascii="Times New Roman" w:hAnsi="Times New Roman"/>
          <w:szCs w:val="24"/>
        </w:rPr>
        <w:t>ab64064 , 1:100 dilution),</w:t>
      </w:r>
      <w:r w:rsidRPr="00471FDA">
        <w:rPr>
          <w:rFonts w:ascii="Times New Roman" w:hAnsi="Times New Roman"/>
          <w:szCs w:val="24"/>
        </w:rPr>
        <w:t xml:space="preserve"> Runx2 (</w:t>
      </w:r>
      <w:proofErr w:type="spellStart"/>
      <w:r w:rsidRPr="00471FDA">
        <w:rPr>
          <w:rFonts w:ascii="Times New Roman" w:hAnsi="Times New Roman"/>
          <w:szCs w:val="24"/>
        </w:rPr>
        <w:t>Abcam</w:t>
      </w:r>
      <w:proofErr w:type="spellEnd"/>
      <w:r w:rsidRPr="00471FDA">
        <w:rPr>
          <w:rFonts w:ascii="Times New Roman" w:hAnsi="Times New Roman"/>
          <w:szCs w:val="24"/>
        </w:rPr>
        <w:t xml:space="preserve">, ab76956, 1:200 dilution), </w:t>
      </w:r>
      <w:proofErr w:type="spellStart"/>
      <w:r w:rsidRPr="00471FDA">
        <w:rPr>
          <w:rFonts w:ascii="Times New Roman" w:hAnsi="Times New Roman"/>
          <w:szCs w:val="24"/>
        </w:rPr>
        <w:t>Alpl</w:t>
      </w:r>
      <w:proofErr w:type="spellEnd"/>
      <w:r w:rsidRPr="00471FDA">
        <w:rPr>
          <w:rFonts w:ascii="Times New Roman" w:hAnsi="Times New Roman"/>
          <w:szCs w:val="24"/>
        </w:rPr>
        <w:t xml:space="preserve"> (</w:t>
      </w:r>
      <w:proofErr w:type="spellStart"/>
      <w:r w:rsidRPr="00471FDA">
        <w:rPr>
          <w:rFonts w:ascii="Times New Roman" w:hAnsi="Times New Roman"/>
          <w:szCs w:val="24"/>
        </w:rPr>
        <w:t>Abcam</w:t>
      </w:r>
      <w:proofErr w:type="spellEnd"/>
      <w:r w:rsidRPr="00471FDA">
        <w:rPr>
          <w:rFonts w:ascii="Times New Roman" w:hAnsi="Times New Roman"/>
          <w:szCs w:val="24"/>
        </w:rPr>
        <w:t xml:space="preserve">, ab108337, 1:100 dilution), </w:t>
      </w:r>
      <w:proofErr w:type="spellStart"/>
      <w:r>
        <w:rPr>
          <w:rFonts w:ascii="Times New Roman" w:hAnsi="Times New Roman"/>
          <w:szCs w:val="24"/>
        </w:rPr>
        <w:t>PPARγ</w:t>
      </w:r>
      <w:proofErr w:type="spellEnd"/>
      <w:r>
        <w:rPr>
          <w:rFonts w:ascii="Times New Roman" w:hAnsi="Times New Roman"/>
          <w:szCs w:val="24"/>
        </w:rPr>
        <w:t xml:space="preserve"> (</w:t>
      </w:r>
      <w:proofErr w:type="spellStart"/>
      <w:r>
        <w:rPr>
          <w:rFonts w:ascii="Times New Roman" w:hAnsi="Times New Roman"/>
          <w:szCs w:val="24"/>
        </w:rPr>
        <w:t>Abcam</w:t>
      </w:r>
      <w:proofErr w:type="spellEnd"/>
      <w:r>
        <w:rPr>
          <w:rFonts w:ascii="Times New Roman" w:hAnsi="Times New Roman"/>
          <w:szCs w:val="24"/>
        </w:rPr>
        <w:t>, ab59256</w:t>
      </w:r>
      <w:r w:rsidRPr="00471FDA">
        <w:rPr>
          <w:rFonts w:ascii="Times New Roman" w:hAnsi="Times New Roman"/>
          <w:szCs w:val="24"/>
        </w:rPr>
        <w:t xml:space="preserve">, 1:100 dilution), </w:t>
      </w:r>
      <w:r>
        <w:rPr>
          <w:rFonts w:ascii="Times New Roman" w:hAnsi="Times New Roman"/>
          <w:szCs w:val="24"/>
        </w:rPr>
        <w:t>Cxcl12 (</w:t>
      </w:r>
      <w:proofErr w:type="spellStart"/>
      <w:r>
        <w:rPr>
          <w:rFonts w:ascii="Times New Roman" w:hAnsi="Times New Roman"/>
          <w:szCs w:val="24"/>
        </w:rPr>
        <w:t>Abcam</w:t>
      </w:r>
      <w:proofErr w:type="spellEnd"/>
      <w:r>
        <w:rPr>
          <w:rFonts w:ascii="Times New Roman" w:hAnsi="Times New Roman"/>
          <w:szCs w:val="24"/>
        </w:rPr>
        <w:t>, ab25117, 1:100 dilution), FABP4 (</w:t>
      </w:r>
      <w:proofErr w:type="spellStart"/>
      <w:r>
        <w:rPr>
          <w:rFonts w:ascii="Times New Roman" w:hAnsi="Times New Roman"/>
          <w:szCs w:val="24"/>
        </w:rPr>
        <w:t>Abcam</w:t>
      </w:r>
      <w:proofErr w:type="spellEnd"/>
      <w:r>
        <w:rPr>
          <w:rFonts w:ascii="Times New Roman" w:hAnsi="Times New Roman"/>
          <w:szCs w:val="24"/>
        </w:rPr>
        <w:t>, ab92501, 1:50 dilution) and</w:t>
      </w:r>
      <w:r w:rsidRPr="00A97AC5">
        <w:rPr>
          <w:rFonts w:ascii="Times New Roman" w:hAnsi="Times New Roman"/>
          <w:szCs w:val="24"/>
        </w:rPr>
        <w:t xml:space="preserve"> </w:t>
      </w:r>
      <w:r>
        <w:rPr>
          <w:rFonts w:ascii="Times New Roman" w:hAnsi="Times New Roman"/>
          <w:szCs w:val="24"/>
        </w:rPr>
        <w:t>Endomucin (</w:t>
      </w:r>
      <w:proofErr w:type="spellStart"/>
      <w:r>
        <w:rPr>
          <w:rFonts w:ascii="Times New Roman" w:hAnsi="Times New Roman"/>
          <w:szCs w:val="24"/>
        </w:rPr>
        <w:t>Abcam</w:t>
      </w:r>
      <w:proofErr w:type="spellEnd"/>
      <w:r>
        <w:rPr>
          <w:rFonts w:ascii="Times New Roman" w:hAnsi="Times New Roman"/>
          <w:szCs w:val="24"/>
        </w:rPr>
        <w:t>, ab 106100, 1:100 dilution).</w:t>
      </w:r>
    </w:p>
    <w:p w:rsidR="002D744A" w:rsidRDefault="002D744A" w:rsidP="004F5E57">
      <w:pPr>
        <w:spacing w:line="480" w:lineRule="auto"/>
        <w:rPr>
          <w:rFonts w:ascii="Times New Roman" w:hAnsi="Times New Roman"/>
          <w:szCs w:val="24"/>
        </w:rPr>
      </w:pPr>
      <w:r w:rsidRPr="007E71FA">
        <w:rPr>
          <w:rFonts w:ascii="Times New Roman" w:hAnsi="Times New Roman"/>
          <w:b/>
          <w:szCs w:val="24"/>
        </w:rPr>
        <w:t>Hyperion staining:</w:t>
      </w:r>
    </w:p>
    <w:p w:rsidR="002D744A" w:rsidRDefault="002D744A" w:rsidP="004F5E57">
      <w:pPr>
        <w:spacing w:line="480" w:lineRule="auto"/>
        <w:rPr>
          <w:rFonts w:ascii="Times New Roman" w:hAnsi="Times New Roman"/>
          <w:szCs w:val="24"/>
        </w:rPr>
      </w:pPr>
      <w:r>
        <w:rPr>
          <w:rFonts w:ascii="Times New Roman" w:hAnsi="Times New Roman"/>
          <w:szCs w:val="24"/>
        </w:rPr>
        <w:t xml:space="preserve">15-day old mouse femurs were fixed in 4% PFA and samples were cryopreserved as described above. Freshly cut 5μm sections were mounted onto charged slides and Hyperion staining was conducted within 24 hours. Antibody clones were initially validated through separate immunofluorescence staining. For each antibody, 100μg of purified antibody in a BSA and </w:t>
      </w:r>
      <w:proofErr w:type="spellStart"/>
      <w:r>
        <w:rPr>
          <w:rFonts w:ascii="Times New Roman" w:hAnsi="Times New Roman"/>
          <w:szCs w:val="24"/>
        </w:rPr>
        <w:t>azide</w:t>
      </w:r>
      <w:proofErr w:type="spellEnd"/>
      <w:r>
        <w:rPr>
          <w:rFonts w:ascii="Times New Roman" w:hAnsi="Times New Roman"/>
          <w:szCs w:val="24"/>
        </w:rPr>
        <w:t xml:space="preserve"> </w:t>
      </w:r>
      <w:r>
        <w:rPr>
          <w:rFonts w:ascii="Times New Roman" w:hAnsi="Times New Roman"/>
          <w:szCs w:val="24"/>
        </w:rPr>
        <w:lastRenderedPageBreak/>
        <w:t xml:space="preserve">free format was heavy metal conjugated using the </w:t>
      </w:r>
      <w:proofErr w:type="spellStart"/>
      <w:r>
        <w:rPr>
          <w:rFonts w:ascii="Times New Roman" w:hAnsi="Times New Roman"/>
          <w:szCs w:val="24"/>
        </w:rPr>
        <w:t>MaxPar</w:t>
      </w:r>
      <w:proofErr w:type="spellEnd"/>
      <w:r>
        <w:rPr>
          <w:rFonts w:ascii="Times New Roman" w:hAnsi="Times New Roman"/>
          <w:szCs w:val="24"/>
        </w:rPr>
        <w:t xml:space="preserve"> X8 </w:t>
      </w:r>
      <w:proofErr w:type="spellStart"/>
      <w:r>
        <w:rPr>
          <w:rFonts w:ascii="Times New Roman" w:hAnsi="Times New Roman"/>
          <w:szCs w:val="24"/>
        </w:rPr>
        <w:t>multimetal</w:t>
      </w:r>
      <w:proofErr w:type="spellEnd"/>
      <w:r>
        <w:rPr>
          <w:rFonts w:ascii="Times New Roman" w:hAnsi="Times New Roman"/>
          <w:szCs w:val="24"/>
        </w:rPr>
        <w:t xml:space="preserve"> labeling kit (</w:t>
      </w:r>
      <w:proofErr w:type="spellStart"/>
      <w:r>
        <w:rPr>
          <w:rFonts w:ascii="Times New Roman" w:hAnsi="Times New Roman"/>
          <w:szCs w:val="24"/>
        </w:rPr>
        <w:t>Fluidigm</w:t>
      </w:r>
      <w:proofErr w:type="spellEnd"/>
      <w:r>
        <w:rPr>
          <w:rFonts w:ascii="Times New Roman" w:hAnsi="Times New Roman"/>
          <w:szCs w:val="24"/>
        </w:rPr>
        <w:t xml:space="preserve">) according to the manufacturer’s protocol. Antibodies were conjugated with suitable heavy metals depending on the abundance of their target in bone tissue. Freshly cut 5μm sections of femur samples were permeabilized with </w:t>
      </w:r>
      <w:r w:rsidRPr="00A97AC5">
        <w:rPr>
          <w:rFonts w:ascii="Times New Roman" w:hAnsi="Times New Roman"/>
          <w:szCs w:val="24"/>
        </w:rPr>
        <w:t>PBS + 0.3% Triton X-100 for 15mins and blocked for 1</w:t>
      </w:r>
      <w:r>
        <w:rPr>
          <w:rFonts w:ascii="Times New Roman" w:hAnsi="Times New Roman"/>
          <w:szCs w:val="24"/>
        </w:rPr>
        <w:t xml:space="preserve">-2 </w:t>
      </w:r>
      <w:r w:rsidRPr="00A97AC5">
        <w:rPr>
          <w:rFonts w:ascii="Times New Roman" w:hAnsi="Times New Roman"/>
          <w:szCs w:val="24"/>
        </w:rPr>
        <w:t>hour</w:t>
      </w:r>
      <w:r>
        <w:rPr>
          <w:rFonts w:ascii="Times New Roman" w:hAnsi="Times New Roman"/>
          <w:szCs w:val="24"/>
        </w:rPr>
        <w:t>s</w:t>
      </w:r>
      <w:r w:rsidRPr="00A97AC5">
        <w:rPr>
          <w:rFonts w:ascii="Times New Roman" w:hAnsi="Times New Roman"/>
          <w:szCs w:val="24"/>
        </w:rPr>
        <w:t xml:space="preserve"> with 5% donkey serum + 0.3% Triton X-100 in PBS (blocking buffer).</w:t>
      </w:r>
      <w:r>
        <w:rPr>
          <w:rFonts w:ascii="Times New Roman" w:hAnsi="Times New Roman"/>
          <w:szCs w:val="24"/>
        </w:rPr>
        <w:t xml:space="preserve"> All heavy metal conjugated antibodies were freshly prepared in the blocking buffer and samples were incubated overnight with the antibody cocktail at 4°C. Samples were extensively washed with PBS several times. Cell nuclei were stained with </w:t>
      </w:r>
      <w:proofErr w:type="spellStart"/>
      <w:r>
        <w:rPr>
          <w:rFonts w:ascii="Times New Roman" w:hAnsi="Times New Roman"/>
          <w:szCs w:val="24"/>
        </w:rPr>
        <w:t>Intercalator</w:t>
      </w:r>
      <w:proofErr w:type="spellEnd"/>
      <w:r>
        <w:rPr>
          <w:rFonts w:ascii="Times New Roman" w:hAnsi="Times New Roman"/>
          <w:szCs w:val="24"/>
        </w:rPr>
        <w:t xml:space="preserve">-Iridium diluted in PBS for 30 mins at RT. Slides were briefly washed with </w:t>
      </w:r>
      <w:proofErr w:type="spellStart"/>
      <w:r>
        <w:rPr>
          <w:rFonts w:ascii="Times New Roman" w:hAnsi="Times New Roman"/>
          <w:szCs w:val="24"/>
        </w:rPr>
        <w:t>MilliQ</w:t>
      </w:r>
      <w:proofErr w:type="spellEnd"/>
      <w:r>
        <w:rPr>
          <w:rFonts w:ascii="Times New Roman" w:hAnsi="Times New Roman"/>
          <w:szCs w:val="24"/>
        </w:rPr>
        <w:t xml:space="preserve"> purified water and air dried prior to ablation.</w:t>
      </w:r>
    </w:p>
    <w:p w:rsidR="002D744A" w:rsidRPr="008663AC" w:rsidRDefault="002D744A" w:rsidP="00704CA0">
      <w:pPr>
        <w:spacing w:line="480" w:lineRule="auto"/>
        <w:rPr>
          <w:rFonts w:ascii="Times New Roman" w:hAnsi="Times New Roman"/>
          <w:b/>
          <w:szCs w:val="24"/>
        </w:rPr>
      </w:pPr>
      <w:r>
        <w:rPr>
          <w:rFonts w:ascii="Times New Roman" w:hAnsi="Times New Roman"/>
          <w:b/>
          <w:szCs w:val="24"/>
        </w:rPr>
        <w:t>Antibody h</w:t>
      </w:r>
      <w:r w:rsidRPr="008663AC">
        <w:rPr>
          <w:rFonts w:ascii="Times New Roman" w:hAnsi="Times New Roman"/>
          <w:b/>
          <w:szCs w:val="24"/>
        </w:rPr>
        <w:t xml:space="preserve">eavy </w:t>
      </w:r>
      <w:r>
        <w:rPr>
          <w:rFonts w:ascii="Times New Roman" w:hAnsi="Times New Roman"/>
          <w:b/>
          <w:szCs w:val="24"/>
        </w:rPr>
        <w:t xml:space="preserve">metal conjugation </w:t>
      </w:r>
      <w:r w:rsidRPr="008663AC">
        <w:rPr>
          <w:rFonts w:ascii="Times New Roman" w:hAnsi="Times New Roman"/>
          <w:b/>
          <w:szCs w:val="24"/>
        </w:rPr>
        <w:t>for Hyperion</w:t>
      </w:r>
      <w:r>
        <w:rPr>
          <w:rFonts w:ascii="Times New Roman" w:hAnsi="Times New Roman"/>
          <w:b/>
          <w:szCs w:val="24"/>
        </w:rPr>
        <w:t xml:space="preserve"> staining</w:t>
      </w:r>
      <w:r w:rsidRPr="008663AC">
        <w:rPr>
          <w:rFonts w:ascii="Times New Roman" w:hAnsi="Times New Roman"/>
          <w:b/>
          <w:szCs w:val="24"/>
        </w:rPr>
        <w:t>:</w:t>
      </w:r>
    </w:p>
    <w:p w:rsidR="002D744A" w:rsidRDefault="002D744A" w:rsidP="004F5E57">
      <w:pPr>
        <w:spacing w:line="480" w:lineRule="auto"/>
        <w:rPr>
          <w:rFonts w:ascii="Times New Roman" w:hAnsi="Times New Roman"/>
          <w:szCs w:val="24"/>
        </w:rPr>
      </w:pPr>
      <w:r>
        <w:rPr>
          <w:rFonts w:ascii="Times New Roman" w:hAnsi="Times New Roman"/>
          <w:szCs w:val="24"/>
        </w:rPr>
        <w:t>The following antibodies were conjugated with heavy metals and used at the specific dilutions to stain the tissue specimen. CD200 (</w:t>
      </w:r>
      <w:proofErr w:type="spellStart"/>
      <w:r>
        <w:rPr>
          <w:rFonts w:ascii="Times New Roman" w:hAnsi="Times New Roman"/>
          <w:szCs w:val="24"/>
        </w:rPr>
        <w:t>Abcam</w:t>
      </w:r>
      <w:proofErr w:type="spellEnd"/>
      <w:r>
        <w:rPr>
          <w:rFonts w:ascii="Times New Roman" w:hAnsi="Times New Roman"/>
          <w:szCs w:val="24"/>
        </w:rPr>
        <w:t>, ab33734) to 158Gd (1:50 dilution), CD105 (</w:t>
      </w:r>
      <w:proofErr w:type="spellStart"/>
      <w:r>
        <w:rPr>
          <w:rFonts w:ascii="Times New Roman" w:hAnsi="Times New Roman"/>
          <w:szCs w:val="24"/>
        </w:rPr>
        <w:t>Abcam</w:t>
      </w:r>
      <w:proofErr w:type="spellEnd"/>
      <w:r>
        <w:rPr>
          <w:rFonts w:ascii="Times New Roman" w:hAnsi="Times New Roman"/>
          <w:szCs w:val="24"/>
        </w:rPr>
        <w:t>, ab107595) to 156Gd (1:100 dilution), DDR2 (</w:t>
      </w:r>
      <w:proofErr w:type="spellStart"/>
      <w:r>
        <w:rPr>
          <w:rFonts w:ascii="Times New Roman" w:hAnsi="Times New Roman"/>
          <w:szCs w:val="24"/>
        </w:rPr>
        <w:t>LSBio</w:t>
      </w:r>
      <w:proofErr w:type="spellEnd"/>
      <w:r>
        <w:rPr>
          <w:rFonts w:ascii="Times New Roman" w:hAnsi="Times New Roman"/>
          <w:szCs w:val="24"/>
        </w:rPr>
        <w:t>, LS-C164363) to 159Tb (1:100 dilution), TRAP (</w:t>
      </w:r>
      <w:proofErr w:type="spellStart"/>
      <w:r>
        <w:rPr>
          <w:rFonts w:ascii="Times New Roman" w:hAnsi="Times New Roman"/>
          <w:szCs w:val="24"/>
        </w:rPr>
        <w:t>Abcam</w:t>
      </w:r>
      <w:proofErr w:type="spellEnd"/>
      <w:r>
        <w:rPr>
          <w:rFonts w:ascii="Times New Roman" w:hAnsi="Times New Roman"/>
          <w:szCs w:val="24"/>
        </w:rPr>
        <w:t>, ab240970 to 167Er (1:50 dilution), Collagen 1 (</w:t>
      </w:r>
      <w:proofErr w:type="spellStart"/>
      <w:r>
        <w:rPr>
          <w:rFonts w:ascii="Times New Roman" w:hAnsi="Times New Roman"/>
          <w:szCs w:val="24"/>
        </w:rPr>
        <w:t>Abcam</w:t>
      </w:r>
      <w:proofErr w:type="spellEnd"/>
      <w:r>
        <w:rPr>
          <w:rFonts w:ascii="Times New Roman" w:hAnsi="Times New Roman"/>
          <w:szCs w:val="24"/>
        </w:rPr>
        <w:t>, ab34710) to 141Pr (1:100 dilution), CD24 (</w:t>
      </w:r>
      <w:proofErr w:type="spellStart"/>
      <w:r>
        <w:rPr>
          <w:rFonts w:ascii="Times New Roman" w:hAnsi="Times New Roman"/>
          <w:szCs w:val="24"/>
        </w:rPr>
        <w:t>Abcam</w:t>
      </w:r>
      <w:proofErr w:type="spellEnd"/>
      <w:r>
        <w:rPr>
          <w:rFonts w:ascii="Times New Roman" w:hAnsi="Times New Roman"/>
          <w:szCs w:val="24"/>
        </w:rPr>
        <w:t>, ab64064) to 172Yb (1:25 dilution), CD29 (</w:t>
      </w:r>
      <w:proofErr w:type="spellStart"/>
      <w:r>
        <w:rPr>
          <w:rFonts w:ascii="Times New Roman" w:hAnsi="Times New Roman"/>
          <w:szCs w:val="24"/>
        </w:rPr>
        <w:t>Abcam</w:t>
      </w:r>
      <w:proofErr w:type="spellEnd"/>
      <w:r>
        <w:rPr>
          <w:rFonts w:ascii="Times New Roman" w:hAnsi="Times New Roman"/>
          <w:szCs w:val="24"/>
        </w:rPr>
        <w:t>, ab221776) to 163Dy (1:25 dilution), Galectin1 (</w:t>
      </w:r>
      <w:proofErr w:type="spellStart"/>
      <w:r>
        <w:rPr>
          <w:rFonts w:ascii="Times New Roman" w:hAnsi="Times New Roman"/>
          <w:szCs w:val="24"/>
        </w:rPr>
        <w:t>Abcam</w:t>
      </w:r>
      <w:proofErr w:type="spellEnd"/>
      <w:r>
        <w:rPr>
          <w:rFonts w:ascii="Times New Roman" w:hAnsi="Times New Roman"/>
          <w:szCs w:val="24"/>
        </w:rPr>
        <w:t>, ab225540) to 166Er (1:100 dilution), Perilipin 1 (</w:t>
      </w:r>
      <w:proofErr w:type="spellStart"/>
      <w:r>
        <w:rPr>
          <w:rFonts w:ascii="Times New Roman" w:hAnsi="Times New Roman"/>
          <w:szCs w:val="24"/>
        </w:rPr>
        <w:t>Abcam</w:t>
      </w:r>
      <w:proofErr w:type="spellEnd"/>
      <w:r>
        <w:rPr>
          <w:rFonts w:ascii="Times New Roman" w:hAnsi="Times New Roman"/>
          <w:szCs w:val="24"/>
        </w:rPr>
        <w:t>, ab3526) to 161Dy (1:100 dilution), CD146 (</w:t>
      </w:r>
      <w:proofErr w:type="spellStart"/>
      <w:r>
        <w:rPr>
          <w:rFonts w:ascii="Times New Roman" w:hAnsi="Times New Roman"/>
          <w:szCs w:val="24"/>
        </w:rPr>
        <w:t>Abcam</w:t>
      </w:r>
      <w:proofErr w:type="spellEnd"/>
      <w:r>
        <w:rPr>
          <w:rFonts w:ascii="Times New Roman" w:hAnsi="Times New Roman"/>
          <w:szCs w:val="24"/>
        </w:rPr>
        <w:t>, ab210072) to 175Lu (1:50 dilution), CD140α (</w:t>
      </w:r>
      <w:proofErr w:type="spellStart"/>
      <w:r>
        <w:rPr>
          <w:rFonts w:ascii="Times New Roman" w:hAnsi="Times New Roman"/>
          <w:szCs w:val="24"/>
        </w:rPr>
        <w:t>Abcam</w:t>
      </w:r>
      <w:proofErr w:type="spellEnd"/>
      <w:r>
        <w:rPr>
          <w:rFonts w:ascii="Times New Roman" w:hAnsi="Times New Roman"/>
          <w:szCs w:val="24"/>
        </w:rPr>
        <w:t xml:space="preserve">, ab234965) to 165Ho (1:50 dilution), </w:t>
      </w:r>
      <w:proofErr w:type="spellStart"/>
      <w:r>
        <w:rPr>
          <w:rFonts w:ascii="Times New Roman" w:hAnsi="Times New Roman"/>
          <w:szCs w:val="24"/>
        </w:rPr>
        <w:t>Nestin</w:t>
      </w:r>
      <w:proofErr w:type="spellEnd"/>
      <w:r>
        <w:rPr>
          <w:rFonts w:ascii="Times New Roman" w:hAnsi="Times New Roman"/>
          <w:szCs w:val="24"/>
        </w:rPr>
        <w:t xml:space="preserve"> (</w:t>
      </w:r>
      <w:proofErr w:type="spellStart"/>
      <w:r>
        <w:rPr>
          <w:rFonts w:ascii="Times New Roman" w:hAnsi="Times New Roman"/>
          <w:szCs w:val="24"/>
        </w:rPr>
        <w:t>Abcam</w:t>
      </w:r>
      <w:proofErr w:type="spellEnd"/>
      <w:r>
        <w:rPr>
          <w:rFonts w:ascii="Times New Roman" w:hAnsi="Times New Roman"/>
          <w:szCs w:val="24"/>
        </w:rPr>
        <w:t>, ab134017) to 171Yb (1:50 dilution), and Cxcl12 (</w:t>
      </w:r>
      <w:proofErr w:type="spellStart"/>
      <w:r>
        <w:rPr>
          <w:rFonts w:ascii="Times New Roman" w:hAnsi="Times New Roman"/>
          <w:szCs w:val="24"/>
        </w:rPr>
        <w:t>Abcam</w:t>
      </w:r>
      <w:proofErr w:type="spellEnd"/>
      <w:r>
        <w:rPr>
          <w:rFonts w:ascii="Times New Roman" w:hAnsi="Times New Roman"/>
          <w:szCs w:val="24"/>
        </w:rPr>
        <w:t xml:space="preserve">, ab25117) 153Eu (1:50 dilution). </w:t>
      </w:r>
    </w:p>
    <w:p w:rsidR="002D744A" w:rsidRPr="00380CF3" w:rsidRDefault="002D744A" w:rsidP="00380CF3">
      <w:pPr>
        <w:spacing w:line="480" w:lineRule="auto"/>
        <w:rPr>
          <w:rFonts w:ascii="Times New Roman" w:hAnsi="Times New Roman"/>
          <w:b/>
          <w:szCs w:val="24"/>
        </w:rPr>
      </w:pPr>
      <w:r w:rsidRPr="00380CF3">
        <w:rPr>
          <w:rFonts w:ascii="Times New Roman" w:hAnsi="Times New Roman"/>
          <w:b/>
          <w:szCs w:val="24"/>
        </w:rPr>
        <w:t>Imaging mass cytometry and data processing:</w:t>
      </w:r>
    </w:p>
    <w:p w:rsidR="002D744A" w:rsidRPr="002D69BC" w:rsidRDefault="002D744A" w:rsidP="000B1C88">
      <w:pPr>
        <w:spacing w:line="480" w:lineRule="auto"/>
        <w:rPr>
          <w:rFonts w:ascii="Times New Roman" w:hAnsi="Times New Roman"/>
        </w:rPr>
      </w:pPr>
      <w:r w:rsidRPr="00380CF3">
        <w:rPr>
          <w:rFonts w:ascii="Times New Roman" w:hAnsi="Times New Roman"/>
        </w:rPr>
        <w:t>The stained slides were ablated on Hyperion Imaging System (</w:t>
      </w:r>
      <w:proofErr w:type="spellStart"/>
      <w:r w:rsidRPr="00380CF3">
        <w:rPr>
          <w:rFonts w:ascii="Times New Roman" w:hAnsi="Times New Roman"/>
        </w:rPr>
        <w:t>Fluidigm</w:t>
      </w:r>
      <w:proofErr w:type="spellEnd"/>
      <w:r w:rsidRPr="00380CF3">
        <w:rPr>
          <w:rFonts w:ascii="Times New Roman" w:hAnsi="Times New Roman"/>
        </w:rPr>
        <w:t xml:space="preserve">). </w:t>
      </w:r>
      <w:r>
        <w:rPr>
          <w:rFonts w:ascii="Times New Roman" w:hAnsi="Times New Roman"/>
        </w:rPr>
        <w:t>This</w:t>
      </w:r>
      <w:r w:rsidRPr="00380CF3">
        <w:rPr>
          <w:rFonts w:ascii="Times New Roman" w:hAnsi="Times New Roman"/>
        </w:rPr>
        <w:t xml:space="preserve"> instrument was calibrated using </w:t>
      </w:r>
      <w:r>
        <w:rPr>
          <w:rFonts w:ascii="Times New Roman" w:hAnsi="Times New Roman"/>
        </w:rPr>
        <w:t>a</w:t>
      </w:r>
      <w:r w:rsidRPr="00380CF3">
        <w:rPr>
          <w:rFonts w:ascii="Times New Roman" w:hAnsi="Times New Roman"/>
        </w:rPr>
        <w:t xml:space="preserve"> tuning slide to optimize the sensitivity of detection range. The region of interest (ROI) to ablate was chosen.  The ROI was scanned at 200 Hz and ablation energy of the </w:t>
      </w:r>
      <w:r w:rsidRPr="00380CF3">
        <w:rPr>
          <w:rFonts w:ascii="Times New Roman" w:hAnsi="Times New Roman"/>
        </w:rPr>
        <w:lastRenderedPageBreak/>
        <w:t xml:space="preserve">laser was tested to ensure that the specified tissue sections were successfully ablated without significant etching of the glass slide. The final raw data was output in the .MCD file format which contained all the metadata, the raw intensities for each laser </w:t>
      </w:r>
      <w:r>
        <w:rPr>
          <w:rFonts w:ascii="Times New Roman" w:hAnsi="Times New Roman"/>
        </w:rPr>
        <w:t>pulse</w:t>
      </w:r>
      <w:r w:rsidRPr="00380CF3">
        <w:rPr>
          <w:rFonts w:ascii="Times New Roman" w:hAnsi="Times New Roman"/>
        </w:rPr>
        <w:t xml:space="preserve"> (1 micron</w:t>
      </w:r>
      <w:r>
        <w:rPr>
          <w:rFonts w:ascii="Times New Roman" w:hAnsi="Times New Roman"/>
        </w:rPr>
        <w:t xml:space="preserve"> </w:t>
      </w:r>
      <w:r w:rsidRPr="00380CF3">
        <w:rPr>
          <w:rFonts w:ascii="Times New Roman" w:hAnsi="Times New Roman"/>
        </w:rPr>
        <w:t xml:space="preserve">resolution) and .TXT files. Specificity of the antibodies post conjugation was validated by observing </w:t>
      </w:r>
      <w:r>
        <w:rPr>
          <w:rFonts w:ascii="Times New Roman" w:hAnsi="Times New Roman"/>
        </w:rPr>
        <w:t>the</w:t>
      </w:r>
      <w:r w:rsidRPr="00380CF3">
        <w:rPr>
          <w:rFonts w:ascii="Times New Roman" w:hAnsi="Times New Roman"/>
        </w:rPr>
        <w:t xml:space="preserve"> expected staining pattern with good signal-to-noise ratio for each channel.  The .MCD file was uploaded to MCD Viewer (</w:t>
      </w:r>
      <w:proofErr w:type="spellStart"/>
      <w:r w:rsidRPr="00380CF3">
        <w:rPr>
          <w:rFonts w:ascii="Times New Roman" w:hAnsi="Times New Roman"/>
        </w:rPr>
        <w:t>Fluidigm</w:t>
      </w:r>
      <w:proofErr w:type="spellEnd"/>
      <w:r w:rsidRPr="00380CF3">
        <w:rPr>
          <w:rFonts w:ascii="Times New Roman" w:hAnsi="Times New Roman"/>
        </w:rPr>
        <w:t xml:space="preserve">) to view the images. TIFF files for every individual channel were exported for image generation using the Fiji Image J software. Data in TIFF format were segmented into single cells using a Cell Profiler (version 3.0.0) pipeline. Cell masking was performed where the cell nuclei and cell cytoplasm were identified.  The masked data was </w:t>
      </w:r>
      <w:r>
        <w:rPr>
          <w:rFonts w:ascii="Times New Roman" w:hAnsi="Times New Roman"/>
        </w:rPr>
        <w:t>processed using</w:t>
      </w:r>
      <w:r w:rsidRPr="00380CF3">
        <w:rPr>
          <w:rFonts w:ascii="Times New Roman" w:hAnsi="Times New Roman"/>
        </w:rPr>
        <w:t xml:space="preserve"> </w:t>
      </w:r>
      <w:proofErr w:type="spellStart"/>
      <w:r w:rsidRPr="00380CF3">
        <w:rPr>
          <w:rFonts w:ascii="Times New Roman" w:hAnsi="Times New Roman"/>
        </w:rPr>
        <w:t>histoCAT</w:t>
      </w:r>
      <w:proofErr w:type="spellEnd"/>
      <w:r w:rsidRPr="00380CF3">
        <w:rPr>
          <w:rFonts w:ascii="Times New Roman" w:hAnsi="Times New Roman"/>
        </w:rPr>
        <w:t xml:space="preserve"> (version 1.73) for further downstream analysis. </w:t>
      </w:r>
      <w:r>
        <w:rPr>
          <w:rFonts w:ascii="Times New Roman" w:hAnsi="Times New Roman"/>
        </w:rPr>
        <w:t xml:space="preserve">                                                                                                                                                           </w:t>
      </w:r>
      <w:r w:rsidRPr="004E532E">
        <w:rPr>
          <w:rFonts w:ascii="Times New Roman" w:hAnsi="Times New Roman"/>
          <w:b/>
          <w:bCs/>
        </w:rPr>
        <w:t>Hyperion data analysis:</w:t>
      </w:r>
    </w:p>
    <w:p w:rsidR="002D744A" w:rsidRPr="000B1C88" w:rsidRDefault="002D744A" w:rsidP="004F5E57">
      <w:pPr>
        <w:spacing w:line="480" w:lineRule="auto"/>
      </w:pPr>
      <w:r>
        <w:rPr>
          <w:rFonts w:ascii="Times New Roman" w:hAnsi="Times New Roman"/>
        </w:rPr>
        <w:t xml:space="preserve">Spectral plots were generated, and cells were segregated into positive and negative populations for each marker based on its expression using </w:t>
      </w:r>
      <w:proofErr w:type="spellStart"/>
      <w:r w:rsidRPr="00A97AC5">
        <w:rPr>
          <w:rFonts w:ascii="Times New Roman" w:hAnsi="Times New Roman"/>
          <w:szCs w:val="24"/>
        </w:rPr>
        <w:t>FlowJo</w:t>
      </w:r>
      <w:proofErr w:type="spellEnd"/>
      <w:r w:rsidRPr="00A97AC5">
        <w:rPr>
          <w:rFonts w:ascii="Times New Roman" w:hAnsi="Times New Roman"/>
          <w:szCs w:val="24"/>
        </w:rPr>
        <w:t xml:space="preserve"> (version 10.1)</w:t>
      </w:r>
      <w:r>
        <w:rPr>
          <w:rFonts w:ascii="Times New Roman" w:hAnsi="Times New Roman"/>
          <w:szCs w:val="24"/>
        </w:rPr>
        <w:t xml:space="preserve"> software (Fig 4n, Extended Data Fig 4r). The analyzed data was exported in CSV format and the files were merged with the mother file where each cell was annotated based on marker expression. We broadly assigned cells </w:t>
      </w:r>
      <w:r>
        <w:rPr>
          <w:rFonts w:ascii="Times New Roman" w:hAnsi="Times New Roman"/>
        </w:rPr>
        <w:t xml:space="preserve">into 10 discrete populations (P1 to P10, Fig 4w) and the remaining cells were identified as </w:t>
      </w:r>
      <w:r w:rsidRPr="004E532E">
        <w:rPr>
          <w:rFonts w:ascii="Times New Roman" w:hAnsi="Times New Roman"/>
        </w:rPr>
        <w:t>“Other”</w:t>
      </w:r>
      <w:r>
        <w:rPr>
          <w:rFonts w:ascii="Times New Roman" w:hAnsi="Times New Roman"/>
        </w:rPr>
        <w:t xml:space="preserve"> and labelled as a P11 cell type. </w:t>
      </w:r>
      <w:r w:rsidRPr="00380CF3">
        <w:rPr>
          <w:rFonts w:ascii="Times New Roman" w:hAnsi="Times New Roman"/>
        </w:rPr>
        <w:t xml:space="preserve"> </w:t>
      </w:r>
      <w:r>
        <w:rPr>
          <w:rFonts w:ascii="Times New Roman" w:hAnsi="Times New Roman"/>
        </w:rPr>
        <w:t>To determine which cell types were</w:t>
      </w:r>
      <w:r w:rsidRPr="004E532E">
        <w:rPr>
          <w:rFonts w:ascii="Times New Roman" w:hAnsi="Times New Roman"/>
        </w:rPr>
        <w:t xml:space="preserve"> physically adjacent to </w:t>
      </w:r>
      <w:r>
        <w:rPr>
          <w:rFonts w:ascii="Times New Roman" w:hAnsi="Times New Roman"/>
        </w:rPr>
        <w:t xml:space="preserve">CD24+CD29+SSCs </w:t>
      </w:r>
      <w:r w:rsidRPr="004E532E">
        <w:rPr>
          <w:rFonts w:ascii="Times New Roman" w:hAnsi="Times New Roman"/>
        </w:rPr>
        <w:t xml:space="preserve">(P1), we extracted the top 10 </w:t>
      </w:r>
      <w:r>
        <w:rPr>
          <w:rFonts w:ascii="Times New Roman" w:hAnsi="Times New Roman"/>
        </w:rPr>
        <w:t>nearest</w:t>
      </w:r>
      <w:r w:rsidRPr="004E532E">
        <w:rPr>
          <w:rFonts w:ascii="Times New Roman" w:hAnsi="Times New Roman"/>
        </w:rPr>
        <w:t xml:space="preserve"> neighbor</w:t>
      </w:r>
      <w:r>
        <w:rPr>
          <w:rFonts w:ascii="Times New Roman" w:hAnsi="Times New Roman"/>
        </w:rPr>
        <w:t>ing</w:t>
      </w:r>
      <w:r w:rsidRPr="004E532E">
        <w:rPr>
          <w:rFonts w:ascii="Times New Roman" w:hAnsi="Times New Roman"/>
        </w:rPr>
        <w:t xml:space="preserve"> cells for each P1 cell based on the Euclidean distance. </w:t>
      </w:r>
      <w:r>
        <w:rPr>
          <w:rFonts w:ascii="Times New Roman" w:hAnsi="Times New Roman"/>
        </w:rPr>
        <w:t>Two-sided Fisher’s exact test was used to compare</w:t>
      </w:r>
      <w:r w:rsidRPr="004E532E">
        <w:rPr>
          <w:rFonts w:ascii="Times New Roman" w:hAnsi="Times New Roman"/>
        </w:rPr>
        <w:t xml:space="preserve"> the occurrence of P1-</w:t>
      </w:r>
      <w:r>
        <w:rPr>
          <w:rFonts w:ascii="Times New Roman" w:hAnsi="Times New Roman"/>
        </w:rPr>
        <w:t>P11</w:t>
      </w:r>
      <w:r w:rsidRPr="004E532E">
        <w:rPr>
          <w:rFonts w:ascii="Times New Roman" w:hAnsi="Times New Roman"/>
        </w:rPr>
        <w:t xml:space="preserve"> cells </w:t>
      </w:r>
      <w:r>
        <w:rPr>
          <w:rFonts w:ascii="Times New Roman" w:hAnsi="Times New Roman"/>
        </w:rPr>
        <w:t xml:space="preserve">as neighbors to </w:t>
      </w:r>
      <w:r w:rsidRPr="004E532E">
        <w:rPr>
          <w:rFonts w:ascii="Times New Roman" w:hAnsi="Times New Roman"/>
        </w:rPr>
        <w:t xml:space="preserve">P1 cells. </w:t>
      </w:r>
      <w:r>
        <w:rPr>
          <w:rFonts w:ascii="Times New Roman" w:hAnsi="Times New Roman"/>
        </w:rPr>
        <w:t>T</w:t>
      </w:r>
      <w:r w:rsidRPr="004E532E">
        <w:rPr>
          <w:rFonts w:ascii="Times New Roman" w:hAnsi="Times New Roman"/>
        </w:rPr>
        <w:t>he fraction of positive and negative cells for each marker</w:t>
      </w:r>
      <w:r>
        <w:rPr>
          <w:rFonts w:ascii="Times New Roman" w:hAnsi="Times New Roman"/>
        </w:rPr>
        <w:t xml:space="preserve"> was calculated for ‘Other’ (P11) cells (Extended Data Fig 4s-v). </w:t>
      </w:r>
      <w:r>
        <w:t xml:space="preserve"> </w:t>
      </w:r>
    </w:p>
    <w:p w:rsidR="002D744A" w:rsidRDefault="002D744A" w:rsidP="004F5E57">
      <w:pPr>
        <w:spacing w:line="480" w:lineRule="auto"/>
        <w:rPr>
          <w:rFonts w:ascii="Times New Roman" w:hAnsi="Times New Roman"/>
          <w:szCs w:val="24"/>
        </w:rPr>
      </w:pPr>
    </w:p>
    <w:p w:rsidR="002D744A" w:rsidRDefault="002D744A" w:rsidP="004F5E57">
      <w:pPr>
        <w:spacing w:line="480" w:lineRule="auto"/>
        <w:rPr>
          <w:rFonts w:ascii="Times New Roman" w:hAnsi="Times New Roman"/>
          <w:szCs w:val="24"/>
        </w:rPr>
      </w:pPr>
    </w:p>
    <w:p w:rsidR="002D744A" w:rsidRDefault="002D744A" w:rsidP="004F5E57">
      <w:pPr>
        <w:spacing w:line="480" w:lineRule="auto"/>
        <w:rPr>
          <w:rFonts w:ascii="Times New Roman" w:hAnsi="Times New Roman"/>
          <w:szCs w:val="24"/>
        </w:rPr>
      </w:pPr>
    </w:p>
    <w:p w:rsidR="002D744A" w:rsidRPr="004E532E" w:rsidRDefault="002D744A" w:rsidP="00380CF3">
      <w:pPr>
        <w:spacing w:line="480" w:lineRule="auto"/>
        <w:rPr>
          <w:rFonts w:ascii="Times New Roman" w:hAnsi="Times New Roman"/>
          <w:b/>
          <w:bCs/>
          <w:szCs w:val="24"/>
        </w:rPr>
      </w:pPr>
      <w:r w:rsidRPr="004E532E">
        <w:rPr>
          <w:rFonts w:ascii="Times New Roman" w:hAnsi="Times New Roman"/>
          <w:b/>
          <w:bCs/>
          <w:szCs w:val="24"/>
        </w:rPr>
        <w:t xml:space="preserve">Bulk RNA sequencing: </w:t>
      </w:r>
    </w:p>
    <w:p w:rsidR="002D744A" w:rsidRDefault="002D744A" w:rsidP="002E6386">
      <w:pPr>
        <w:spacing w:line="480" w:lineRule="auto"/>
        <w:rPr>
          <w:rFonts w:ascii="Times New Roman" w:hAnsi="Times New Roman"/>
        </w:rPr>
      </w:pPr>
      <w:r>
        <w:rPr>
          <w:rFonts w:ascii="Times New Roman" w:hAnsi="Times New Roman"/>
        </w:rPr>
        <w:t xml:space="preserve">3-month-old </w:t>
      </w:r>
      <w:r w:rsidRPr="0057714F">
        <w:rPr>
          <w:rFonts w:ascii="Times New Roman" w:hAnsi="Times New Roman"/>
          <w:iCs/>
        </w:rPr>
        <w:t>mice</w:t>
      </w:r>
      <w:r>
        <w:rPr>
          <w:rFonts w:ascii="Times New Roman" w:hAnsi="Times New Roman"/>
          <w:iCs/>
        </w:rPr>
        <w:t xml:space="preserve"> </w:t>
      </w:r>
      <w:r w:rsidRPr="0057714F">
        <w:rPr>
          <w:rFonts w:ascii="Times New Roman" w:hAnsi="Times New Roman"/>
          <w:iCs/>
        </w:rPr>
        <w:t>were fed with</w:t>
      </w:r>
      <w:r>
        <w:rPr>
          <w:rFonts w:ascii="Times New Roman" w:hAnsi="Times New Roman"/>
          <w:iCs/>
        </w:rPr>
        <w:t xml:space="preserve"> high fat diet (HFD, 60% fat) or a matched control low fat diet (LFD</w:t>
      </w:r>
      <w:proofErr w:type="gramStart"/>
      <w:r>
        <w:rPr>
          <w:rFonts w:ascii="Times New Roman" w:hAnsi="Times New Roman"/>
          <w:iCs/>
        </w:rPr>
        <w:t>,10</w:t>
      </w:r>
      <w:proofErr w:type="gramEnd"/>
      <w:r>
        <w:rPr>
          <w:rFonts w:ascii="Times New Roman" w:hAnsi="Times New Roman"/>
          <w:iCs/>
        </w:rPr>
        <w:t>% fat) for 4 weeks. Mice were sacrificed using CO</w:t>
      </w:r>
      <w:r w:rsidRPr="004E532E">
        <w:rPr>
          <w:rFonts w:ascii="Times New Roman" w:hAnsi="Times New Roman"/>
          <w:iCs/>
          <w:vertAlign w:val="subscript"/>
        </w:rPr>
        <w:t>2</w:t>
      </w:r>
      <w:r>
        <w:rPr>
          <w:rFonts w:ascii="Times New Roman" w:hAnsi="Times New Roman"/>
          <w:iCs/>
          <w:vertAlign w:val="subscript"/>
        </w:rPr>
        <w:t xml:space="preserve"> </w:t>
      </w:r>
      <w:r w:rsidRPr="004E532E">
        <w:rPr>
          <w:rFonts w:ascii="Times New Roman" w:hAnsi="Times New Roman"/>
          <w:iCs/>
        </w:rPr>
        <w:t>and</w:t>
      </w:r>
      <w:r>
        <w:rPr>
          <w:rFonts w:ascii="Times New Roman" w:hAnsi="Times New Roman"/>
          <w:iCs/>
          <w:vertAlign w:val="subscript"/>
        </w:rPr>
        <w:t xml:space="preserve"> </w:t>
      </w:r>
      <w:r w:rsidRPr="004E532E">
        <w:rPr>
          <w:rFonts w:ascii="Times New Roman" w:hAnsi="Times New Roman"/>
          <w:iCs/>
        </w:rPr>
        <w:t>CD24</w:t>
      </w:r>
      <w:r>
        <w:rPr>
          <w:rFonts w:ascii="Times New Roman" w:hAnsi="Times New Roman"/>
          <w:iCs/>
        </w:rPr>
        <w:t xml:space="preserve">+CD29+SSCs were isolated by FACS for bulk RNA sequencing. </w:t>
      </w:r>
      <w:proofErr w:type="gramStart"/>
      <w:r>
        <w:rPr>
          <w:rFonts w:ascii="Times New Roman" w:hAnsi="Times New Roman"/>
          <w:iCs/>
        </w:rPr>
        <w:t>cDNA</w:t>
      </w:r>
      <w:proofErr w:type="gramEnd"/>
      <w:r>
        <w:rPr>
          <w:rFonts w:ascii="Times New Roman" w:hAnsi="Times New Roman"/>
          <w:iCs/>
        </w:rPr>
        <w:t xml:space="preserve"> libraries were generated using SMART-Seq v4 Ultra low input RNA plus </w:t>
      </w:r>
      <w:proofErr w:type="spellStart"/>
      <w:r>
        <w:rPr>
          <w:rFonts w:ascii="Times New Roman" w:hAnsi="Times New Roman"/>
          <w:iCs/>
        </w:rPr>
        <w:t>Nextera</w:t>
      </w:r>
      <w:proofErr w:type="spellEnd"/>
      <w:r>
        <w:rPr>
          <w:rFonts w:ascii="Times New Roman" w:hAnsi="Times New Roman"/>
          <w:iCs/>
        </w:rPr>
        <w:t xml:space="preserve"> XT DNA sample preparation kit, and sequenced on an Illumina NovaSeq6000 sequencer with paired-end 50 bps. The </w:t>
      </w:r>
      <w:r>
        <w:rPr>
          <w:rFonts w:ascii="Times New Roman" w:hAnsi="Times New Roman"/>
        </w:rPr>
        <w:t>s</w:t>
      </w:r>
      <w:r w:rsidRPr="004E532E">
        <w:rPr>
          <w:rFonts w:ascii="Times New Roman" w:hAnsi="Times New Roman"/>
        </w:rPr>
        <w:t>equenc</w:t>
      </w:r>
      <w:r>
        <w:rPr>
          <w:rFonts w:ascii="Times New Roman" w:hAnsi="Times New Roman"/>
        </w:rPr>
        <w:t>ed</w:t>
      </w:r>
      <w:r w:rsidRPr="004E532E">
        <w:rPr>
          <w:rFonts w:ascii="Times New Roman" w:hAnsi="Times New Roman"/>
        </w:rPr>
        <w:t xml:space="preserve"> reads were cleaned by trimming adapter sequences and </w:t>
      </w:r>
      <w:r w:rsidRPr="00380CF3">
        <w:rPr>
          <w:rFonts w:ascii="Times New Roman" w:hAnsi="Times New Roman"/>
        </w:rPr>
        <w:t>low-quality</w:t>
      </w:r>
      <w:r w:rsidRPr="004E532E">
        <w:rPr>
          <w:rFonts w:ascii="Times New Roman" w:hAnsi="Times New Roman"/>
        </w:rPr>
        <w:t xml:space="preserve"> bases using </w:t>
      </w:r>
      <w:proofErr w:type="spellStart"/>
      <w:r w:rsidRPr="004E532E">
        <w:rPr>
          <w:rFonts w:ascii="Times New Roman" w:hAnsi="Times New Roman"/>
        </w:rPr>
        <w:t>cutadapt</w:t>
      </w:r>
      <w:proofErr w:type="spellEnd"/>
      <w:r w:rsidRPr="004E532E">
        <w:rPr>
          <w:rFonts w:ascii="Times New Roman" w:hAnsi="Times New Roman"/>
        </w:rPr>
        <w:t xml:space="preserve"> </w:t>
      </w:r>
      <w:r>
        <w:rPr>
          <w:rFonts w:ascii="Times New Roman" w:hAnsi="Times New Roman"/>
        </w:rPr>
        <w:t>(</w:t>
      </w:r>
      <w:r w:rsidRPr="004E532E">
        <w:rPr>
          <w:rFonts w:ascii="Times New Roman" w:hAnsi="Times New Roman"/>
        </w:rPr>
        <w:t>v</w:t>
      </w:r>
      <w:r>
        <w:rPr>
          <w:rFonts w:ascii="Times New Roman" w:hAnsi="Times New Roman"/>
        </w:rPr>
        <w:t xml:space="preserve">ersion </w:t>
      </w:r>
      <w:r w:rsidRPr="004E532E">
        <w:rPr>
          <w:rFonts w:ascii="Times New Roman" w:hAnsi="Times New Roman"/>
        </w:rPr>
        <w:t>1.9.1</w:t>
      </w:r>
      <w:r>
        <w:rPr>
          <w:rFonts w:ascii="Times New Roman" w:hAnsi="Times New Roman"/>
        </w:rPr>
        <w:t>)</w:t>
      </w:r>
      <w:r w:rsidRPr="00380CF3">
        <w:rPr>
          <w:rFonts w:ascii="Times New Roman" w:hAnsi="Times New Roman"/>
        </w:rPr>
        <w:t xml:space="preserve"> and</w:t>
      </w:r>
      <w:r w:rsidRPr="004E532E">
        <w:rPr>
          <w:rFonts w:ascii="Times New Roman" w:hAnsi="Times New Roman"/>
        </w:rPr>
        <w:t xml:space="preserve"> were aligned to the mouse reference genome (GRCm38) using STAR </w:t>
      </w:r>
      <w:r>
        <w:rPr>
          <w:rFonts w:ascii="Times New Roman" w:hAnsi="Times New Roman"/>
        </w:rPr>
        <w:t>(</w:t>
      </w:r>
      <w:r w:rsidRPr="004E532E">
        <w:rPr>
          <w:rFonts w:ascii="Times New Roman" w:hAnsi="Times New Roman"/>
        </w:rPr>
        <w:t>v</w:t>
      </w:r>
      <w:r>
        <w:rPr>
          <w:rFonts w:ascii="Times New Roman" w:hAnsi="Times New Roman"/>
        </w:rPr>
        <w:t xml:space="preserve">ersion </w:t>
      </w:r>
      <w:r w:rsidRPr="004E532E">
        <w:rPr>
          <w:rFonts w:ascii="Times New Roman" w:hAnsi="Times New Roman"/>
        </w:rPr>
        <w:t>2.5.2b</w:t>
      </w:r>
      <w:r>
        <w:rPr>
          <w:rFonts w:ascii="Times New Roman" w:hAnsi="Times New Roman"/>
        </w:rPr>
        <w:t>)</w:t>
      </w:r>
      <w:r w:rsidRPr="004E532E">
        <w:rPr>
          <w:rFonts w:ascii="Times New Roman" w:hAnsi="Times New Roman"/>
        </w:rPr>
        <w:t xml:space="preserve"> </w:t>
      </w:r>
      <w:r w:rsidRPr="00BE4E0B">
        <w:rPr>
          <w:rFonts w:ascii="Times New Roman" w:hAnsi="Times New Roman"/>
          <w:noProof/>
          <w:vertAlign w:val="superscript"/>
        </w:rPr>
        <w:t>50</w:t>
      </w:r>
      <w:r w:rsidRPr="004E532E">
        <w:rPr>
          <w:rFonts w:ascii="Times New Roman" w:hAnsi="Times New Roman"/>
        </w:rPr>
        <w:t xml:space="preserve">. Raw read counts per gene were extracted using </w:t>
      </w:r>
      <w:proofErr w:type="spellStart"/>
      <w:r w:rsidRPr="004E532E">
        <w:rPr>
          <w:rFonts w:ascii="Times New Roman" w:hAnsi="Times New Roman"/>
        </w:rPr>
        <w:t>HTSeq</w:t>
      </w:r>
      <w:proofErr w:type="spellEnd"/>
      <w:r w:rsidRPr="004E532E">
        <w:rPr>
          <w:rFonts w:ascii="Times New Roman" w:hAnsi="Times New Roman"/>
        </w:rPr>
        <w:t xml:space="preserve">-count </w:t>
      </w:r>
      <w:r>
        <w:rPr>
          <w:rFonts w:ascii="Times New Roman" w:hAnsi="Times New Roman"/>
        </w:rPr>
        <w:t>(</w:t>
      </w:r>
      <w:r w:rsidRPr="004E532E">
        <w:rPr>
          <w:rFonts w:ascii="Times New Roman" w:hAnsi="Times New Roman"/>
        </w:rPr>
        <w:t>v</w:t>
      </w:r>
      <w:r>
        <w:rPr>
          <w:rFonts w:ascii="Times New Roman" w:hAnsi="Times New Roman"/>
        </w:rPr>
        <w:t>ersion</w:t>
      </w:r>
      <w:r w:rsidRPr="004E532E">
        <w:rPr>
          <w:rFonts w:ascii="Times New Roman" w:hAnsi="Times New Roman"/>
        </w:rPr>
        <w:t xml:space="preserve"> 0.11.2</w:t>
      </w:r>
      <w:r>
        <w:rPr>
          <w:rFonts w:ascii="Times New Roman" w:hAnsi="Times New Roman"/>
        </w:rPr>
        <w:t>)</w:t>
      </w:r>
      <w:r w:rsidRPr="004E532E">
        <w:rPr>
          <w:rFonts w:ascii="Times New Roman" w:hAnsi="Times New Roman"/>
        </w:rPr>
        <w:t xml:space="preserve"> </w:t>
      </w:r>
      <w:r w:rsidRPr="00BE4E0B">
        <w:rPr>
          <w:rFonts w:ascii="Times New Roman" w:hAnsi="Times New Roman"/>
          <w:noProof/>
          <w:vertAlign w:val="superscript"/>
        </w:rPr>
        <w:t>51</w:t>
      </w:r>
      <w:r w:rsidRPr="004E532E">
        <w:rPr>
          <w:rFonts w:ascii="Times New Roman" w:hAnsi="Times New Roman"/>
        </w:rPr>
        <w:t xml:space="preserve">. Differential expression analysis was performed using DESeq2 </w:t>
      </w:r>
      <w:r>
        <w:rPr>
          <w:rFonts w:ascii="Times New Roman" w:hAnsi="Times New Roman"/>
        </w:rPr>
        <w:t>(</w:t>
      </w:r>
      <w:r w:rsidRPr="004E532E">
        <w:rPr>
          <w:rFonts w:ascii="Times New Roman" w:hAnsi="Times New Roman"/>
        </w:rPr>
        <w:t>v</w:t>
      </w:r>
      <w:r>
        <w:rPr>
          <w:rFonts w:ascii="Times New Roman" w:hAnsi="Times New Roman"/>
        </w:rPr>
        <w:t xml:space="preserve">ersion </w:t>
      </w:r>
      <w:r w:rsidRPr="004E532E">
        <w:rPr>
          <w:rFonts w:ascii="Times New Roman" w:hAnsi="Times New Roman"/>
        </w:rPr>
        <w:t>1.22.2</w:t>
      </w:r>
      <w:r>
        <w:rPr>
          <w:rFonts w:ascii="Times New Roman" w:hAnsi="Times New Roman"/>
        </w:rPr>
        <w:t>)</w:t>
      </w:r>
      <w:r w:rsidRPr="004E532E">
        <w:rPr>
          <w:rFonts w:ascii="Times New Roman" w:hAnsi="Times New Roman"/>
        </w:rPr>
        <w:t xml:space="preserve"> </w:t>
      </w:r>
      <w:r w:rsidRPr="00BE4E0B">
        <w:rPr>
          <w:rFonts w:ascii="Times New Roman" w:hAnsi="Times New Roman"/>
          <w:noProof/>
          <w:vertAlign w:val="superscript"/>
        </w:rPr>
        <w:t>52</w:t>
      </w:r>
      <w:r w:rsidRPr="004E532E">
        <w:rPr>
          <w:rFonts w:ascii="Times New Roman" w:hAnsi="Times New Roman"/>
        </w:rPr>
        <w:t xml:space="preserve">. </w:t>
      </w:r>
      <w:proofErr w:type="spellStart"/>
      <w:r w:rsidRPr="004E532E">
        <w:rPr>
          <w:rFonts w:ascii="Times New Roman" w:hAnsi="Times New Roman"/>
        </w:rPr>
        <w:t>Heatmap</w:t>
      </w:r>
      <w:proofErr w:type="spellEnd"/>
      <w:r w:rsidRPr="004E532E">
        <w:rPr>
          <w:rFonts w:ascii="Times New Roman" w:hAnsi="Times New Roman"/>
        </w:rPr>
        <w:t xml:space="preserve"> plot</w:t>
      </w:r>
      <w:r>
        <w:rPr>
          <w:rFonts w:ascii="Times New Roman" w:hAnsi="Times New Roman"/>
        </w:rPr>
        <w:t>s</w:t>
      </w:r>
      <w:r w:rsidRPr="004E532E">
        <w:rPr>
          <w:rFonts w:ascii="Times New Roman" w:hAnsi="Times New Roman"/>
        </w:rPr>
        <w:t xml:space="preserve"> w</w:t>
      </w:r>
      <w:r>
        <w:rPr>
          <w:rFonts w:ascii="Times New Roman" w:hAnsi="Times New Roman"/>
        </w:rPr>
        <w:t>ere</w:t>
      </w:r>
      <w:r w:rsidRPr="004E532E">
        <w:rPr>
          <w:rFonts w:ascii="Times New Roman" w:hAnsi="Times New Roman"/>
        </w:rPr>
        <w:t xml:space="preserve"> generated using </w:t>
      </w:r>
      <w:r>
        <w:rPr>
          <w:rFonts w:ascii="Times New Roman" w:hAnsi="Times New Roman"/>
        </w:rPr>
        <w:t xml:space="preserve">the </w:t>
      </w:r>
      <w:r w:rsidRPr="004E532E">
        <w:rPr>
          <w:rFonts w:ascii="Times New Roman" w:hAnsi="Times New Roman"/>
        </w:rPr>
        <w:t xml:space="preserve">R </w:t>
      </w:r>
      <w:proofErr w:type="spellStart"/>
      <w:r w:rsidRPr="004E532E">
        <w:rPr>
          <w:rFonts w:ascii="Times New Roman" w:hAnsi="Times New Roman"/>
        </w:rPr>
        <w:t>pheatmap</w:t>
      </w:r>
      <w:proofErr w:type="spellEnd"/>
      <w:r w:rsidRPr="004E532E">
        <w:rPr>
          <w:rFonts w:ascii="Times New Roman" w:hAnsi="Times New Roman"/>
        </w:rPr>
        <w:t xml:space="preserve"> package.</w:t>
      </w:r>
    </w:p>
    <w:p w:rsidR="002D744A" w:rsidRPr="002E6386" w:rsidRDefault="002D744A" w:rsidP="00A56BDF">
      <w:pPr>
        <w:spacing w:line="480" w:lineRule="auto"/>
        <w:rPr>
          <w:rFonts w:ascii="Times New Roman" w:hAnsi="Times New Roman"/>
        </w:rPr>
      </w:pPr>
      <w:proofErr w:type="spellStart"/>
      <w:r w:rsidRPr="002E6386">
        <w:rPr>
          <w:rFonts w:ascii="Times New Roman" w:hAnsi="Times New Roman"/>
          <w:b/>
          <w:bCs/>
        </w:rPr>
        <w:t>P</w:t>
      </w:r>
      <w:r>
        <w:rPr>
          <w:rFonts w:ascii="Times New Roman" w:hAnsi="Times New Roman"/>
          <w:b/>
          <w:bCs/>
        </w:rPr>
        <w:t>olG</w:t>
      </w:r>
      <w:proofErr w:type="spellEnd"/>
      <w:r>
        <w:rPr>
          <w:rFonts w:ascii="Times New Roman" w:hAnsi="Times New Roman"/>
          <w:b/>
          <w:bCs/>
        </w:rPr>
        <w:t xml:space="preserve"> Bulk </w:t>
      </w:r>
      <w:r w:rsidRPr="002E6386">
        <w:rPr>
          <w:rFonts w:ascii="Times New Roman" w:hAnsi="Times New Roman"/>
          <w:b/>
          <w:bCs/>
        </w:rPr>
        <w:t>ATAC</w:t>
      </w:r>
      <w:r>
        <w:rPr>
          <w:rFonts w:ascii="Times New Roman" w:hAnsi="Times New Roman"/>
          <w:b/>
          <w:bCs/>
        </w:rPr>
        <w:t>-</w:t>
      </w:r>
      <w:r w:rsidRPr="002E6386">
        <w:rPr>
          <w:rFonts w:ascii="Times New Roman" w:hAnsi="Times New Roman"/>
          <w:b/>
          <w:bCs/>
        </w:rPr>
        <w:t>Seq data:</w:t>
      </w:r>
    </w:p>
    <w:p w:rsidR="002D744A" w:rsidRPr="00E149F0" w:rsidRDefault="002D744A" w:rsidP="00A56BDF">
      <w:pPr>
        <w:pStyle w:val="NormalWeb"/>
        <w:shd w:val="clear" w:color="auto" w:fill="FFFFFF"/>
        <w:spacing w:before="0" w:beforeAutospacing="0" w:after="0" w:afterAutospacing="0" w:line="480" w:lineRule="auto"/>
        <w:rPr>
          <w:color w:val="000000" w:themeColor="text1"/>
        </w:rPr>
      </w:pPr>
      <w:r w:rsidRPr="00E149F0">
        <w:rPr>
          <w:color w:val="000000" w:themeColor="text1"/>
        </w:rPr>
        <w:t xml:space="preserve">Different skeletal cell types were isolated </w:t>
      </w:r>
      <w:r>
        <w:rPr>
          <w:color w:val="000000" w:themeColor="text1"/>
        </w:rPr>
        <w:t xml:space="preserve">by FACS </w:t>
      </w:r>
      <w:r w:rsidRPr="00E149F0">
        <w:rPr>
          <w:color w:val="000000" w:themeColor="text1"/>
        </w:rPr>
        <w:t xml:space="preserve">from 3-month old </w:t>
      </w:r>
      <w:r w:rsidRPr="00E149F0">
        <w:rPr>
          <w:i/>
          <w:iCs/>
          <w:color w:val="000000" w:themeColor="text1"/>
        </w:rPr>
        <w:t>PolG</w:t>
      </w:r>
      <w:r w:rsidRPr="00E149F0">
        <w:rPr>
          <w:i/>
          <w:iCs/>
          <w:color w:val="000000" w:themeColor="text1"/>
          <w:vertAlign w:val="superscript"/>
        </w:rPr>
        <w:t>D257A/D257A</w:t>
      </w:r>
      <w:r>
        <w:rPr>
          <w:color w:val="000000" w:themeColor="text1"/>
        </w:rPr>
        <w:t xml:space="preserve"> femurs</w:t>
      </w:r>
      <w:r w:rsidRPr="00E149F0">
        <w:rPr>
          <w:color w:val="000000" w:themeColor="text1"/>
        </w:rPr>
        <w:t xml:space="preserve">. </w:t>
      </w:r>
      <w:r w:rsidRPr="00E149F0">
        <w:rPr>
          <w:color w:val="000000" w:themeColor="text1"/>
          <w:bdr w:val="none" w:sz="0" w:space="0" w:color="auto" w:frame="1"/>
        </w:rPr>
        <w:t>Sorted cells were centrifuged at 800 x g for 10</w:t>
      </w:r>
      <w:r>
        <w:rPr>
          <w:color w:val="000000" w:themeColor="text1"/>
          <w:bdr w:val="none" w:sz="0" w:space="0" w:color="auto" w:frame="1"/>
        </w:rPr>
        <w:t xml:space="preserve"> </w:t>
      </w:r>
      <w:r w:rsidRPr="00E149F0">
        <w:rPr>
          <w:color w:val="000000" w:themeColor="text1"/>
          <w:bdr w:val="none" w:sz="0" w:space="0" w:color="auto" w:frame="1"/>
        </w:rPr>
        <w:t>min</w:t>
      </w:r>
      <w:r>
        <w:rPr>
          <w:color w:val="000000" w:themeColor="text1"/>
          <w:bdr w:val="none" w:sz="0" w:space="0" w:color="auto" w:frame="1"/>
        </w:rPr>
        <w:t>s</w:t>
      </w:r>
      <w:r w:rsidRPr="00E149F0">
        <w:rPr>
          <w:color w:val="000000" w:themeColor="text1"/>
          <w:bdr w:val="none" w:sz="0" w:space="0" w:color="auto" w:frame="1"/>
        </w:rPr>
        <w:t xml:space="preserve">, the pellet was suspended in 200 µl of PBS and transferred to V-bottom 96-well-plate. Cells were spun down, lysed and tagmented with 50 µL </w:t>
      </w:r>
      <w:r>
        <w:rPr>
          <w:color w:val="000000" w:themeColor="text1"/>
          <w:bdr w:val="none" w:sz="0" w:space="0" w:color="auto" w:frame="1"/>
        </w:rPr>
        <w:t xml:space="preserve">of </w:t>
      </w:r>
      <w:r w:rsidRPr="00E149F0">
        <w:rPr>
          <w:color w:val="000000" w:themeColor="text1"/>
          <w:bdr w:val="none" w:sz="0" w:space="0" w:color="auto" w:frame="1"/>
        </w:rPr>
        <w:t>reaction buffer (50% 2X TD buffer, 30% PBS, 0.1%</w:t>
      </w:r>
      <w:r>
        <w:rPr>
          <w:color w:val="000000" w:themeColor="text1"/>
          <w:bdr w:val="none" w:sz="0" w:space="0" w:color="auto" w:frame="1"/>
        </w:rPr>
        <w:t xml:space="preserve"> </w:t>
      </w:r>
      <w:r w:rsidRPr="00E149F0">
        <w:rPr>
          <w:color w:val="000000" w:themeColor="text1"/>
          <w:bdr w:val="none" w:sz="0" w:space="0" w:color="auto" w:frame="1"/>
        </w:rPr>
        <w:t xml:space="preserve">NP40, 0.5µl Tn5 enzyme) </w:t>
      </w:r>
      <w:r w:rsidRPr="00BE4E0B">
        <w:rPr>
          <w:noProof/>
          <w:color w:val="000000" w:themeColor="text1"/>
          <w:bdr w:val="none" w:sz="0" w:space="0" w:color="auto" w:frame="1"/>
          <w:vertAlign w:val="superscript"/>
        </w:rPr>
        <w:t>53</w:t>
      </w:r>
      <w:r w:rsidRPr="00E149F0">
        <w:rPr>
          <w:color w:val="000000" w:themeColor="text1"/>
          <w:bdr w:val="none" w:sz="0" w:space="0" w:color="auto" w:frame="1"/>
        </w:rPr>
        <w:t xml:space="preserve"> (</w:t>
      </w:r>
      <w:r>
        <w:rPr>
          <w:color w:val="000000" w:themeColor="text1"/>
          <w:bdr w:val="none" w:sz="0" w:space="0" w:color="auto" w:frame="1"/>
        </w:rPr>
        <w:t xml:space="preserve">Illumina </w:t>
      </w:r>
      <w:r w:rsidRPr="00E149F0">
        <w:rPr>
          <w:color w:val="000000" w:themeColor="text1"/>
          <w:bdr w:val="none" w:sz="0" w:space="0" w:color="auto" w:frame="1"/>
        </w:rPr>
        <w:t>Ta</w:t>
      </w:r>
      <w:r>
        <w:rPr>
          <w:color w:val="000000" w:themeColor="text1"/>
          <w:bdr w:val="none" w:sz="0" w:space="0" w:color="auto" w:frame="1"/>
        </w:rPr>
        <w:t xml:space="preserve">g DNA Enzyme &amp; Buffer Small Kit, </w:t>
      </w:r>
      <w:r w:rsidRPr="00E149F0">
        <w:rPr>
          <w:color w:val="000000" w:themeColor="text1"/>
          <w:bdr w:val="none" w:sz="0" w:space="0" w:color="auto" w:frame="1"/>
        </w:rPr>
        <w:t xml:space="preserve">20034197). The plate was incubated at 37°C </w:t>
      </w:r>
      <w:r>
        <w:rPr>
          <w:color w:val="000000" w:themeColor="text1"/>
          <w:bdr w:val="none" w:sz="0" w:space="0" w:color="auto" w:frame="1"/>
        </w:rPr>
        <w:t xml:space="preserve">by </w:t>
      </w:r>
      <w:r w:rsidRPr="00E149F0">
        <w:rPr>
          <w:color w:val="000000" w:themeColor="text1"/>
          <w:bdr w:val="none" w:sz="0" w:space="0" w:color="auto" w:frame="1"/>
        </w:rPr>
        <w:t>gently shaking at 220 rpm in a shaker</w:t>
      </w:r>
      <w:r>
        <w:rPr>
          <w:color w:val="000000" w:themeColor="text1"/>
          <w:bdr w:val="none" w:sz="0" w:space="0" w:color="auto" w:frame="1"/>
        </w:rPr>
        <w:t xml:space="preserve"> </w:t>
      </w:r>
      <w:r w:rsidRPr="00E149F0">
        <w:rPr>
          <w:color w:val="000000" w:themeColor="text1"/>
          <w:bdr w:val="none" w:sz="0" w:space="0" w:color="auto" w:frame="1"/>
        </w:rPr>
        <w:t xml:space="preserve">for 30 min. The tagmented </w:t>
      </w:r>
      <w:r>
        <w:rPr>
          <w:color w:val="000000" w:themeColor="text1"/>
          <w:bdr w:val="none" w:sz="0" w:space="0" w:color="auto" w:frame="1"/>
        </w:rPr>
        <w:t xml:space="preserve">DNA </w:t>
      </w:r>
      <w:r w:rsidRPr="00E149F0">
        <w:rPr>
          <w:color w:val="000000" w:themeColor="text1"/>
          <w:bdr w:val="none" w:sz="0" w:space="0" w:color="auto" w:frame="1"/>
        </w:rPr>
        <w:t>samples </w:t>
      </w:r>
      <w:r w:rsidRPr="00E149F0">
        <w:rPr>
          <w:color w:val="000000" w:themeColor="text1"/>
          <w:bdr w:val="none" w:sz="0" w:space="0" w:color="auto" w:frame="1"/>
          <w:shd w:val="clear" w:color="auto" w:fill="FFFFFF"/>
        </w:rPr>
        <w:t xml:space="preserve">were purified using the </w:t>
      </w:r>
      <w:proofErr w:type="spellStart"/>
      <w:r w:rsidRPr="00E149F0">
        <w:rPr>
          <w:color w:val="000000" w:themeColor="text1"/>
          <w:bdr w:val="none" w:sz="0" w:space="0" w:color="auto" w:frame="1"/>
          <w:shd w:val="clear" w:color="auto" w:fill="FFFFFF"/>
        </w:rPr>
        <w:t>MinElute</w:t>
      </w:r>
      <w:proofErr w:type="spellEnd"/>
      <w:r w:rsidRPr="00E149F0">
        <w:rPr>
          <w:color w:val="000000" w:themeColor="text1"/>
          <w:bdr w:val="none" w:sz="0" w:space="0" w:color="auto" w:frame="1"/>
          <w:shd w:val="clear" w:color="auto" w:fill="FFFFFF"/>
        </w:rPr>
        <w:t xml:space="preserve"> PCR kit</w:t>
      </w:r>
      <w:r>
        <w:rPr>
          <w:color w:val="000000" w:themeColor="text1"/>
          <w:bdr w:val="none" w:sz="0" w:space="0" w:color="auto" w:frame="1"/>
          <w:shd w:val="clear" w:color="auto" w:fill="FFFFFF"/>
        </w:rPr>
        <w:t xml:space="preserve"> (</w:t>
      </w:r>
      <w:proofErr w:type="spellStart"/>
      <w:r>
        <w:rPr>
          <w:color w:val="000000" w:themeColor="text1"/>
          <w:bdr w:val="none" w:sz="0" w:space="0" w:color="auto" w:frame="1"/>
          <w:shd w:val="clear" w:color="auto" w:fill="FFFFFF"/>
        </w:rPr>
        <w:t>Qiagen</w:t>
      </w:r>
      <w:proofErr w:type="spellEnd"/>
      <w:r>
        <w:rPr>
          <w:color w:val="000000" w:themeColor="text1"/>
          <w:bdr w:val="none" w:sz="0" w:space="0" w:color="auto" w:frame="1"/>
          <w:shd w:val="clear" w:color="auto" w:fill="FFFFFF"/>
        </w:rPr>
        <w:t>, cat no 28004)</w:t>
      </w:r>
      <w:r w:rsidRPr="00E149F0">
        <w:rPr>
          <w:color w:val="000000" w:themeColor="text1"/>
          <w:bdr w:val="none" w:sz="0" w:space="0" w:color="auto" w:frame="1"/>
          <w:shd w:val="clear" w:color="auto" w:fill="FFFFFF"/>
        </w:rPr>
        <w:t xml:space="preserve"> and eluted with 20 µl </w:t>
      </w:r>
      <w:r>
        <w:rPr>
          <w:color w:val="000000" w:themeColor="text1"/>
          <w:bdr w:val="none" w:sz="0" w:space="0" w:color="auto" w:frame="1"/>
          <w:shd w:val="clear" w:color="auto" w:fill="FFFFFF"/>
        </w:rPr>
        <w:t xml:space="preserve">of </w:t>
      </w:r>
      <w:r w:rsidRPr="00E149F0">
        <w:rPr>
          <w:color w:val="000000" w:themeColor="text1"/>
          <w:bdr w:val="none" w:sz="0" w:space="0" w:color="auto" w:frame="1"/>
          <w:shd w:val="clear" w:color="auto" w:fill="FFFFFF"/>
        </w:rPr>
        <w:t>ddH</w:t>
      </w:r>
      <w:r w:rsidRPr="00E149F0">
        <w:rPr>
          <w:color w:val="000000" w:themeColor="text1"/>
          <w:bdr w:val="none" w:sz="0" w:space="0" w:color="auto" w:frame="1"/>
          <w:shd w:val="clear" w:color="auto" w:fill="FFFFFF"/>
          <w:vertAlign w:val="subscript"/>
        </w:rPr>
        <w:t>2</w:t>
      </w:r>
      <w:r w:rsidRPr="00E149F0">
        <w:rPr>
          <w:color w:val="000000" w:themeColor="text1"/>
          <w:bdr w:val="none" w:sz="0" w:space="0" w:color="auto" w:frame="1"/>
          <w:shd w:val="clear" w:color="auto" w:fill="FFFFFF"/>
        </w:rPr>
        <w:t>O.</w:t>
      </w:r>
      <w:r w:rsidRPr="00E149F0">
        <w:rPr>
          <w:color w:val="000000" w:themeColor="text1"/>
          <w:bdr w:val="none" w:sz="0" w:space="0" w:color="auto" w:frame="1"/>
        </w:rPr>
        <w:t> </w:t>
      </w:r>
      <w:r>
        <w:rPr>
          <w:color w:val="000000" w:themeColor="text1"/>
          <w:bdr w:val="none" w:sz="0" w:space="0" w:color="auto" w:frame="1"/>
        </w:rPr>
        <w:t xml:space="preserve">ATAC-Seq libraries were prepared and samples were </w:t>
      </w:r>
      <w:r>
        <w:rPr>
          <w:iCs/>
        </w:rPr>
        <w:t>sequenced on an Illumina NovaSeq6000 sequencer with paired-end 100 bps.</w:t>
      </w:r>
    </w:p>
    <w:p w:rsidR="002D744A" w:rsidRPr="00A56BDF" w:rsidRDefault="002D744A" w:rsidP="00A56BDF">
      <w:pPr>
        <w:pStyle w:val="NormalWeb"/>
        <w:shd w:val="clear" w:color="auto" w:fill="FFFFFF"/>
        <w:spacing w:before="0" w:beforeAutospacing="0" w:after="0" w:afterAutospacing="0" w:line="480" w:lineRule="auto"/>
        <w:rPr>
          <w:color w:val="000000"/>
        </w:rPr>
      </w:pPr>
      <w:r w:rsidRPr="00A56BDF">
        <w:rPr>
          <w:color w:val="000000"/>
        </w:rPr>
        <w:t> </w:t>
      </w:r>
    </w:p>
    <w:p w:rsidR="002D744A" w:rsidRPr="00A56BDF" w:rsidRDefault="002D744A" w:rsidP="00A56BDF">
      <w:pPr>
        <w:pStyle w:val="NormalWeb"/>
        <w:shd w:val="clear" w:color="auto" w:fill="FFFFFF"/>
        <w:spacing w:before="0" w:beforeAutospacing="0" w:after="0" w:afterAutospacing="0" w:line="480" w:lineRule="auto"/>
        <w:rPr>
          <w:color w:val="000000"/>
        </w:rPr>
      </w:pPr>
      <w:r w:rsidRPr="00A56BDF">
        <w:rPr>
          <w:color w:val="000000"/>
        </w:rPr>
        <w:lastRenderedPageBreak/>
        <w:t> </w:t>
      </w:r>
    </w:p>
    <w:p w:rsidR="002D744A" w:rsidRPr="00D67747" w:rsidRDefault="002D744A" w:rsidP="00D67747">
      <w:pPr>
        <w:pStyle w:val="Title"/>
        <w:jc w:val="left"/>
      </w:pPr>
      <w:r>
        <w:t xml:space="preserve">The sequencing reads were cleaned by trimming adapter sequences using </w:t>
      </w:r>
      <w:proofErr w:type="spellStart"/>
      <w:r>
        <w:t>cutadapt</w:t>
      </w:r>
      <w:proofErr w:type="spellEnd"/>
      <w:r>
        <w:t xml:space="preserve"> (version 2.10), and were aligned to the mouse reference genome (GRCm38) using BWA (Burrows-Wheeler Aligner) (version 0.7.17). To improve alignment for the mitochondrial genome, nuclear genome regions that were homologous to the mitochondrial genome were hard-masked, following previously published work </w:t>
      </w:r>
      <w:r w:rsidRPr="00BE4E0B">
        <w:rPr>
          <w:rFonts w:hint="eastAsia"/>
          <w:noProof/>
          <w:vertAlign w:val="superscript"/>
        </w:rPr>
        <w:t>54</w:t>
      </w:r>
      <w:r>
        <w:t xml:space="preserve">. </w:t>
      </w:r>
      <w:r>
        <w:rPr>
          <w:bCs/>
        </w:rPr>
        <w:t>Mitochondria</w:t>
      </w:r>
      <w:r>
        <w:rPr>
          <w:rFonts w:hint="eastAsia"/>
          <w:bCs/>
        </w:rPr>
        <w:t>l</w:t>
      </w:r>
      <w:r>
        <w:rPr>
          <w:bCs/>
        </w:rPr>
        <w:t xml:space="preserve"> DNA mutations were tracked among the various skeletal cell subsets by following previously published work </w:t>
      </w:r>
      <w:r w:rsidRPr="00BE4E0B">
        <w:rPr>
          <w:rFonts w:hint="eastAsia"/>
          <w:bCs/>
          <w:noProof/>
          <w:vertAlign w:val="superscript"/>
        </w:rPr>
        <w:t>53</w:t>
      </w:r>
      <w:r>
        <w:rPr>
          <w:bCs/>
        </w:rPr>
        <w:t xml:space="preserve">. In particular, A, C, G, T bases at each position across the mitochondrial genome were counted and calculated for all possible mutations. High-confidence mutations were then extracted and hierarchical clustering was performed. All relevant codes for the data analysis will be made available upon request. For nuclear DNA portion, </w:t>
      </w:r>
      <w:r>
        <w:t>open chromatin regions were identified and differential ATAC-Seq analysis was performed using published code (</w:t>
      </w:r>
      <w:hyperlink r:id="rId4" w:history="1">
        <w:r w:rsidRPr="00D67747">
          <w:rPr>
            <w:rStyle w:val="Hyperlink"/>
            <w:rFonts w:hint="eastAsia"/>
          </w:rPr>
          <w:t>https://rockefelleruniversity.github.io/favicon.ico</w:t>
        </w:r>
      </w:hyperlink>
      <w:r>
        <w:t>).</w:t>
      </w:r>
    </w:p>
    <w:p w:rsidR="002D744A" w:rsidRDefault="002D744A" w:rsidP="00335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szCs w:val="24"/>
        </w:rPr>
      </w:pPr>
      <w:r w:rsidRPr="00A97AC5">
        <w:rPr>
          <w:rFonts w:ascii="Times New Roman" w:hAnsi="Times New Roman"/>
          <w:b/>
          <w:szCs w:val="24"/>
        </w:rPr>
        <w:t>Micro-CT and Paraffin embedding:</w:t>
      </w:r>
      <w:r w:rsidRPr="00A97AC5">
        <w:rPr>
          <w:rFonts w:ascii="Times New Roman" w:hAnsi="Times New Roman"/>
          <w:szCs w:val="24"/>
        </w:rPr>
        <w:cr/>
        <w:t xml:space="preserve">Micro computed tomography (µCT) was conducted </w:t>
      </w:r>
      <w:r>
        <w:rPr>
          <w:rFonts w:ascii="Times New Roman" w:hAnsi="Times New Roman"/>
          <w:szCs w:val="24"/>
        </w:rPr>
        <w:t>according to</w:t>
      </w:r>
      <w:r w:rsidRPr="00A97AC5">
        <w:rPr>
          <w:rFonts w:ascii="Times New Roman" w:hAnsi="Times New Roman"/>
          <w:szCs w:val="24"/>
        </w:rPr>
        <w:t xml:space="preserve"> previously described parameters</w:t>
      </w:r>
      <w:r>
        <w:rPr>
          <w:rFonts w:ascii="Times New Roman" w:hAnsi="Times New Roman"/>
          <w:szCs w:val="24"/>
        </w:rPr>
        <w:t xml:space="preserve"> </w:t>
      </w:r>
      <w:r w:rsidRPr="00BE4E0B">
        <w:rPr>
          <w:rFonts w:ascii="Times New Roman" w:hAnsi="Times New Roman"/>
          <w:noProof/>
          <w:szCs w:val="24"/>
          <w:vertAlign w:val="superscript"/>
        </w:rPr>
        <w:t>55</w:t>
      </w:r>
      <w:r w:rsidRPr="00A97AC5">
        <w:rPr>
          <w:rFonts w:ascii="Times New Roman" w:hAnsi="Times New Roman"/>
          <w:szCs w:val="24"/>
        </w:rPr>
        <w:t xml:space="preserve"> on a </w:t>
      </w:r>
      <w:proofErr w:type="spellStart"/>
      <w:r w:rsidRPr="00A97AC5">
        <w:rPr>
          <w:rFonts w:ascii="Times New Roman" w:hAnsi="Times New Roman"/>
          <w:szCs w:val="24"/>
        </w:rPr>
        <w:t>Scanco</w:t>
      </w:r>
      <w:proofErr w:type="spellEnd"/>
      <w:r w:rsidRPr="00A97AC5">
        <w:rPr>
          <w:rFonts w:ascii="Times New Roman" w:hAnsi="Times New Roman"/>
          <w:szCs w:val="24"/>
        </w:rPr>
        <w:t xml:space="preserve"> Medical Micro-CT35 system at the Citigroup Biomedical Imaging Core. µCT operators and evaluators were blinded to the experimental groups under analysis. </w:t>
      </w:r>
      <w:r>
        <w:rPr>
          <w:rFonts w:ascii="Times New Roman" w:hAnsi="Times New Roman"/>
          <w:szCs w:val="24"/>
        </w:rPr>
        <w:t xml:space="preserve">Kidney samples were fixed with </w:t>
      </w:r>
      <w:r w:rsidRPr="00A97AC5">
        <w:rPr>
          <w:rFonts w:ascii="Times New Roman" w:hAnsi="Times New Roman"/>
          <w:szCs w:val="24"/>
        </w:rPr>
        <w:t>4% PFA at 4</w:t>
      </w:r>
      <w:r w:rsidRPr="00A97AC5">
        <w:rPr>
          <w:rFonts w:ascii="Times New Roman" w:hAnsi="Times New Roman"/>
          <w:szCs w:val="24"/>
          <w:vertAlign w:val="superscript"/>
        </w:rPr>
        <w:t>o</w:t>
      </w:r>
      <w:r>
        <w:rPr>
          <w:rFonts w:ascii="Times New Roman" w:hAnsi="Times New Roman"/>
          <w:szCs w:val="24"/>
        </w:rPr>
        <w:t xml:space="preserve">C for 4-6 hours, washed three times with PBS and scanned to detect presence of bone organoids. Kidney samples were then cryopreserved as described above. Mouse femurs </w:t>
      </w:r>
      <w:r w:rsidRPr="00A97AC5">
        <w:rPr>
          <w:rFonts w:ascii="Times New Roman" w:hAnsi="Times New Roman"/>
          <w:szCs w:val="24"/>
        </w:rPr>
        <w:t>were fixed overnight with 4% PFA at 4</w:t>
      </w:r>
      <w:r w:rsidRPr="00A97AC5">
        <w:rPr>
          <w:rFonts w:ascii="Times New Roman" w:hAnsi="Times New Roman"/>
          <w:szCs w:val="24"/>
          <w:vertAlign w:val="superscript"/>
        </w:rPr>
        <w:t>o</w:t>
      </w:r>
      <w:r>
        <w:rPr>
          <w:rFonts w:ascii="Times New Roman" w:hAnsi="Times New Roman"/>
          <w:szCs w:val="24"/>
        </w:rPr>
        <w:t>C, and non-decalcified specimens were scanned. Femur s</w:t>
      </w:r>
      <w:r w:rsidRPr="00A97AC5">
        <w:rPr>
          <w:rFonts w:ascii="Times New Roman" w:hAnsi="Times New Roman"/>
          <w:szCs w:val="24"/>
        </w:rPr>
        <w:t xml:space="preserve">amples were </w:t>
      </w:r>
      <w:r>
        <w:rPr>
          <w:rFonts w:ascii="Times New Roman" w:hAnsi="Times New Roman"/>
          <w:szCs w:val="24"/>
        </w:rPr>
        <w:t xml:space="preserve">then </w:t>
      </w:r>
      <w:r w:rsidRPr="00A97AC5">
        <w:rPr>
          <w:rFonts w:ascii="Times New Roman" w:hAnsi="Times New Roman"/>
          <w:szCs w:val="24"/>
        </w:rPr>
        <w:t>decalcified with 0.5M EDTA for 5-6 days and then s</w:t>
      </w:r>
      <w:r>
        <w:rPr>
          <w:rFonts w:ascii="Times New Roman" w:hAnsi="Times New Roman"/>
          <w:szCs w:val="24"/>
        </w:rPr>
        <w:t xml:space="preserve">ubjected to paraffin embedding. </w:t>
      </w:r>
      <w:r w:rsidRPr="00A97AC5">
        <w:rPr>
          <w:rFonts w:ascii="Times New Roman" w:hAnsi="Times New Roman"/>
          <w:szCs w:val="24"/>
        </w:rPr>
        <w:t xml:space="preserve">The Translational Research Pathology Core at Weill Cornell performed paraffin embedding, sectioning and </w:t>
      </w:r>
      <w:r>
        <w:rPr>
          <w:rFonts w:ascii="Times New Roman" w:hAnsi="Times New Roman"/>
          <w:szCs w:val="24"/>
        </w:rPr>
        <w:t xml:space="preserve">H &amp; E staining </w:t>
      </w:r>
      <w:r w:rsidRPr="00A97AC5">
        <w:rPr>
          <w:rFonts w:ascii="Times New Roman" w:hAnsi="Times New Roman"/>
          <w:szCs w:val="24"/>
        </w:rPr>
        <w:t>following a previously published protocol</w:t>
      </w:r>
      <w:r w:rsidRPr="00BE4E0B">
        <w:rPr>
          <w:rFonts w:ascii="Times New Roman" w:hAnsi="Times New Roman"/>
          <w:noProof/>
          <w:szCs w:val="24"/>
          <w:vertAlign w:val="superscript"/>
        </w:rPr>
        <w:t>55</w:t>
      </w:r>
      <w:r>
        <w:rPr>
          <w:rFonts w:ascii="Times New Roman" w:hAnsi="Times New Roman"/>
          <w:szCs w:val="24"/>
        </w:rPr>
        <w:t>.</w:t>
      </w:r>
    </w:p>
    <w:p w:rsidR="002D744A" w:rsidRDefault="002D744A" w:rsidP="00400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szCs w:val="24"/>
        </w:rPr>
      </w:pPr>
      <w:r w:rsidRPr="003355BF">
        <w:rPr>
          <w:rFonts w:ascii="Times New Roman" w:hAnsi="Times New Roman"/>
          <w:b/>
          <w:szCs w:val="24"/>
        </w:rPr>
        <w:lastRenderedPageBreak/>
        <w:t xml:space="preserve"> </w:t>
      </w:r>
      <w:r w:rsidRPr="00A97AC5">
        <w:rPr>
          <w:rFonts w:ascii="Times New Roman" w:hAnsi="Times New Roman"/>
          <w:b/>
          <w:szCs w:val="24"/>
        </w:rPr>
        <w:t>Statistical analyses:</w:t>
      </w:r>
      <w:r w:rsidRPr="00A97AC5">
        <w:rPr>
          <w:rFonts w:ascii="Times New Roman" w:hAnsi="Times New Roman"/>
          <w:szCs w:val="24"/>
        </w:rPr>
        <w:cr/>
        <w:t xml:space="preserve">All data are shown as the mean ± standard deviation (S.D.) or standard error of the mean (S.E.M.) as indicated. Where applicable, we first performed the Shapiro-Wilk normality test for checking normality. For comparisons between two groups, a two-tailed, unpaired Student’s </w:t>
      </w:r>
      <w:r w:rsidRPr="00A97AC5">
        <w:rPr>
          <w:rFonts w:ascii="Times New Roman" w:hAnsi="Times New Roman"/>
          <w:i/>
          <w:szCs w:val="24"/>
        </w:rPr>
        <w:t>t</w:t>
      </w:r>
      <w:r w:rsidRPr="00A97AC5">
        <w:rPr>
          <w:rFonts w:ascii="Times New Roman" w:hAnsi="Times New Roman"/>
          <w:szCs w:val="24"/>
        </w:rPr>
        <w:t xml:space="preserve">-test was used.  If normality tests failed, Mann-Whitney tests were used. For comparisons of three or more groups, one-way ANOVA was used if normality tests passed, followed by Tukey`s multiple comparison test for all pairs of groups. </w:t>
      </w:r>
      <w:proofErr w:type="spellStart"/>
      <w:r w:rsidRPr="00A97AC5">
        <w:rPr>
          <w:rFonts w:ascii="Times New Roman" w:hAnsi="Times New Roman"/>
          <w:szCs w:val="24"/>
        </w:rPr>
        <w:t>GraphPad</w:t>
      </w:r>
      <w:proofErr w:type="spellEnd"/>
      <w:r w:rsidRPr="00A97AC5">
        <w:rPr>
          <w:rFonts w:ascii="Times New Roman" w:hAnsi="Times New Roman"/>
          <w:szCs w:val="24"/>
        </w:rPr>
        <w:t xml:space="preserve"> PRISM software (v</w:t>
      </w:r>
      <w:r>
        <w:rPr>
          <w:rFonts w:ascii="Times New Roman" w:hAnsi="Times New Roman"/>
          <w:szCs w:val="24"/>
        </w:rPr>
        <w:t>7</w:t>
      </w:r>
      <w:r w:rsidRPr="00A97AC5">
        <w:rPr>
          <w:rFonts w:ascii="Times New Roman" w:hAnsi="Times New Roman"/>
          <w:szCs w:val="24"/>
        </w:rPr>
        <w:t>.0</w:t>
      </w:r>
      <w:r>
        <w:rPr>
          <w:rFonts w:ascii="Times New Roman" w:hAnsi="Times New Roman"/>
          <w:szCs w:val="24"/>
        </w:rPr>
        <w:t>1</w:t>
      </w:r>
      <w:r w:rsidRPr="00A97AC5">
        <w:rPr>
          <w:rFonts w:ascii="Times New Roman" w:hAnsi="Times New Roman"/>
          <w:szCs w:val="24"/>
        </w:rPr>
        <w:t xml:space="preserve"> La Jolla, CA) was used for statistical analysis. </w:t>
      </w:r>
      <w:r w:rsidRPr="00A97AC5">
        <w:rPr>
          <w:rFonts w:ascii="Times New Roman" w:hAnsi="Times New Roman"/>
          <w:i/>
          <w:szCs w:val="24"/>
        </w:rPr>
        <w:t>P</w:t>
      </w:r>
      <w:r w:rsidRPr="00A97AC5">
        <w:rPr>
          <w:rFonts w:ascii="Times New Roman" w:hAnsi="Times New Roman"/>
          <w:szCs w:val="24"/>
        </w:rPr>
        <w:t xml:space="preserve"> &lt; 0.05 was considered statistically significant</w:t>
      </w:r>
      <w:r>
        <w:rPr>
          <w:rFonts w:ascii="Times New Roman" w:hAnsi="Times New Roman"/>
          <w:szCs w:val="24"/>
        </w:rPr>
        <w:t>.</w:t>
      </w:r>
    </w:p>
    <w:p w:rsidR="002D744A" w:rsidRPr="00400E57" w:rsidRDefault="002D744A" w:rsidP="00400E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szCs w:val="24"/>
        </w:rPr>
      </w:pPr>
      <w:r>
        <w:rPr>
          <w:rFonts w:ascii="Times New Roman" w:hAnsi="Times New Roman"/>
          <w:b/>
          <w:szCs w:val="24"/>
        </w:rPr>
        <w:t>Data availability</w:t>
      </w:r>
      <w:r w:rsidRPr="00A97AC5">
        <w:rPr>
          <w:rFonts w:ascii="Times New Roman" w:hAnsi="Times New Roman"/>
          <w:b/>
          <w:szCs w:val="24"/>
        </w:rPr>
        <w:t>:</w:t>
      </w:r>
      <w:r w:rsidRPr="00A97AC5">
        <w:rPr>
          <w:rFonts w:ascii="Times New Roman" w:hAnsi="Times New Roman"/>
          <w:szCs w:val="24"/>
        </w:rPr>
        <w:cr/>
      </w:r>
      <w:r>
        <w:rPr>
          <w:rFonts w:ascii="Times New Roman" w:hAnsi="Times New Roman"/>
          <w:szCs w:val="24"/>
        </w:rPr>
        <w:t xml:space="preserve">RNA-seq and ATAC-seq data have been deposited at the Gene Expression Omnibus and will be made available upon request. </w:t>
      </w:r>
      <w:r w:rsidRPr="00F76998">
        <w:rPr>
          <w:rFonts w:ascii="Times New Roman" w:hAnsi="Times New Roman"/>
          <w:bCs/>
        </w:rPr>
        <w:t>All relevant codes for the data analysis will be made available upon request.</w:t>
      </w:r>
    </w:p>
    <w:p w:rsidR="002D744A" w:rsidRDefault="002D744A" w:rsidP="004F5E57">
      <w:pPr>
        <w:spacing w:line="480" w:lineRule="auto"/>
      </w:pPr>
    </w:p>
    <w:p w:rsidR="002D744A" w:rsidRPr="000B1C88" w:rsidRDefault="002D744A" w:rsidP="004F5E57">
      <w:pPr>
        <w:spacing w:line="480" w:lineRule="auto"/>
        <w:rPr>
          <w:b/>
          <w:bCs/>
        </w:rPr>
      </w:pPr>
      <w:r w:rsidRPr="000B1C88">
        <w:rPr>
          <w:b/>
          <w:bCs/>
        </w:rPr>
        <w:t>References:</w:t>
      </w:r>
    </w:p>
    <w:p w:rsidR="002D744A" w:rsidRPr="00BE4E0B" w:rsidRDefault="002D744A" w:rsidP="00BE4E0B">
      <w:pPr>
        <w:pStyle w:val="EndNoteBibliography"/>
        <w:ind w:left="720" w:hanging="720"/>
      </w:pPr>
      <w:bookmarkStart w:id="1" w:name="_ENREF_1"/>
      <w:r w:rsidRPr="00BE4E0B">
        <w:t>32</w:t>
      </w:r>
      <w:r w:rsidRPr="00BE4E0B">
        <w:tab/>
        <w:t>Moitra, J.</w:t>
      </w:r>
      <w:r w:rsidRPr="00BE4E0B">
        <w:rPr>
          <w:i/>
        </w:rPr>
        <w:t xml:space="preserve"> et al.</w:t>
      </w:r>
      <w:r w:rsidRPr="00BE4E0B">
        <w:t xml:space="preserve"> Life without white fat: a transgenic mouse. </w:t>
      </w:r>
      <w:r w:rsidRPr="00BE4E0B">
        <w:rPr>
          <w:i/>
        </w:rPr>
        <w:t>Genes &amp; development</w:t>
      </w:r>
      <w:r w:rsidRPr="00BE4E0B">
        <w:t xml:space="preserve"> </w:t>
      </w:r>
      <w:r w:rsidRPr="00BE4E0B">
        <w:rPr>
          <w:b/>
        </w:rPr>
        <w:t>12</w:t>
      </w:r>
      <w:r w:rsidRPr="00BE4E0B">
        <w:t>, 3168-3181, doi:10.1101/gad.12.20.3168 (1998).</w:t>
      </w:r>
      <w:bookmarkEnd w:id="1"/>
    </w:p>
    <w:p w:rsidR="002D744A" w:rsidRPr="00BE4E0B" w:rsidRDefault="002D744A" w:rsidP="00BE4E0B">
      <w:pPr>
        <w:pStyle w:val="EndNoteBibliography"/>
        <w:ind w:left="720" w:hanging="720"/>
      </w:pPr>
      <w:bookmarkStart w:id="2" w:name="_ENREF_2"/>
      <w:r w:rsidRPr="00BE4E0B">
        <w:t>33</w:t>
      </w:r>
      <w:r w:rsidRPr="00BE4E0B">
        <w:tab/>
        <w:t>Colombo, C.</w:t>
      </w:r>
      <w:r w:rsidRPr="00BE4E0B">
        <w:rPr>
          <w:i/>
        </w:rPr>
        <w:t xml:space="preserve"> et al.</w:t>
      </w:r>
      <w:r w:rsidRPr="00BE4E0B">
        <w:t xml:space="preserve"> Opposite effects of background genotype on muscle and liver insulin sensitivity of lipoatrophic mice. Role of triglyceride clearance. </w:t>
      </w:r>
      <w:r w:rsidRPr="00BE4E0B">
        <w:rPr>
          <w:i/>
        </w:rPr>
        <w:t>The Journal of biological chemistry</w:t>
      </w:r>
      <w:r w:rsidRPr="00BE4E0B">
        <w:t xml:space="preserve"> </w:t>
      </w:r>
      <w:r w:rsidRPr="00BE4E0B">
        <w:rPr>
          <w:b/>
        </w:rPr>
        <w:t>278</w:t>
      </w:r>
      <w:r w:rsidRPr="00BE4E0B">
        <w:t>, 3992-3999, doi:10.1074/jbc.M207665200 (2003).</w:t>
      </w:r>
      <w:bookmarkEnd w:id="2"/>
    </w:p>
    <w:p w:rsidR="002D744A" w:rsidRPr="00BE4E0B" w:rsidRDefault="002D744A" w:rsidP="00BE4E0B">
      <w:pPr>
        <w:pStyle w:val="EndNoteBibliography"/>
        <w:ind w:left="720" w:hanging="720"/>
      </w:pPr>
      <w:bookmarkStart w:id="3" w:name="_ENREF_3"/>
      <w:r w:rsidRPr="00BE4E0B">
        <w:t>34</w:t>
      </w:r>
      <w:r w:rsidRPr="00BE4E0B">
        <w:tab/>
        <w:t>Mizuhashi, K.</w:t>
      </w:r>
      <w:r w:rsidRPr="00BE4E0B">
        <w:rPr>
          <w:i/>
        </w:rPr>
        <w:t xml:space="preserve"> et al.</w:t>
      </w:r>
      <w:r w:rsidRPr="00BE4E0B">
        <w:t xml:space="preserve"> Resting zone of the growth plate houses a unique class of skeletal stem cells. </w:t>
      </w:r>
      <w:r w:rsidRPr="00BE4E0B">
        <w:rPr>
          <w:i/>
        </w:rPr>
        <w:t>Nature</w:t>
      </w:r>
      <w:r w:rsidRPr="00BE4E0B">
        <w:t xml:space="preserve"> </w:t>
      </w:r>
      <w:r w:rsidRPr="00BE4E0B">
        <w:rPr>
          <w:b/>
        </w:rPr>
        <w:t>563</w:t>
      </w:r>
      <w:r w:rsidRPr="00BE4E0B">
        <w:t>, 254-258, doi:10.1038/s41586-018-0662-5 (2018).</w:t>
      </w:r>
      <w:bookmarkEnd w:id="3"/>
    </w:p>
    <w:p w:rsidR="002D744A" w:rsidRPr="00BE4E0B" w:rsidRDefault="002D744A" w:rsidP="00BE4E0B">
      <w:pPr>
        <w:pStyle w:val="EndNoteBibliography"/>
        <w:ind w:left="720" w:hanging="720"/>
      </w:pPr>
      <w:bookmarkStart w:id="4" w:name="_ENREF_4"/>
      <w:r w:rsidRPr="00BE4E0B">
        <w:t>35</w:t>
      </w:r>
      <w:r w:rsidRPr="00BE4E0B">
        <w:tab/>
        <w:t>Nakamura, T.</w:t>
      </w:r>
      <w:r w:rsidRPr="00BE4E0B">
        <w:rPr>
          <w:i/>
        </w:rPr>
        <w:t xml:space="preserve"> et al.</w:t>
      </w:r>
      <w:r w:rsidRPr="00BE4E0B">
        <w:t xml:space="preserve"> Estrogen prevents bone loss via estrogen receptor alpha and induction of Fas ligand in osteoclasts. </w:t>
      </w:r>
      <w:r w:rsidRPr="00BE4E0B">
        <w:rPr>
          <w:i/>
        </w:rPr>
        <w:t>Cell</w:t>
      </w:r>
      <w:r w:rsidRPr="00BE4E0B">
        <w:t xml:space="preserve"> </w:t>
      </w:r>
      <w:r w:rsidRPr="00BE4E0B">
        <w:rPr>
          <w:b/>
        </w:rPr>
        <w:t>130</w:t>
      </w:r>
      <w:r w:rsidRPr="00BE4E0B">
        <w:t>, 811-823, doi:10.1016/j.cell.2007.07.025 (2007).</w:t>
      </w:r>
      <w:bookmarkEnd w:id="4"/>
    </w:p>
    <w:p w:rsidR="002D744A" w:rsidRPr="00BE4E0B" w:rsidRDefault="002D744A" w:rsidP="00BE4E0B">
      <w:pPr>
        <w:pStyle w:val="EndNoteBibliography"/>
        <w:ind w:left="720" w:hanging="720"/>
      </w:pPr>
      <w:bookmarkStart w:id="5" w:name="_ENREF_5"/>
      <w:r w:rsidRPr="00BE4E0B">
        <w:t>36</w:t>
      </w:r>
      <w:r w:rsidRPr="00BE4E0B">
        <w:tab/>
        <w:t xml:space="preserve">Muzumdar, M. D., Tasic, B., Miyamichi, K., Li, L. &amp; Luo, L. A global double-fluorescent Cre reporter mouse. </w:t>
      </w:r>
      <w:r w:rsidRPr="00BE4E0B">
        <w:rPr>
          <w:i/>
        </w:rPr>
        <w:t>Genesis</w:t>
      </w:r>
      <w:r w:rsidRPr="00BE4E0B">
        <w:t xml:space="preserve"> </w:t>
      </w:r>
      <w:r w:rsidRPr="00BE4E0B">
        <w:rPr>
          <w:b/>
        </w:rPr>
        <w:t>45</w:t>
      </w:r>
      <w:r w:rsidRPr="00BE4E0B">
        <w:t>, 593-605, doi:10.1002/dvg.20335 (2007).</w:t>
      </w:r>
      <w:bookmarkEnd w:id="5"/>
    </w:p>
    <w:p w:rsidR="002D744A" w:rsidRPr="00BE4E0B" w:rsidRDefault="002D744A" w:rsidP="00BE4E0B">
      <w:pPr>
        <w:pStyle w:val="EndNoteBibliography"/>
        <w:ind w:left="720" w:hanging="720"/>
      </w:pPr>
      <w:bookmarkStart w:id="6" w:name="_ENREF_6"/>
      <w:r w:rsidRPr="00BE4E0B">
        <w:t>37</w:t>
      </w:r>
      <w:r w:rsidRPr="00BE4E0B">
        <w:tab/>
        <w:t xml:space="preserve">Schaefer, B. C., Schaefer, M. L., Kappler, J. W., Marrack, P. &amp; Kedl, R. M. Observation of antigen-dependent CD8+ T-cell/ dendritic cell interactions in vivo. </w:t>
      </w:r>
      <w:r w:rsidRPr="00BE4E0B">
        <w:rPr>
          <w:i/>
        </w:rPr>
        <w:t>Cellular immunology</w:t>
      </w:r>
      <w:r w:rsidRPr="00BE4E0B">
        <w:t xml:space="preserve"> </w:t>
      </w:r>
      <w:r w:rsidRPr="00BE4E0B">
        <w:rPr>
          <w:b/>
        </w:rPr>
        <w:t>214</w:t>
      </w:r>
      <w:r w:rsidRPr="00BE4E0B">
        <w:t>, 110-122, doi:10.1006/cimm.2001.1895 (2001).</w:t>
      </w:r>
      <w:bookmarkEnd w:id="6"/>
    </w:p>
    <w:p w:rsidR="002D744A" w:rsidRPr="00BE4E0B" w:rsidRDefault="002D744A" w:rsidP="00BE4E0B">
      <w:pPr>
        <w:pStyle w:val="EndNoteBibliography"/>
        <w:ind w:left="720" w:hanging="720"/>
      </w:pPr>
      <w:bookmarkStart w:id="7" w:name="_ENREF_7"/>
      <w:r w:rsidRPr="00BE4E0B">
        <w:lastRenderedPageBreak/>
        <w:t>38</w:t>
      </w:r>
      <w:r w:rsidRPr="00BE4E0B">
        <w:tab/>
        <w:t>Hara, M.</w:t>
      </w:r>
      <w:r w:rsidRPr="00BE4E0B">
        <w:rPr>
          <w:i/>
        </w:rPr>
        <w:t xml:space="preserve"> et al.</w:t>
      </w:r>
      <w:r w:rsidRPr="00BE4E0B">
        <w:t xml:space="preserve"> Transgenic mice with green fluorescent protein-labeled pancreatic beta -cells. </w:t>
      </w:r>
      <w:r w:rsidRPr="00BE4E0B">
        <w:rPr>
          <w:i/>
        </w:rPr>
        <w:t>American journal of physiology. Endocrinology and metabolism</w:t>
      </w:r>
      <w:r w:rsidRPr="00BE4E0B">
        <w:t xml:space="preserve"> </w:t>
      </w:r>
      <w:r w:rsidRPr="00BE4E0B">
        <w:rPr>
          <w:b/>
        </w:rPr>
        <w:t>284</w:t>
      </w:r>
      <w:r w:rsidRPr="00BE4E0B">
        <w:t>, E177-183, doi:10.1152/ajpendo.00321.2002 (2003).</w:t>
      </w:r>
      <w:bookmarkEnd w:id="7"/>
    </w:p>
    <w:p w:rsidR="002D744A" w:rsidRPr="00BE4E0B" w:rsidRDefault="002D744A" w:rsidP="00BE4E0B">
      <w:pPr>
        <w:pStyle w:val="EndNoteBibliography"/>
        <w:ind w:left="720" w:hanging="720"/>
      </w:pPr>
      <w:bookmarkStart w:id="8" w:name="_ENREF_8"/>
      <w:r w:rsidRPr="00BE4E0B">
        <w:t>39</w:t>
      </w:r>
      <w:r w:rsidRPr="00BE4E0B">
        <w:tab/>
        <w:t>DeFalco, J.</w:t>
      </w:r>
      <w:r w:rsidRPr="00BE4E0B">
        <w:rPr>
          <w:i/>
        </w:rPr>
        <w:t xml:space="preserve"> et al.</w:t>
      </w:r>
      <w:r w:rsidRPr="00BE4E0B">
        <w:t xml:space="preserve"> Virus-assisted mapping of neural inputs to a feeding center in the hypothalamus. </w:t>
      </w:r>
      <w:r w:rsidRPr="00BE4E0B">
        <w:rPr>
          <w:i/>
        </w:rPr>
        <w:t>Science</w:t>
      </w:r>
      <w:r w:rsidRPr="00BE4E0B">
        <w:t xml:space="preserve"> </w:t>
      </w:r>
      <w:r w:rsidRPr="00BE4E0B">
        <w:rPr>
          <w:b/>
        </w:rPr>
        <w:t>291</w:t>
      </w:r>
      <w:r w:rsidRPr="00BE4E0B">
        <w:t>, 2608-2613, doi:10.1126/science.1056602 (2001).</w:t>
      </w:r>
      <w:bookmarkEnd w:id="8"/>
    </w:p>
    <w:p w:rsidR="002D744A" w:rsidRPr="00BE4E0B" w:rsidRDefault="002D744A" w:rsidP="00BE4E0B">
      <w:pPr>
        <w:pStyle w:val="EndNoteBibliography"/>
        <w:ind w:left="720" w:hanging="720"/>
      </w:pPr>
      <w:bookmarkStart w:id="9" w:name="_ENREF_9"/>
      <w:r w:rsidRPr="00BE4E0B">
        <w:t>40</w:t>
      </w:r>
      <w:r w:rsidRPr="00BE4E0B">
        <w:tab/>
        <w:t>He, W.</w:t>
      </w:r>
      <w:r w:rsidRPr="00BE4E0B">
        <w:rPr>
          <w:i/>
        </w:rPr>
        <w:t xml:space="preserve"> et al.</w:t>
      </w:r>
      <w:r w:rsidRPr="00BE4E0B">
        <w:t xml:space="preserve"> Adipose-specific peroxisome proliferator-activated receptor gamma knockout causes insulin resistance in fat and liver but not in muscle. </w:t>
      </w:r>
      <w:r w:rsidRPr="00BE4E0B">
        <w:rPr>
          <w:i/>
        </w:rPr>
        <w:t>Proceedings of the National Academy of Sciences of the United States of America</w:t>
      </w:r>
      <w:r w:rsidRPr="00BE4E0B">
        <w:t xml:space="preserve"> </w:t>
      </w:r>
      <w:r w:rsidRPr="00BE4E0B">
        <w:rPr>
          <w:b/>
        </w:rPr>
        <w:t>100</w:t>
      </w:r>
      <w:r w:rsidRPr="00BE4E0B">
        <w:t>, 15712-15717, doi:10.1073/pnas.2536828100 (2003).</w:t>
      </w:r>
      <w:bookmarkEnd w:id="9"/>
    </w:p>
    <w:p w:rsidR="002D744A" w:rsidRPr="00BE4E0B" w:rsidRDefault="002D744A" w:rsidP="00BE4E0B">
      <w:pPr>
        <w:pStyle w:val="EndNoteBibliography"/>
        <w:ind w:left="720" w:hanging="720"/>
      </w:pPr>
      <w:bookmarkStart w:id="10" w:name="_ENREF_10"/>
      <w:r w:rsidRPr="00BE4E0B">
        <w:t>41</w:t>
      </w:r>
      <w:r w:rsidRPr="00BE4E0B">
        <w:tab/>
        <w:t>Roesch, K.</w:t>
      </w:r>
      <w:r w:rsidRPr="00BE4E0B">
        <w:rPr>
          <w:i/>
        </w:rPr>
        <w:t xml:space="preserve"> et al.</w:t>
      </w:r>
      <w:r w:rsidRPr="00BE4E0B">
        <w:t xml:space="preserve"> The transcriptome of retinal Muller glial cells. </w:t>
      </w:r>
      <w:r w:rsidRPr="00BE4E0B">
        <w:rPr>
          <w:i/>
        </w:rPr>
        <w:t>The Journal of comparative neurology</w:t>
      </w:r>
      <w:r w:rsidRPr="00BE4E0B">
        <w:t xml:space="preserve"> </w:t>
      </w:r>
      <w:r w:rsidRPr="00BE4E0B">
        <w:rPr>
          <w:b/>
        </w:rPr>
        <w:t>509</w:t>
      </w:r>
      <w:r w:rsidRPr="00BE4E0B">
        <w:t>, 225-238, doi:10.1002/cne.21730 (2008).</w:t>
      </w:r>
      <w:bookmarkEnd w:id="10"/>
    </w:p>
    <w:p w:rsidR="002D744A" w:rsidRPr="00BE4E0B" w:rsidRDefault="002D744A" w:rsidP="00BE4E0B">
      <w:pPr>
        <w:pStyle w:val="EndNoteBibliography"/>
        <w:ind w:left="720" w:hanging="720"/>
      </w:pPr>
      <w:bookmarkStart w:id="11" w:name="_ENREF_11"/>
      <w:r w:rsidRPr="00BE4E0B">
        <w:t>42</w:t>
      </w:r>
      <w:r w:rsidRPr="00BE4E0B">
        <w:tab/>
        <w:t>Jeffery, E.</w:t>
      </w:r>
      <w:r w:rsidRPr="00BE4E0B">
        <w:rPr>
          <w:i/>
        </w:rPr>
        <w:t xml:space="preserve"> et al.</w:t>
      </w:r>
      <w:r w:rsidRPr="00BE4E0B">
        <w:t xml:space="preserve"> Characterization of Cre recombinase models for the study of adipose tissue. </w:t>
      </w:r>
      <w:r w:rsidRPr="00BE4E0B">
        <w:rPr>
          <w:i/>
        </w:rPr>
        <w:t>Adipocyte</w:t>
      </w:r>
      <w:r w:rsidRPr="00BE4E0B">
        <w:t xml:space="preserve"> </w:t>
      </w:r>
      <w:r w:rsidRPr="00BE4E0B">
        <w:rPr>
          <w:b/>
        </w:rPr>
        <w:t>3</w:t>
      </w:r>
      <w:r w:rsidRPr="00BE4E0B">
        <w:t>, 206-211, doi:10.4161/adip.29674 (2014).</w:t>
      </w:r>
      <w:bookmarkEnd w:id="11"/>
    </w:p>
    <w:p w:rsidR="002D744A" w:rsidRPr="00BE4E0B" w:rsidRDefault="002D744A" w:rsidP="00BE4E0B">
      <w:pPr>
        <w:pStyle w:val="EndNoteBibliography"/>
        <w:ind w:left="720" w:hanging="720"/>
      </w:pPr>
      <w:bookmarkStart w:id="12" w:name="_ENREF_12"/>
      <w:r w:rsidRPr="00BE4E0B">
        <w:t>43</w:t>
      </w:r>
      <w:r w:rsidRPr="00BE4E0B">
        <w:tab/>
        <w:t>Kujoth, G. C.</w:t>
      </w:r>
      <w:r w:rsidRPr="00BE4E0B">
        <w:rPr>
          <w:i/>
        </w:rPr>
        <w:t xml:space="preserve"> et al.</w:t>
      </w:r>
      <w:r w:rsidRPr="00BE4E0B">
        <w:t xml:space="preserve"> Mitochondrial DNA mutations, oxidative stress, and apoptosis in mammalian aging. </w:t>
      </w:r>
      <w:r w:rsidRPr="00BE4E0B">
        <w:rPr>
          <w:i/>
        </w:rPr>
        <w:t>Science</w:t>
      </w:r>
      <w:r w:rsidRPr="00BE4E0B">
        <w:t xml:space="preserve"> </w:t>
      </w:r>
      <w:r w:rsidRPr="00BE4E0B">
        <w:rPr>
          <w:b/>
        </w:rPr>
        <w:t>309</w:t>
      </w:r>
      <w:r w:rsidRPr="00BE4E0B">
        <w:t>, 481-484, doi:10.1126/science.1112125 (2005).</w:t>
      </w:r>
      <w:bookmarkEnd w:id="12"/>
    </w:p>
    <w:p w:rsidR="002D744A" w:rsidRPr="00BE4E0B" w:rsidRDefault="002D744A" w:rsidP="00BE4E0B">
      <w:pPr>
        <w:pStyle w:val="EndNoteBibliography"/>
        <w:ind w:left="720" w:hanging="720"/>
      </w:pPr>
      <w:bookmarkStart w:id="13" w:name="_ENREF_13"/>
      <w:r w:rsidRPr="00BE4E0B">
        <w:t>44</w:t>
      </w:r>
      <w:r w:rsidRPr="00BE4E0B">
        <w:tab/>
        <w:t>Debnath, S.</w:t>
      </w:r>
      <w:r w:rsidRPr="00BE4E0B">
        <w:rPr>
          <w:i/>
        </w:rPr>
        <w:t xml:space="preserve"> et al.</w:t>
      </w:r>
      <w:r w:rsidRPr="00BE4E0B">
        <w:t xml:space="preserve"> Discovery of a periosteal stem cell mediating intramembranous bone formation. </w:t>
      </w:r>
      <w:r w:rsidRPr="00BE4E0B">
        <w:rPr>
          <w:i/>
        </w:rPr>
        <w:t>Nature</w:t>
      </w:r>
      <w:r w:rsidRPr="00BE4E0B">
        <w:t xml:space="preserve"> </w:t>
      </w:r>
      <w:r w:rsidRPr="00BE4E0B">
        <w:rPr>
          <w:b/>
        </w:rPr>
        <w:t>562</w:t>
      </w:r>
      <w:r w:rsidRPr="00BE4E0B">
        <w:t>, 133-139, doi:10.1038/s41586-018-0554-8 (2018).</w:t>
      </w:r>
      <w:bookmarkEnd w:id="13"/>
    </w:p>
    <w:p w:rsidR="002D744A" w:rsidRPr="00BE4E0B" w:rsidRDefault="002D744A" w:rsidP="00BE4E0B">
      <w:pPr>
        <w:pStyle w:val="EndNoteBibliography"/>
        <w:ind w:left="720" w:hanging="720"/>
      </w:pPr>
      <w:bookmarkStart w:id="14" w:name="_ENREF_14"/>
      <w:r w:rsidRPr="00BE4E0B">
        <w:t>45</w:t>
      </w:r>
      <w:r w:rsidRPr="00BE4E0B">
        <w:tab/>
        <w:t>Xu, R.</w:t>
      </w:r>
      <w:r w:rsidRPr="00BE4E0B">
        <w:rPr>
          <w:i/>
        </w:rPr>
        <w:t xml:space="preserve"> et al.</w:t>
      </w:r>
      <w:r w:rsidRPr="00BE4E0B">
        <w:t xml:space="preserve"> Targeting skeletal endothelium to ameliorate bone loss. </w:t>
      </w:r>
      <w:r w:rsidRPr="00BE4E0B">
        <w:rPr>
          <w:i/>
        </w:rPr>
        <w:t>Nature medicine</w:t>
      </w:r>
      <w:r w:rsidRPr="00BE4E0B">
        <w:t xml:space="preserve"> </w:t>
      </w:r>
      <w:r w:rsidRPr="00BE4E0B">
        <w:rPr>
          <w:b/>
        </w:rPr>
        <w:t>24</w:t>
      </w:r>
      <w:r w:rsidRPr="00BE4E0B">
        <w:t>, 823-833, doi:10.1038/s41591-018-0020-z (2018).</w:t>
      </w:r>
      <w:bookmarkEnd w:id="14"/>
    </w:p>
    <w:p w:rsidR="002D744A" w:rsidRPr="00BE4E0B" w:rsidRDefault="002D744A" w:rsidP="00BE4E0B">
      <w:pPr>
        <w:pStyle w:val="EndNoteBibliography"/>
        <w:ind w:left="720" w:hanging="720"/>
      </w:pPr>
      <w:bookmarkStart w:id="15" w:name="_ENREF_15"/>
      <w:r w:rsidRPr="00BE4E0B">
        <w:t>46</w:t>
      </w:r>
      <w:r w:rsidRPr="00BE4E0B">
        <w:tab/>
        <w:t xml:space="preserve">Rodeheffer, M. S., Birsoy, K. &amp; Friedman, J. M. Identification of white adipocyte progenitor cells in vivo. </w:t>
      </w:r>
      <w:r w:rsidRPr="00BE4E0B">
        <w:rPr>
          <w:i/>
        </w:rPr>
        <w:t>Cell</w:t>
      </w:r>
      <w:r w:rsidRPr="00BE4E0B">
        <w:t xml:space="preserve"> </w:t>
      </w:r>
      <w:r w:rsidRPr="00BE4E0B">
        <w:rPr>
          <w:b/>
        </w:rPr>
        <w:t>135</w:t>
      </w:r>
      <w:r w:rsidRPr="00BE4E0B">
        <w:t>, 240-249, doi:10.1016/j.cell.2008.09.036 (2008).</w:t>
      </w:r>
      <w:bookmarkEnd w:id="15"/>
    </w:p>
    <w:p w:rsidR="002D744A" w:rsidRPr="00BE4E0B" w:rsidRDefault="002D744A" w:rsidP="00BE4E0B">
      <w:pPr>
        <w:pStyle w:val="EndNoteBibliography"/>
        <w:ind w:left="720" w:hanging="720"/>
      </w:pPr>
      <w:bookmarkStart w:id="16" w:name="_ENREF_16"/>
      <w:r w:rsidRPr="00BE4E0B">
        <w:t>47</w:t>
      </w:r>
      <w:r w:rsidRPr="00BE4E0B">
        <w:tab/>
        <w:t>Pauley, P.</w:t>
      </w:r>
      <w:r w:rsidRPr="00BE4E0B">
        <w:rPr>
          <w:i/>
        </w:rPr>
        <w:t xml:space="preserve"> et al.</w:t>
      </w:r>
      <w:r w:rsidRPr="00BE4E0B">
        <w:t xml:space="preserve"> Local transplantation is an effective method for cell delivery in the osteogenesis imperfecta murine model. </w:t>
      </w:r>
      <w:r w:rsidRPr="00BE4E0B">
        <w:rPr>
          <w:i/>
        </w:rPr>
        <w:t>International orthopaedics</w:t>
      </w:r>
      <w:r w:rsidRPr="00BE4E0B">
        <w:t xml:space="preserve"> </w:t>
      </w:r>
      <w:r w:rsidRPr="00BE4E0B">
        <w:rPr>
          <w:b/>
        </w:rPr>
        <w:t>38</w:t>
      </w:r>
      <w:r w:rsidRPr="00BE4E0B">
        <w:t>, 1955-1962, doi:10.1007/s00264-013-2249-y (2014).</w:t>
      </w:r>
      <w:bookmarkEnd w:id="16"/>
    </w:p>
    <w:p w:rsidR="002D744A" w:rsidRPr="00BE4E0B" w:rsidRDefault="002D744A" w:rsidP="00BE4E0B">
      <w:pPr>
        <w:pStyle w:val="EndNoteBibliography"/>
        <w:ind w:left="720" w:hanging="720"/>
      </w:pPr>
      <w:bookmarkStart w:id="17" w:name="_ENREF_17"/>
      <w:r w:rsidRPr="00BE4E0B">
        <w:t>48</w:t>
      </w:r>
      <w:r w:rsidRPr="00BE4E0B">
        <w:tab/>
        <w:t xml:space="preserve">Zhou, B. O., Yue, R., Murphy, M. M., Peyer, J. G. &amp; Morrison, S. J. Leptin-receptor-expressing mesenchymal stromal cells represent the main source of bone formed by adult bone marrow. </w:t>
      </w:r>
      <w:r w:rsidRPr="00BE4E0B">
        <w:rPr>
          <w:i/>
        </w:rPr>
        <w:t>Cell stem cell</w:t>
      </w:r>
      <w:r w:rsidRPr="00BE4E0B">
        <w:t xml:space="preserve"> </w:t>
      </w:r>
      <w:r w:rsidRPr="00BE4E0B">
        <w:rPr>
          <w:b/>
        </w:rPr>
        <w:t>15</w:t>
      </w:r>
      <w:r w:rsidRPr="00BE4E0B">
        <w:t>, 154-168, doi:10.1016/j.stem.2014.06.008 (2014).</w:t>
      </w:r>
      <w:bookmarkEnd w:id="17"/>
    </w:p>
    <w:p w:rsidR="002D744A" w:rsidRPr="00BE4E0B" w:rsidRDefault="002D744A" w:rsidP="00BE4E0B">
      <w:pPr>
        <w:pStyle w:val="EndNoteBibliography"/>
        <w:ind w:left="720" w:hanging="720"/>
      </w:pPr>
      <w:bookmarkStart w:id="18" w:name="_ENREF_18"/>
      <w:r w:rsidRPr="00BE4E0B">
        <w:t>49</w:t>
      </w:r>
      <w:r w:rsidRPr="00BE4E0B">
        <w:tab/>
        <w:t xml:space="preserve">Debnath, S. &amp; Greenblatt, M. B. Specimen Preparation for Single-Cell Sequencing Analysis of Skeletal Cells. </w:t>
      </w:r>
      <w:r w:rsidRPr="00BE4E0B">
        <w:rPr>
          <w:i/>
        </w:rPr>
        <w:t>Methods in molecular biology</w:t>
      </w:r>
      <w:r w:rsidRPr="00BE4E0B">
        <w:t xml:space="preserve"> </w:t>
      </w:r>
      <w:r w:rsidRPr="00BE4E0B">
        <w:rPr>
          <w:b/>
        </w:rPr>
        <w:t>2221</w:t>
      </w:r>
      <w:r w:rsidRPr="00BE4E0B">
        <w:t>, 89-100, doi:10.1007/978-1-0716-0989-7_7 (2021).</w:t>
      </w:r>
      <w:bookmarkEnd w:id="18"/>
    </w:p>
    <w:p w:rsidR="002D744A" w:rsidRPr="00BE4E0B" w:rsidRDefault="002D744A" w:rsidP="00BE4E0B">
      <w:pPr>
        <w:pStyle w:val="EndNoteBibliography"/>
        <w:ind w:left="720" w:hanging="720"/>
      </w:pPr>
      <w:bookmarkStart w:id="19" w:name="_ENREF_19"/>
      <w:r w:rsidRPr="00BE4E0B">
        <w:t>50</w:t>
      </w:r>
      <w:r w:rsidRPr="00BE4E0B">
        <w:tab/>
        <w:t>Dobin, A.</w:t>
      </w:r>
      <w:r w:rsidRPr="00BE4E0B">
        <w:rPr>
          <w:i/>
        </w:rPr>
        <w:t xml:space="preserve"> et al.</w:t>
      </w:r>
      <w:r w:rsidRPr="00BE4E0B">
        <w:t xml:space="preserve"> STAR: ultrafast universal RNA-seq aligner. </w:t>
      </w:r>
      <w:r w:rsidRPr="00BE4E0B">
        <w:rPr>
          <w:i/>
        </w:rPr>
        <w:t>Bioinformatics</w:t>
      </w:r>
      <w:r w:rsidRPr="00BE4E0B">
        <w:t xml:space="preserve"> </w:t>
      </w:r>
      <w:r w:rsidRPr="00BE4E0B">
        <w:rPr>
          <w:b/>
        </w:rPr>
        <w:t>29</w:t>
      </w:r>
      <w:r w:rsidRPr="00BE4E0B">
        <w:t>, 15-21, doi:10.1093/bioinformatics/bts635 (2013).</w:t>
      </w:r>
      <w:bookmarkEnd w:id="19"/>
    </w:p>
    <w:p w:rsidR="002D744A" w:rsidRPr="00BE4E0B" w:rsidRDefault="002D744A" w:rsidP="00BE4E0B">
      <w:pPr>
        <w:pStyle w:val="EndNoteBibliography"/>
        <w:ind w:left="720" w:hanging="720"/>
      </w:pPr>
      <w:bookmarkStart w:id="20" w:name="_ENREF_20"/>
      <w:r w:rsidRPr="00BE4E0B">
        <w:t>51</w:t>
      </w:r>
      <w:r w:rsidRPr="00BE4E0B">
        <w:tab/>
        <w:t xml:space="preserve">Anders, S., Pyl, P. T. &amp; Huber, W. HTSeq--a Python framework to work with high-throughput sequencing data. </w:t>
      </w:r>
      <w:r w:rsidRPr="00BE4E0B">
        <w:rPr>
          <w:i/>
        </w:rPr>
        <w:t>Bioinformatics</w:t>
      </w:r>
      <w:r w:rsidRPr="00BE4E0B">
        <w:t xml:space="preserve"> </w:t>
      </w:r>
      <w:r w:rsidRPr="00BE4E0B">
        <w:rPr>
          <w:b/>
        </w:rPr>
        <w:t>31</w:t>
      </w:r>
      <w:r w:rsidRPr="00BE4E0B">
        <w:t>, 166-169, doi:10.1093/bioinformatics/btu638 (2015).</w:t>
      </w:r>
      <w:bookmarkEnd w:id="20"/>
    </w:p>
    <w:p w:rsidR="002D744A" w:rsidRPr="00BE4E0B" w:rsidRDefault="002D744A" w:rsidP="00BE4E0B">
      <w:pPr>
        <w:pStyle w:val="EndNoteBibliography"/>
        <w:ind w:left="720" w:hanging="720"/>
      </w:pPr>
      <w:bookmarkStart w:id="21" w:name="_ENREF_21"/>
      <w:r w:rsidRPr="00BE4E0B">
        <w:t>52</w:t>
      </w:r>
      <w:r w:rsidRPr="00BE4E0B">
        <w:tab/>
        <w:t xml:space="preserve">Love, M. I., Huber, W. &amp; Anders, S. Moderated estimation of fold change and dispersion for RNA-seq data with DESeq2. </w:t>
      </w:r>
      <w:r w:rsidRPr="00BE4E0B">
        <w:rPr>
          <w:i/>
        </w:rPr>
        <w:t>Genome biology</w:t>
      </w:r>
      <w:r w:rsidRPr="00BE4E0B">
        <w:t xml:space="preserve"> </w:t>
      </w:r>
      <w:r w:rsidRPr="00BE4E0B">
        <w:rPr>
          <w:b/>
        </w:rPr>
        <w:t>15</w:t>
      </w:r>
      <w:r w:rsidRPr="00BE4E0B">
        <w:t>, 550, doi:10.1186/s13059-014-0550-8 (2014).</w:t>
      </w:r>
      <w:bookmarkEnd w:id="21"/>
    </w:p>
    <w:p w:rsidR="002D744A" w:rsidRPr="00BE4E0B" w:rsidRDefault="002D744A" w:rsidP="00BE4E0B">
      <w:pPr>
        <w:pStyle w:val="EndNoteBibliography"/>
        <w:ind w:left="720" w:hanging="720"/>
      </w:pPr>
      <w:bookmarkStart w:id="22" w:name="_ENREF_22"/>
      <w:r w:rsidRPr="00BE4E0B">
        <w:t>53</w:t>
      </w:r>
      <w:r w:rsidRPr="00BE4E0B">
        <w:tab/>
        <w:t>Ludwig, L. S.</w:t>
      </w:r>
      <w:r w:rsidRPr="00BE4E0B">
        <w:rPr>
          <w:i/>
        </w:rPr>
        <w:t xml:space="preserve"> et al.</w:t>
      </w:r>
      <w:r w:rsidRPr="00BE4E0B">
        <w:t xml:space="preserve"> Lineage Tracing in Humans Enabled by Mitochondrial Mutations and Single-Cell Genomics. </w:t>
      </w:r>
      <w:r w:rsidRPr="00BE4E0B">
        <w:rPr>
          <w:i/>
        </w:rPr>
        <w:t>Cell</w:t>
      </w:r>
      <w:r w:rsidRPr="00BE4E0B">
        <w:t xml:space="preserve"> </w:t>
      </w:r>
      <w:r w:rsidRPr="00BE4E0B">
        <w:rPr>
          <w:b/>
        </w:rPr>
        <w:t>176</w:t>
      </w:r>
      <w:r w:rsidRPr="00BE4E0B">
        <w:t>, 1325-1339 e1322, doi:10.1016/j.cell.2019.01.022 (2019).</w:t>
      </w:r>
      <w:bookmarkEnd w:id="22"/>
    </w:p>
    <w:p w:rsidR="002D744A" w:rsidRPr="00BE4E0B" w:rsidRDefault="002D744A" w:rsidP="00BE4E0B">
      <w:pPr>
        <w:pStyle w:val="EndNoteBibliography"/>
        <w:ind w:left="720" w:hanging="720"/>
      </w:pPr>
      <w:bookmarkStart w:id="23" w:name="_ENREF_23"/>
      <w:r w:rsidRPr="00BE4E0B">
        <w:lastRenderedPageBreak/>
        <w:t>54</w:t>
      </w:r>
      <w:r w:rsidRPr="00BE4E0B">
        <w:tab/>
        <w:t>Lareau, C. A.</w:t>
      </w:r>
      <w:r w:rsidRPr="00BE4E0B">
        <w:rPr>
          <w:i/>
        </w:rPr>
        <w:t xml:space="preserve"> et al.</w:t>
      </w:r>
      <w:r w:rsidRPr="00BE4E0B">
        <w:t xml:space="preserve"> Massively parallel single-cell mitochondrial DNA genotyping and chromatin profiling. </w:t>
      </w:r>
      <w:r w:rsidRPr="00BE4E0B">
        <w:rPr>
          <w:i/>
        </w:rPr>
        <w:t>Nature biotechnology</w:t>
      </w:r>
      <w:r w:rsidRPr="00BE4E0B">
        <w:t>, doi:10.1038/s41587-020-0645-6 (2020).</w:t>
      </w:r>
      <w:bookmarkEnd w:id="23"/>
    </w:p>
    <w:p w:rsidR="002D744A" w:rsidRPr="00BE4E0B" w:rsidRDefault="002D744A" w:rsidP="00BE4E0B">
      <w:pPr>
        <w:pStyle w:val="EndNoteBibliography"/>
        <w:ind w:left="720" w:hanging="720"/>
      </w:pPr>
      <w:bookmarkStart w:id="24" w:name="_ENREF_24"/>
      <w:r w:rsidRPr="00BE4E0B">
        <w:t>55</w:t>
      </w:r>
      <w:r w:rsidRPr="00BE4E0B">
        <w:tab/>
        <w:t>Greenblatt, M. B.</w:t>
      </w:r>
      <w:r w:rsidRPr="00BE4E0B">
        <w:rPr>
          <w:i/>
        </w:rPr>
        <w:t xml:space="preserve"> et al.</w:t>
      </w:r>
      <w:r w:rsidRPr="00BE4E0B">
        <w:t xml:space="preserve"> CHMP5 controls bone turnover rates by dampening NF-kappaB activity in osteoclasts. </w:t>
      </w:r>
      <w:r w:rsidRPr="00BE4E0B">
        <w:rPr>
          <w:i/>
        </w:rPr>
        <w:t>The Journal of experimental medicine</w:t>
      </w:r>
      <w:r w:rsidRPr="00BE4E0B">
        <w:t xml:space="preserve"> </w:t>
      </w:r>
      <w:r w:rsidRPr="00BE4E0B">
        <w:rPr>
          <w:b/>
        </w:rPr>
        <w:t>212</w:t>
      </w:r>
      <w:r w:rsidRPr="00BE4E0B">
        <w:t>, 1283-1301, doi:10.1084/jem.20150407 (2015).</w:t>
      </w:r>
      <w:bookmarkEnd w:id="24"/>
    </w:p>
    <w:p w:rsidR="002D744A" w:rsidRDefault="002D744A" w:rsidP="004F5E57">
      <w:pPr>
        <w:spacing w:line="480" w:lineRule="auto"/>
      </w:pPr>
    </w:p>
    <w:p w:rsidR="0062050B" w:rsidRDefault="002D744A"/>
    <w:sectPr w:rsidR="0062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D744A"/>
    <w:rsid w:val="002D744A"/>
    <w:rsid w:val="002E1630"/>
    <w:rsid w:val="004D7756"/>
    <w:rsid w:val="00A2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13A04-390D-4186-8A5B-9926AE0C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4A"/>
    <w:pPr>
      <w:spacing w:after="0" w:line="240" w:lineRule="auto"/>
    </w:pPr>
    <w:rPr>
      <w:rFonts w:ascii="Trebuchet MS" w:eastAsia="Trebuchet MS" w:hAnsi="Trebuchet MS" w:cs="Times New Roman"/>
      <w:sz w:val="24"/>
      <w:szCs w:val="20"/>
    </w:rPr>
  </w:style>
  <w:style w:type="character" w:default="1" w:styleId="DefaultParagraphFont">
    <w:name w:val="Default Paragraph Font"/>
    <w:uiPriority w:val="1"/>
    <w:semiHidden/>
    <w:unhideWhenUsed/>
    <w:rsid w:val="002D74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744A"/>
  </w:style>
  <w:style w:type="character" w:styleId="Hyperlink">
    <w:name w:val="Hyperlink"/>
    <w:basedOn w:val="DefaultParagraphFont"/>
    <w:uiPriority w:val="99"/>
    <w:unhideWhenUsed/>
    <w:rsid w:val="002D744A"/>
    <w:rPr>
      <w:color w:val="0000FF"/>
      <w:u w:val="single"/>
    </w:rPr>
  </w:style>
  <w:style w:type="character" w:styleId="CommentReference">
    <w:name w:val="annotation reference"/>
    <w:basedOn w:val="DefaultParagraphFont"/>
    <w:uiPriority w:val="99"/>
    <w:semiHidden/>
    <w:unhideWhenUsed/>
    <w:rsid w:val="002D744A"/>
    <w:rPr>
      <w:sz w:val="16"/>
      <w:szCs w:val="16"/>
    </w:rPr>
  </w:style>
  <w:style w:type="paragraph" w:styleId="CommentText">
    <w:name w:val="annotation text"/>
    <w:basedOn w:val="Normal"/>
    <w:link w:val="CommentTextChar"/>
    <w:uiPriority w:val="99"/>
    <w:semiHidden/>
    <w:unhideWhenUsed/>
    <w:rsid w:val="002D744A"/>
    <w:rPr>
      <w:sz w:val="20"/>
    </w:rPr>
  </w:style>
  <w:style w:type="character" w:customStyle="1" w:styleId="CommentTextChar">
    <w:name w:val="Comment Text Char"/>
    <w:basedOn w:val="DefaultParagraphFont"/>
    <w:link w:val="CommentText"/>
    <w:uiPriority w:val="99"/>
    <w:semiHidden/>
    <w:rsid w:val="002D744A"/>
    <w:rPr>
      <w:rFonts w:ascii="Trebuchet MS" w:eastAsia="Trebuchet MS"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2D744A"/>
    <w:rPr>
      <w:b/>
      <w:bCs/>
    </w:rPr>
  </w:style>
  <w:style w:type="character" w:customStyle="1" w:styleId="CommentSubjectChar">
    <w:name w:val="Comment Subject Char"/>
    <w:basedOn w:val="CommentTextChar"/>
    <w:link w:val="CommentSubject"/>
    <w:uiPriority w:val="99"/>
    <w:semiHidden/>
    <w:rsid w:val="002D744A"/>
    <w:rPr>
      <w:rFonts w:ascii="Trebuchet MS" w:eastAsia="Trebuchet MS" w:hAnsi="Trebuchet MS" w:cs="Times New Roman"/>
      <w:b/>
      <w:bCs/>
      <w:sz w:val="20"/>
      <w:szCs w:val="20"/>
    </w:rPr>
  </w:style>
  <w:style w:type="paragraph" w:styleId="BalloonText">
    <w:name w:val="Balloon Text"/>
    <w:basedOn w:val="Normal"/>
    <w:link w:val="BalloonTextChar"/>
    <w:uiPriority w:val="99"/>
    <w:semiHidden/>
    <w:unhideWhenUsed/>
    <w:rsid w:val="002D7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44A"/>
    <w:rPr>
      <w:rFonts w:ascii="Segoe UI" w:eastAsia="Trebuchet MS" w:hAnsi="Segoe UI" w:cs="Segoe UI"/>
      <w:sz w:val="18"/>
      <w:szCs w:val="18"/>
    </w:rPr>
  </w:style>
  <w:style w:type="paragraph" w:styleId="Revision">
    <w:name w:val="Revision"/>
    <w:hidden/>
    <w:uiPriority w:val="99"/>
    <w:semiHidden/>
    <w:rsid w:val="002D744A"/>
    <w:pPr>
      <w:spacing w:after="0" w:line="240" w:lineRule="auto"/>
    </w:pPr>
    <w:rPr>
      <w:rFonts w:ascii="Trebuchet MS" w:eastAsia="Trebuchet MS" w:hAnsi="Trebuchet MS" w:cs="Times New Roman"/>
      <w:sz w:val="24"/>
      <w:szCs w:val="20"/>
    </w:rPr>
  </w:style>
  <w:style w:type="paragraph" w:customStyle="1" w:styleId="EndNoteBibliographyTitle">
    <w:name w:val="EndNote Bibliography Title"/>
    <w:basedOn w:val="Normal"/>
    <w:link w:val="EndNoteBibliographyTitleChar"/>
    <w:rsid w:val="002D744A"/>
    <w:pPr>
      <w:jc w:val="center"/>
    </w:pPr>
    <w:rPr>
      <w:noProof/>
    </w:rPr>
  </w:style>
  <w:style w:type="character" w:customStyle="1" w:styleId="EndNoteBibliographyTitleChar">
    <w:name w:val="EndNote Bibliography Title Char"/>
    <w:basedOn w:val="DefaultParagraphFont"/>
    <w:link w:val="EndNoteBibliographyTitle"/>
    <w:rsid w:val="002D744A"/>
    <w:rPr>
      <w:rFonts w:ascii="Trebuchet MS" w:eastAsia="Trebuchet MS" w:hAnsi="Trebuchet MS" w:cs="Times New Roman"/>
      <w:noProof/>
      <w:sz w:val="24"/>
      <w:szCs w:val="20"/>
    </w:rPr>
  </w:style>
  <w:style w:type="paragraph" w:customStyle="1" w:styleId="EndNoteBibliography">
    <w:name w:val="EndNote Bibliography"/>
    <w:basedOn w:val="Normal"/>
    <w:link w:val="EndNoteBibliographyChar"/>
    <w:rsid w:val="002D744A"/>
    <w:rPr>
      <w:noProof/>
    </w:rPr>
  </w:style>
  <w:style w:type="character" w:customStyle="1" w:styleId="EndNoteBibliographyChar">
    <w:name w:val="EndNote Bibliography Char"/>
    <w:basedOn w:val="DefaultParagraphFont"/>
    <w:link w:val="EndNoteBibliography"/>
    <w:rsid w:val="002D744A"/>
    <w:rPr>
      <w:rFonts w:ascii="Trebuchet MS" w:eastAsia="Trebuchet MS" w:hAnsi="Trebuchet MS" w:cs="Times New Roman"/>
      <w:noProof/>
      <w:sz w:val="24"/>
      <w:szCs w:val="20"/>
    </w:rPr>
  </w:style>
  <w:style w:type="character" w:customStyle="1" w:styleId="UnresolvedMention">
    <w:name w:val="Unresolved Mention"/>
    <w:basedOn w:val="DefaultParagraphFont"/>
    <w:uiPriority w:val="99"/>
    <w:semiHidden/>
    <w:unhideWhenUsed/>
    <w:rsid w:val="002D744A"/>
    <w:rPr>
      <w:color w:val="605E5C"/>
      <w:shd w:val="clear" w:color="auto" w:fill="E1DFDD"/>
    </w:rPr>
  </w:style>
  <w:style w:type="character" w:customStyle="1" w:styleId="docsum-authors">
    <w:name w:val="docsum-authors"/>
    <w:basedOn w:val="DefaultParagraphFont"/>
    <w:rsid w:val="002D744A"/>
  </w:style>
  <w:style w:type="character" w:customStyle="1" w:styleId="docsum-journal-citation">
    <w:name w:val="docsum-journal-citation"/>
    <w:basedOn w:val="DefaultParagraphFont"/>
    <w:rsid w:val="002D744A"/>
  </w:style>
  <w:style w:type="character" w:customStyle="1" w:styleId="citation-part">
    <w:name w:val="citation-part"/>
    <w:basedOn w:val="DefaultParagraphFont"/>
    <w:rsid w:val="002D744A"/>
  </w:style>
  <w:style w:type="character" w:customStyle="1" w:styleId="docsum-pmid">
    <w:name w:val="docsum-pmid"/>
    <w:basedOn w:val="DefaultParagraphFont"/>
    <w:rsid w:val="002D744A"/>
  </w:style>
  <w:style w:type="paragraph" w:styleId="Title">
    <w:name w:val="Title"/>
    <w:next w:val="Body2"/>
    <w:link w:val="TitleChar"/>
    <w:rsid w:val="002D744A"/>
    <w:pPr>
      <w:keepNext/>
      <w:pBdr>
        <w:top w:val="nil"/>
        <w:left w:val="nil"/>
        <w:bottom w:val="nil"/>
        <w:right w:val="nil"/>
        <w:between w:val="nil"/>
        <w:bar w:val="nil"/>
      </w:pBdr>
      <w:spacing w:after="0" w:line="480" w:lineRule="auto"/>
      <w:jc w:val="center"/>
      <w:outlineLvl w:val="0"/>
    </w:pPr>
    <w:rPr>
      <w:rFonts w:ascii="Helvetica Neue" w:eastAsia="Arial Unicode MS" w:hAnsi="Helvetica Neue" w:cs="Arial Unicode MS"/>
      <w:color w:val="000000"/>
      <w:sz w:val="24"/>
      <w:szCs w:val="24"/>
      <w:bdr w:val="nil"/>
      <w:lang w:eastAsia="zh-CN"/>
      <w14:textOutline w14:w="0" w14:cap="flat" w14:cmpd="sng" w14:algn="ctr">
        <w14:noFill/>
        <w14:prstDash w14:val="solid"/>
        <w14:bevel/>
      </w14:textOutline>
    </w:rPr>
  </w:style>
  <w:style w:type="character" w:customStyle="1" w:styleId="TitleChar">
    <w:name w:val="Title Char"/>
    <w:basedOn w:val="DefaultParagraphFont"/>
    <w:link w:val="Title"/>
    <w:rsid w:val="002D744A"/>
    <w:rPr>
      <w:rFonts w:ascii="Helvetica Neue" w:eastAsia="Arial Unicode MS" w:hAnsi="Helvetica Neue" w:cs="Arial Unicode MS"/>
      <w:color w:val="000000"/>
      <w:sz w:val="24"/>
      <w:szCs w:val="24"/>
      <w:bdr w:val="nil"/>
      <w:lang w:eastAsia="zh-CN"/>
      <w14:textOutline w14:w="0" w14:cap="flat" w14:cmpd="sng" w14:algn="ctr">
        <w14:noFill/>
        <w14:prstDash w14:val="solid"/>
        <w14:bevel/>
      </w14:textOutline>
    </w:rPr>
  </w:style>
  <w:style w:type="paragraph" w:customStyle="1" w:styleId="Body2">
    <w:name w:val="Body 2"/>
    <w:rsid w:val="002D744A"/>
    <w:pPr>
      <w:pBdr>
        <w:top w:val="nil"/>
        <w:left w:val="nil"/>
        <w:bottom w:val="nil"/>
        <w:right w:val="nil"/>
        <w:between w:val="nil"/>
        <w:bar w:val="nil"/>
      </w:pBdr>
      <w:spacing w:after="0" w:line="480" w:lineRule="auto"/>
      <w:ind w:firstLine="720"/>
    </w:pPr>
    <w:rPr>
      <w:rFonts w:ascii="Helvetica Neue" w:eastAsia="Arial Unicode MS" w:hAnsi="Helvetica Neue" w:cs="Arial Unicode MS"/>
      <w:color w:val="000000"/>
      <w:sz w:val="24"/>
      <w:szCs w:val="24"/>
      <w:bdr w:val="nil"/>
      <w:lang w:eastAsia="zh-CN"/>
      <w14:textOutline w14:w="0" w14:cap="flat" w14:cmpd="sng" w14:algn="ctr">
        <w14:noFill/>
        <w14:prstDash w14:val="solid"/>
        <w14:bevel/>
      </w14:textOutline>
    </w:rPr>
  </w:style>
  <w:style w:type="paragraph" w:styleId="NormalWeb">
    <w:name w:val="Normal (Web)"/>
    <w:basedOn w:val="Normal"/>
    <w:uiPriority w:val="99"/>
    <w:semiHidden/>
    <w:unhideWhenUsed/>
    <w:rsid w:val="002D744A"/>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ckefelleruniversity.github.io/favicon.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Shawon Debnath</dc:creator>
  <cp:keywords/>
  <dc:description/>
  <cp:lastModifiedBy>Shawon Debnath</cp:lastModifiedBy>
  <cp:revision>1</cp:revision>
  <dcterms:created xsi:type="dcterms:W3CDTF">2021-02-01T17:34:00Z</dcterms:created>
  <dcterms:modified xsi:type="dcterms:W3CDTF">2021-02-01T17:37:00Z</dcterms:modified>
</cp:coreProperties>
</file>