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BFC0" w14:textId="50EF2175" w:rsidR="00794DBA" w:rsidRPr="003E7138" w:rsidRDefault="00794DBA" w:rsidP="008C6EDC">
      <w:pPr>
        <w:rPr>
          <w:rFonts w:ascii="Times New Roman" w:hAnsi="Times New Roman" w:cs="Times New Roman"/>
        </w:rPr>
      </w:pPr>
    </w:p>
    <w:p w14:paraId="00E37740" w14:textId="063E9E5B" w:rsidR="00794DBA" w:rsidRPr="003E7138" w:rsidRDefault="00794DBA" w:rsidP="008C6EDC">
      <w:pPr>
        <w:rPr>
          <w:rFonts w:ascii="Times New Roman" w:hAnsi="Times New Roman" w:cs="Times New Roman"/>
        </w:rPr>
      </w:pPr>
    </w:p>
    <w:p w14:paraId="2B4DB98A" w14:textId="6DFB124F" w:rsidR="00084654" w:rsidRPr="003E7138" w:rsidRDefault="00D72CEA" w:rsidP="00D72CEA">
      <w:pPr>
        <w:ind w:left="-709"/>
        <w:jc w:val="center"/>
        <w:rPr>
          <w:rFonts w:ascii="Times New Roman" w:hAnsi="Times New Roman" w:cs="Times New Roman"/>
        </w:rPr>
      </w:pPr>
      <w:r w:rsidRPr="003E7138">
        <w:rPr>
          <w:rFonts w:ascii="Times New Roman" w:hAnsi="Times New Roman" w:cs="Times New Roman"/>
        </w:rPr>
        <w:t xml:space="preserve">Supplemental Table </w:t>
      </w:r>
      <w:r w:rsidR="002561F2">
        <w:rPr>
          <w:rFonts w:ascii="Times New Roman" w:hAnsi="Times New Roman" w:cs="Times New Roman"/>
        </w:rPr>
        <w:t>S</w:t>
      </w:r>
      <w:r w:rsidRPr="003E7138">
        <w:rPr>
          <w:rFonts w:ascii="Times New Roman" w:hAnsi="Times New Roman" w:cs="Times New Roman"/>
        </w:rPr>
        <w:t xml:space="preserve">1. </w:t>
      </w:r>
      <w:r w:rsidR="004526B6" w:rsidRPr="003E7138">
        <w:rPr>
          <w:rFonts w:ascii="Times New Roman" w:hAnsi="Times New Roman" w:cs="Times New Roman"/>
        </w:rPr>
        <w:t xml:space="preserve">Risk of bias assessment for included studies using the Methodological Index for Non-Randomized Studies (MINORS) tool </w:t>
      </w:r>
    </w:p>
    <w:tbl>
      <w:tblPr>
        <w:tblStyle w:val="TableGrid"/>
        <w:tblW w:w="2219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1217"/>
        <w:gridCol w:w="1450"/>
        <w:gridCol w:w="1370"/>
        <w:gridCol w:w="1345"/>
        <w:gridCol w:w="1549"/>
        <w:gridCol w:w="1450"/>
        <w:gridCol w:w="1295"/>
        <w:gridCol w:w="1592"/>
        <w:gridCol w:w="1182"/>
        <w:gridCol w:w="1620"/>
        <w:gridCol w:w="1395"/>
        <w:gridCol w:w="1269"/>
        <w:gridCol w:w="1017"/>
        <w:gridCol w:w="1545"/>
      </w:tblGrid>
      <w:tr w:rsidR="008A4D2B" w:rsidRPr="003E7138" w14:paraId="5C126A28" w14:textId="084A7E3D" w:rsidTr="0029438E">
        <w:trPr>
          <w:trHeight w:val="265"/>
        </w:trPr>
        <w:tc>
          <w:tcPr>
            <w:tcW w:w="2897" w:type="dxa"/>
          </w:tcPr>
          <w:p w14:paraId="0FFE34C6" w14:textId="26BC2C92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63B3984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491A4F86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169A7F7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D5D71DE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4E621E6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2BAF3CA3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CB60903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E84A316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6" w:type="dxa"/>
            <w:gridSpan w:val="4"/>
            <w:tcBorders>
              <w:bottom w:val="single" w:sz="12" w:space="0" w:color="auto"/>
            </w:tcBorders>
          </w:tcPr>
          <w:p w14:paraId="12302544" w14:textId="3D3C16C8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Additional criteria for comparative studies</w:t>
            </w:r>
          </w:p>
        </w:tc>
        <w:tc>
          <w:tcPr>
            <w:tcW w:w="1017" w:type="dxa"/>
          </w:tcPr>
          <w:p w14:paraId="5904E157" w14:textId="68ED0701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2CD9A49B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E76" w:rsidRPr="003E7138" w14:paraId="3ED965BA" w14:textId="348C9BDC" w:rsidTr="0029438E">
        <w:trPr>
          <w:trHeight w:val="1311"/>
        </w:trPr>
        <w:tc>
          <w:tcPr>
            <w:tcW w:w="2897" w:type="dxa"/>
            <w:tcBorders>
              <w:bottom w:val="single" w:sz="12" w:space="0" w:color="auto"/>
            </w:tcBorders>
          </w:tcPr>
          <w:p w14:paraId="75EF9DAD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62AE3F91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3E0B3A4D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55B8FCA0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4AF1A375" w14:textId="4FC86434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1217" w:type="dxa"/>
            <w:tcBorders>
              <w:bottom w:val="single" w:sz="12" w:space="0" w:color="auto"/>
            </w:tcBorders>
          </w:tcPr>
          <w:p w14:paraId="54846903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125C2A6A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0A125FD5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3318A46F" w14:textId="3BB42C40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Clearly stated aim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546B8402" w14:textId="1EA0C32D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186C6766" w14:textId="77777777" w:rsidR="004526B6" w:rsidRPr="00B85054" w:rsidRDefault="004526B6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53690380" w14:textId="04D0AC38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Inclusion of consecutive patients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48AF36A8" w14:textId="11C76390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294344EF" w14:textId="77777777" w:rsidR="004526B6" w:rsidRPr="00B85054" w:rsidRDefault="004526B6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7EB822C8" w14:textId="78F42152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Prospective collection of data</w:t>
            </w: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14:paraId="7303EEFC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791B5853" w14:textId="7367DFDC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Endpoints appropriate to aim of study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75BD1F54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29186A28" w14:textId="20B909E3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Unbiased assessment of study endpoint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28AD39B4" w14:textId="48363787" w:rsidR="008A4D2B" w:rsidRPr="00B85054" w:rsidRDefault="008A4D2B" w:rsidP="008A4D2B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Follow-up period appropriate to aim of study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740F3573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188B7893" w14:textId="0FF2E386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Loss to follow up less than 5%</w:t>
            </w:r>
          </w:p>
        </w:tc>
        <w:tc>
          <w:tcPr>
            <w:tcW w:w="1592" w:type="dxa"/>
            <w:tcBorders>
              <w:bottom w:val="single" w:sz="12" w:space="0" w:color="auto"/>
            </w:tcBorders>
          </w:tcPr>
          <w:p w14:paraId="1194AE64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41006BD9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399D4C23" w14:textId="4654DF1E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Prospective calculation of study size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</w:tcPr>
          <w:p w14:paraId="2A89AA2F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41F74668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627E9F0C" w14:textId="7E529A52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Adequate control group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714FF848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7622EE0A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3411BD0B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2EA88260" w14:textId="3512FA1B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Contemporary groups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</w:tcPr>
          <w:p w14:paraId="52E1731B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46535568" w14:textId="77777777" w:rsidR="008A4D2B" w:rsidRPr="00B85054" w:rsidRDefault="008A4D2B" w:rsidP="008A4D2B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119E6FC0" w14:textId="2E09BAE3" w:rsidR="008A4D2B" w:rsidRPr="00B85054" w:rsidRDefault="008A4D2B" w:rsidP="008A4D2B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Baseline equivalence of groups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14:paraId="51D45AE8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3BA4E86A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0631C82F" w14:textId="5AB061CD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Adequate statistical analyses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621DF40F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6C13BACC" w14:textId="77777777" w:rsidR="008A4D2B" w:rsidRPr="00B85054" w:rsidRDefault="008A4D2B" w:rsidP="008A4D2B">
            <w:pPr>
              <w:ind w:right="93"/>
              <w:rPr>
                <w:rFonts w:ascii="Times New Roman" w:hAnsi="Times New Roman" w:cs="Times New Roman"/>
              </w:rPr>
            </w:pPr>
          </w:p>
          <w:p w14:paraId="23FD5C16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28B04C85" w14:textId="4BF22835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1545" w:type="dxa"/>
            <w:tcBorders>
              <w:bottom w:val="single" w:sz="12" w:space="0" w:color="auto"/>
            </w:tcBorders>
          </w:tcPr>
          <w:p w14:paraId="111858E8" w14:textId="77777777" w:rsidR="008A4D2B" w:rsidRPr="00B85054" w:rsidRDefault="008A4D2B" w:rsidP="003E7138">
            <w:pPr>
              <w:ind w:right="93"/>
              <w:rPr>
                <w:rFonts w:ascii="Times New Roman" w:hAnsi="Times New Roman" w:cs="Times New Roman"/>
              </w:rPr>
            </w:pPr>
          </w:p>
          <w:p w14:paraId="1477B388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5D367FCE" w14:textId="77777777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</w:p>
          <w:p w14:paraId="114420B0" w14:textId="77F85258" w:rsidR="008A4D2B" w:rsidRPr="00B85054" w:rsidRDefault="008A4D2B" w:rsidP="00F039B0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 xml:space="preserve">Overall </w:t>
            </w:r>
            <w:r w:rsidR="003E7138" w:rsidRPr="00B85054">
              <w:rPr>
                <w:rFonts w:ascii="Times New Roman" w:hAnsi="Times New Roman" w:cs="Times New Roman"/>
              </w:rPr>
              <w:t xml:space="preserve">risk of </w:t>
            </w:r>
            <w:r w:rsidRPr="00B85054">
              <w:rPr>
                <w:rFonts w:ascii="Times New Roman" w:hAnsi="Times New Roman" w:cs="Times New Roman"/>
              </w:rPr>
              <w:t>bias</w:t>
            </w:r>
          </w:p>
        </w:tc>
      </w:tr>
      <w:tr w:rsidR="007B7E76" w:rsidRPr="003E7138" w14:paraId="1AB65D52" w14:textId="7DA6CAA3" w:rsidTr="0029438E">
        <w:trPr>
          <w:trHeight w:val="282"/>
        </w:trPr>
        <w:tc>
          <w:tcPr>
            <w:tcW w:w="2897" w:type="dxa"/>
            <w:tcBorders>
              <w:top w:val="single" w:sz="12" w:space="0" w:color="auto"/>
            </w:tcBorders>
          </w:tcPr>
          <w:p w14:paraId="35206251" w14:textId="1AC9D503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Culkin et al. (1986)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bottom"/>
          </w:tcPr>
          <w:p w14:paraId="36689DC9" w14:textId="05AA31E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vAlign w:val="bottom"/>
          </w:tcPr>
          <w:p w14:paraId="6679F21F" w14:textId="6D485C7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vAlign w:val="bottom"/>
          </w:tcPr>
          <w:p w14:paraId="6F4A81C0" w14:textId="0C10A91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bottom"/>
          </w:tcPr>
          <w:p w14:paraId="18609192" w14:textId="76327E4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vAlign w:val="bottom"/>
          </w:tcPr>
          <w:p w14:paraId="4BBD5A64" w14:textId="0A23AE8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vAlign w:val="bottom"/>
          </w:tcPr>
          <w:p w14:paraId="3A418BB0" w14:textId="15EC572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bottom"/>
          </w:tcPr>
          <w:p w14:paraId="7F98C536" w14:textId="26D742C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tcBorders>
              <w:top w:val="single" w:sz="12" w:space="0" w:color="auto"/>
            </w:tcBorders>
            <w:vAlign w:val="bottom"/>
          </w:tcPr>
          <w:p w14:paraId="22D2A680" w14:textId="2B2A02E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12" w:space="0" w:color="auto"/>
            </w:tcBorders>
          </w:tcPr>
          <w:p w14:paraId="064A35F9" w14:textId="644D37B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68055125" w14:textId="2DF12EC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2F06E16B" w14:textId="2505C1A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36028BB5" w14:textId="4F57398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bottom"/>
          </w:tcPr>
          <w:p w14:paraId="1F534550" w14:textId="439827D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6/16</w:t>
            </w:r>
          </w:p>
        </w:tc>
        <w:tc>
          <w:tcPr>
            <w:tcW w:w="1545" w:type="dxa"/>
            <w:tcBorders>
              <w:top w:val="single" w:sz="12" w:space="0" w:color="auto"/>
            </w:tcBorders>
          </w:tcPr>
          <w:p w14:paraId="02B8D318" w14:textId="36EB199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High</w:t>
            </w:r>
          </w:p>
        </w:tc>
      </w:tr>
      <w:tr w:rsidR="0029438E" w:rsidRPr="003E7138" w14:paraId="2E91725A" w14:textId="0786E736" w:rsidTr="0029438E">
        <w:trPr>
          <w:trHeight w:val="282"/>
        </w:trPr>
        <w:tc>
          <w:tcPr>
            <w:tcW w:w="2897" w:type="dxa"/>
          </w:tcPr>
          <w:p w14:paraId="6126DFF7" w14:textId="02D012FC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Lazare et al. (1988)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17" w:type="dxa"/>
            <w:vAlign w:val="bottom"/>
          </w:tcPr>
          <w:p w14:paraId="2B6AE405" w14:textId="5F112C3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3EBA4CC3" w14:textId="30D9E54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0C1FB07B" w14:textId="323E214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36C217C8" w14:textId="148F48A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4F1716DE" w14:textId="57E320C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43D519DD" w14:textId="3F6D8AF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614E1D9B" w14:textId="687A398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0CD2B9D9" w14:textId="33FD77D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0B307AF3" w14:textId="015F6A7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5DE969D5" w14:textId="189BA86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5E8DFB00" w14:textId="68E2B1A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07E31B0D" w14:textId="6046F93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2D5A3C7A" w14:textId="19E4DA2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1545" w:type="dxa"/>
          </w:tcPr>
          <w:p w14:paraId="5D60AB87" w14:textId="7F52E683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1051DD3A" w14:textId="60A1519E" w:rsidTr="0029438E">
        <w:trPr>
          <w:trHeight w:val="282"/>
        </w:trPr>
        <w:tc>
          <w:tcPr>
            <w:tcW w:w="2897" w:type="dxa"/>
          </w:tcPr>
          <w:p w14:paraId="1CDCBC1E" w14:textId="37CD8EF1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Spirnak et al. (1988)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17" w:type="dxa"/>
            <w:vAlign w:val="bottom"/>
          </w:tcPr>
          <w:p w14:paraId="5B298112" w14:textId="6092FB0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624975E4" w14:textId="01B5AEF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373C8A50" w14:textId="3206D92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2892FAC7" w14:textId="4BC5A4A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29AB645C" w14:textId="784B8D2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2F35DC83" w14:textId="05744C7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4059652E" w14:textId="59A57B5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408B7C83" w14:textId="3C7AA9B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42348F85" w14:textId="4483D17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7572CAAA" w14:textId="2697A4A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4FD5C46F" w14:textId="5BC738C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56DDA6B9" w14:textId="1DD4630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0D9725FE" w14:textId="70DF694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8/16</w:t>
            </w:r>
          </w:p>
        </w:tc>
        <w:tc>
          <w:tcPr>
            <w:tcW w:w="1545" w:type="dxa"/>
          </w:tcPr>
          <w:p w14:paraId="27C5076C" w14:textId="0BED1FAD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High</w:t>
            </w:r>
          </w:p>
        </w:tc>
      </w:tr>
      <w:tr w:rsidR="0029438E" w:rsidRPr="003E7138" w14:paraId="05BB1D4C" w14:textId="4CBA78B9" w:rsidTr="0029438E">
        <w:trPr>
          <w:trHeight w:val="282"/>
        </w:trPr>
        <w:tc>
          <w:tcPr>
            <w:tcW w:w="2897" w:type="dxa"/>
          </w:tcPr>
          <w:p w14:paraId="2FA0C1A1" w14:textId="69813969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Wahle et al. (1988)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17" w:type="dxa"/>
            <w:vAlign w:val="bottom"/>
          </w:tcPr>
          <w:p w14:paraId="453102DF" w14:textId="029450E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0448067F" w14:textId="0EEFCB8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5A2DF5AD" w14:textId="2060340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3036C8E3" w14:textId="25B867D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40C57A8A" w14:textId="2E74ED5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72FAE44F" w14:textId="56C1DF9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1E15A549" w14:textId="66ABC4E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3F729B4A" w14:textId="66ACAC7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2ABC4172" w14:textId="1007763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13278AE8" w14:textId="22934C9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6F08AD9C" w14:textId="04D9F89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3AF936E1" w14:textId="77E8543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60BD901D" w14:textId="56938CD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28B63DC8" w14:textId="2C7F5538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6F94206E" w14:textId="726CDCB2" w:rsidTr="0029438E">
        <w:trPr>
          <w:trHeight w:val="282"/>
        </w:trPr>
        <w:tc>
          <w:tcPr>
            <w:tcW w:w="2897" w:type="dxa"/>
          </w:tcPr>
          <w:p w14:paraId="765FB1FD" w14:textId="07671FCE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Irwin et al. (1991)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17" w:type="dxa"/>
            <w:vAlign w:val="bottom"/>
          </w:tcPr>
          <w:p w14:paraId="503C3EC1" w14:textId="00A160B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Align w:val="bottom"/>
          </w:tcPr>
          <w:p w14:paraId="32405818" w14:textId="4A07C39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69804C5C" w14:textId="26E653E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79FE55BC" w14:textId="6D2E0CD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2D2C1837" w14:textId="1AAEEC2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FA9C6D5" w14:textId="43A70EA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7F3D8C7A" w14:textId="7AE9FF1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7431FE0" w14:textId="7DED3C0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652AC271" w14:textId="094F9CF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347262CF" w14:textId="07EF0F9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23457F69" w14:textId="3922B1F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3C359B50" w14:textId="26F3BD2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56F4E2A6" w14:textId="6B7E2CF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8/16</w:t>
            </w:r>
          </w:p>
        </w:tc>
        <w:tc>
          <w:tcPr>
            <w:tcW w:w="1545" w:type="dxa"/>
          </w:tcPr>
          <w:p w14:paraId="555B9DF6" w14:textId="3D0BF8BE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High</w:t>
            </w:r>
          </w:p>
        </w:tc>
      </w:tr>
      <w:tr w:rsidR="0029438E" w:rsidRPr="003E7138" w14:paraId="5BFE1888" w14:textId="36C7C59A" w:rsidTr="0029438E">
        <w:trPr>
          <w:trHeight w:val="282"/>
        </w:trPr>
        <w:tc>
          <w:tcPr>
            <w:tcW w:w="2897" w:type="dxa"/>
          </w:tcPr>
          <w:p w14:paraId="20AD0A08" w14:textId="044E32A2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Niedrach et al. (1991)</w:t>
            </w:r>
            <w:r w:rsidR="00A83D58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A83D58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217" w:type="dxa"/>
            <w:vAlign w:val="bottom"/>
          </w:tcPr>
          <w:p w14:paraId="2966A84E" w14:textId="45C5836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Align w:val="bottom"/>
          </w:tcPr>
          <w:p w14:paraId="6253722E" w14:textId="454EE60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3650313E" w14:textId="7EDB6BB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3D7DEBE5" w14:textId="42BF344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22CF77E6" w14:textId="3C454CA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C3785E1" w14:textId="499A79B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4917BB9D" w14:textId="463CFDA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2E855CB0" w14:textId="2CDCFAF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4D419FEE" w14:textId="4E464A6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69A15F0D" w14:textId="79368EB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6EC85DA5" w14:textId="0311326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17BD80AD" w14:textId="6FACBF6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411D9A21" w14:textId="28C273C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8/16</w:t>
            </w:r>
          </w:p>
        </w:tc>
        <w:tc>
          <w:tcPr>
            <w:tcW w:w="1545" w:type="dxa"/>
          </w:tcPr>
          <w:p w14:paraId="28F4799E" w14:textId="0F526FA9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High</w:t>
            </w:r>
          </w:p>
        </w:tc>
      </w:tr>
      <w:tr w:rsidR="0029438E" w:rsidRPr="003E7138" w14:paraId="7B75C0A5" w14:textId="45EA5F9D" w:rsidTr="0029438E">
        <w:trPr>
          <w:trHeight w:val="282"/>
        </w:trPr>
        <w:tc>
          <w:tcPr>
            <w:tcW w:w="2897" w:type="dxa"/>
          </w:tcPr>
          <w:p w14:paraId="3DFFEF46" w14:textId="5334AE58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Deliveliotis et al. (1994)</w:t>
            </w:r>
            <w:r w:rsidR="00A83D58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A83D58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217" w:type="dxa"/>
            <w:vAlign w:val="bottom"/>
          </w:tcPr>
          <w:p w14:paraId="1E8B306A" w14:textId="6B8D222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Align w:val="bottom"/>
          </w:tcPr>
          <w:p w14:paraId="5CCD2022" w14:textId="206505D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44569916" w14:textId="5E9D0B4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493BA793" w14:textId="49C763C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1098904A" w14:textId="014BF58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47E43136" w14:textId="5A1812C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1840C5A7" w14:textId="6894BC4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07EB53C4" w14:textId="2D08A5C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69F92D3D" w14:textId="79A26AD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17496F5B" w14:textId="3D0DE16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7741A2A3" w14:textId="45C7A10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2C094A57" w14:textId="5138001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76C93345" w14:textId="27AE5F1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1545" w:type="dxa"/>
          </w:tcPr>
          <w:p w14:paraId="4B62F33C" w14:textId="75F24FBD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695FA915" w14:textId="2E1A1F89" w:rsidTr="0029438E">
        <w:trPr>
          <w:trHeight w:val="282"/>
        </w:trPr>
        <w:tc>
          <w:tcPr>
            <w:tcW w:w="2897" w:type="dxa"/>
          </w:tcPr>
          <w:p w14:paraId="6F6C805C" w14:textId="48268B0D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Robert et al. (1995)</w:t>
            </w:r>
            <w:r w:rsidR="00A83D58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A83D58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217" w:type="dxa"/>
            <w:vAlign w:val="bottom"/>
          </w:tcPr>
          <w:p w14:paraId="30854488" w14:textId="1EC7B9D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Align w:val="bottom"/>
          </w:tcPr>
          <w:p w14:paraId="03A2D9AC" w14:textId="6F312F7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19853ACF" w14:textId="4CF7CC1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272DC7D4" w14:textId="595C732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2257E570" w14:textId="4ABB7EB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2109AFDD" w14:textId="15F9AFA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0BAC7147" w14:textId="26D4DD8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18268E9" w14:textId="4F437CE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32FFB4B9" w14:textId="66E90D1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16C4DD46" w14:textId="588D7EB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19698586" w14:textId="1679CDA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003416E9" w14:textId="6C68C11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433EA448" w14:textId="6781CB7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8/16</w:t>
            </w:r>
          </w:p>
        </w:tc>
        <w:tc>
          <w:tcPr>
            <w:tcW w:w="1545" w:type="dxa"/>
          </w:tcPr>
          <w:p w14:paraId="3B38A356" w14:textId="689269AE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High</w:t>
            </w:r>
          </w:p>
        </w:tc>
      </w:tr>
      <w:tr w:rsidR="0029438E" w:rsidRPr="003E7138" w14:paraId="02E76B14" w14:textId="06DEE88C" w:rsidTr="0029438E">
        <w:trPr>
          <w:trHeight w:val="282"/>
        </w:trPr>
        <w:tc>
          <w:tcPr>
            <w:tcW w:w="2897" w:type="dxa"/>
          </w:tcPr>
          <w:p w14:paraId="15E66C91" w14:textId="2D5D4579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Donnellan et al. (1999)</w:t>
            </w:r>
            <w:r w:rsidR="00701729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1217" w:type="dxa"/>
            <w:vAlign w:val="bottom"/>
          </w:tcPr>
          <w:p w14:paraId="43DFA1AF" w14:textId="19865C0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754A9A73" w14:textId="5286550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4A1432DA" w14:textId="06790CD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03EF9F74" w14:textId="6CEE746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1AC4D8D8" w14:textId="12F3E37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CBF96B0" w14:textId="316A1C7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2D04849A" w14:textId="4ED362C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215FD74C" w14:textId="1E80C90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74D33FCB" w14:textId="15A7657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67434FFF" w14:textId="474413B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1C60D037" w14:textId="59D297E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49209B02" w14:textId="09C4221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5C40E32E" w14:textId="7968831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308BEF38" w14:textId="6BE9E99D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0B02450C" w14:textId="0364FF34" w:rsidTr="0029438E">
        <w:trPr>
          <w:trHeight w:val="282"/>
        </w:trPr>
        <w:tc>
          <w:tcPr>
            <w:tcW w:w="2897" w:type="dxa"/>
          </w:tcPr>
          <w:p w14:paraId="03039F75" w14:textId="321FD9D7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Chen et al. (2002)</w:t>
            </w:r>
            <w:r w:rsidR="00E24E5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E24E5F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1217" w:type="dxa"/>
            <w:vAlign w:val="bottom"/>
          </w:tcPr>
          <w:p w14:paraId="3D090008" w14:textId="5822F22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1D530A0C" w14:textId="4FB0F7A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15B523B6" w14:textId="53194C3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6127BD2E" w14:textId="0C8E64B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4C91732A" w14:textId="4DBAFF9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2FBE9DA" w14:textId="19ED5E9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154710A3" w14:textId="42537D6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6255F8C9" w14:textId="17FFE15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17361103" w14:textId="51EBB48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10375957" w14:textId="19B450E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366B0964" w14:textId="7F19F01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4354104D" w14:textId="445C8FB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125BDBC9" w14:textId="39797C1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549F28C9" w14:textId="07B411DE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5FEDBFD8" w14:textId="78EC7804" w:rsidTr="0029438E">
        <w:trPr>
          <w:trHeight w:val="282"/>
        </w:trPr>
        <w:tc>
          <w:tcPr>
            <w:tcW w:w="2897" w:type="dxa"/>
          </w:tcPr>
          <w:p w14:paraId="711FA67D" w14:textId="5F2C19A1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Rubenstein et al. (2004)</w:t>
            </w:r>
            <w:r w:rsidR="006E3F3B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17" w:type="dxa"/>
            <w:vAlign w:val="bottom"/>
          </w:tcPr>
          <w:p w14:paraId="6642EE09" w14:textId="6E3E646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30B2CD60" w14:textId="6A9F8B1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567DAA40" w14:textId="05A7643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2DF932F1" w14:textId="01BD808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4C240B49" w14:textId="5DF8AB5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1DD1D127" w14:textId="27D2CCF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155192A6" w14:textId="5D0E7A8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57396BC" w14:textId="0F7F292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6E6A9F7B" w14:textId="5A7AAC3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0B753530" w14:textId="358FB0F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2A861D86" w14:textId="211BF87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76276229" w14:textId="2E0244A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77C452FB" w14:textId="049A78D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22C518DB" w14:textId="221E1F6F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116346A2" w14:textId="7E575682" w:rsidTr="0029438E">
        <w:trPr>
          <w:trHeight w:val="282"/>
        </w:trPr>
        <w:tc>
          <w:tcPr>
            <w:tcW w:w="2897" w:type="dxa"/>
          </w:tcPr>
          <w:p w14:paraId="3EE5B289" w14:textId="220CEE27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Lawrentschuk et al. (2005)</w:t>
            </w:r>
            <w:r w:rsidR="00E90A78"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1217" w:type="dxa"/>
            <w:vAlign w:val="bottom"/>
          </w:tcPr>
          <w:p w14:paraId="0CFF0F49" w14:textId="49CA586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2FFA0B02" w14:textId="72AEA6E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26851B01" w14:textId="3147032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bottom"/>
          </w:tcPr>
          <w:p w14:paraId="5B69AF95" w14:textId="0C50D16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0081C624" w14:textId="137E14E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D9B12D8" w14:textId="66F52D3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112EB20D" w14:textId="66D3CF5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477169F0" w14:textId="66C670A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64F9E9C6" w14:textId="2F2E754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628A4152" w14:textId="6483C1E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6CF8D24F" w14:textId="4917FF4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20A913A4" w14:textId="280FDCE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28D12366" w14:textId="351B8F7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11/16</w:t>
            </w:r>
          </w:p>
        </w:tc>
        <w:tc>
          <w:tcPr>
            <w:tcW w:w="1545" w:type="dxa"/>
          </w:tcPr>
          <w:p w14:paraId="779EA7F8" w14:textId="78A8981F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1ADB14DF" w14:textId="1C9EC0EB" w:rsidTr="0029438E">
        <w:trPr>
          <w:trHeight w:val="282"/>
        </w:trPr>
        <w:tc>
          <w:tcPr>
            <w:tcW w:w="2897" w:type="dxa"/>
          </w:tcPr>
          <w:p w14:paraId="28997657" w14:textId="426CEF8B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Symons et al. (2006)</w:t>
            </w:r>
            <w:r w:rsidR="00CC0F56"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  <w:tc>
          <w:tcPr>
            <w:tcW w:w="1217" w:type="dxa"/>
            <w:vAlign w:val="bottom"/>
          </w:tcPr>
          <w:p w14:paraId="225DB801" w14:textId="65DCC96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0068D463" w14:textId="62265AB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50A87B28" w14:textId="7473EFF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6A899947" w14:textId="1EC9680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3BCA28A9" w14:textId="2FA91FF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5586BC80" w14:textId="063C733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2CFA63ED" w14:textId="581CE41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bottom"/>
          </w:tcPr>
          <w:p w14:paraId="1CD84461" w14:textId="676626E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2FC40971" w14:textId="24560BD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0EAB037A" w14:textId="2DB379A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51B1277A" w14:textId="38A8AE3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14444A17" w14:textId="039B8DC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2F03B472" w14:textId="7D5B0E7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1545" w:type="dxa"/>
          </w:tcPr>
          <w:p w14:paraId="115BB989" w14:textId="76E0E34E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1F0CA28B" w14:textId="06E97F29" w:rsidTr="0029438E">
        <w:trPr>
          <w:trHeight w:val="282"/>
        </w:trPr>
        <w:tc>
          <w:tcPr>
            <w:tcW w:w="2897" w:type="dxa"/>
          </w:tcPr>
          <w:p w14:paraId="61BC718C" w14:textId="6AA3E55D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Knox et al. (2012)</w:t>
            </w:r>
            <w:r w:rsidR="00CC0F56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  <w:tc>
          <w:tcPr>
            <w:tcW w:w="1217" w:type="dxa"/>
            <w:vAlign w:val="bottom"/>
          </w:tcPr>
          <w:p w14:paraId="155CED17" w14:textId="54EF7E1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29004E0B" w14:textId="02C593E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0BBEC8CD" w14:textId="70C799F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312A1AEB" w14:textId="346AC0D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375776EC" w14:textId="7E760CA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317A1580" w14:textId="11CFE36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33979A34" w14:textId="6F5452D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5A039A66" w14:textId="10F9F8B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57472F44" w14:textId="141047C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60ED3957" w14:textId="594F3D0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07BD9F31" w14:textId="3A305E0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1090D373" w14:textId="0199B8D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56B00822" w14:textId="29469CF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1545" w:type="dxa"/>
          </w:tcPr>
          <w:p w14:paraId="46BFF8D3" w14:textId="2C7D25E4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78490830" w14:textId="4DB98195" w:rsidTr="0029438E">
        <w:trPr>
          <w:trHeight w:val="282"/>
        </w:trPr>
        <w:tc>
          <w:tcPr>
            <w:tcW w:w="2897" w:type="dxa"/>
          </w:tcPr>
          <w:p w14:paraId="42C47813" w14:textId="02D6658F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Nabbout et al. (2012)</w:t>
            </w:r>
            <w:r w:rsidR="00CC0F56">
              <w:rPr>
                <w:rFonts w:ascii="Times New Roman" w:hAnsi="Times New Roman" w:cs="Times New Roman"/>
                <w:vertAlign w:val="superscript"/>
              </w:rPr>
              <w:t>24</w:t>
            </w:r>
          </w:p>
        </w:tc>
        <w:tc>
          <w:tcPr>
            <w:tcW w:w="1217" w:type="dxa"/>
            <w:vAlign w:val="bottom"/>
          </w:tcPr>
          <w:p w14:paraId="063F58FB" w14:textId="60C64CF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47455420" w14:textId="3284193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49B91947" w14:textId="10C9341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5D0BA7D6" w14:textId="11E13F8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23329DED" w14:textId="094E4B8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67E15720" w14:textId="1BB5143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4AD85226" w14:textId="0CD5AAC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67D44861" w14:textId="7C0610A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55E9A381" w14:textId="4F9DE0D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7F3265C6" w14:textId="4FE63B2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4B775BEF" w14:textId="6C93270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3D0EB52B" w14:textId="0154215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178F67E4" w14:textId="15013A6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1545" w:type="dxa"/>
          </w:tcPr>
          <w:p w14:paraId="60ACFD2E" w14:textId="58236DB9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38A3B542" w14:textId="6779B58F" w:rsidTr="0029438E">
        <w:trPr>
          <w:trHeight w:val="282"/>
        </w:trPr>
        <w:tc>
          <w:tcPr>
            <w:tcW w:w="2897" w:type="dxa"/>
          </w:tcPr>
          <w:p w14:paraId="24CC03EA" w14:textId="0B1108C4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Alsinnawi et al. (2013)</w:t>
            </w:r>
            <w:r w:rsidR="00CC0F56">
              <w:rPr>
                <w:rFonts w:ascii="Times New Roman" w:hAnsi="Times New Roman" w:cs="Times New Roman"/>
                <w:vertAlign w:val="superscript"/>
              </w:rPr>
              <w:t>25</w:t>
            </w:r>
          </w:p>
        </w:tc>
        <w:tc>
          <w:tcPr>
            <w:tcW w:w="1217" w:type="dxa"/>
            <w:vAlign w:val="bottom"/>
          </w:tcPr>
          <w:p w14:paraId="41BEDFD4" w14:textId="0FB9A78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529DAE38" w14:textId="605C4C7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06316AE5" w14:textId="4FEF59E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30DE90C9" w14:textId="2C5A0FB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65652E55" w14:textId="161912C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75AF5F5F" w14:textId="5AF14FF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63EAC050" w14:textId="7695154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3FE0A031" w14:textId="505F777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276E5D8E" w14:textId="76C6E87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5007DDB0" w14:textId="4E78CED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58D07F41" w14:textId="644D092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51AEC40B" w14:textId="1390B4C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2970B318" w14:textId="6B2A468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433725B6" w14:textId="62354080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4C14B6A8" w14:textId="35AE8D23" w:rsidTr="0029438E">
        <w:trPr>
          <w:trHeight w:val="282"/>
        </w:trPr>
        <w:tc>
          <w:tcPr>
            <w:tcW w:w="2897" w:type="dxa"/>
          </w:tcPr>
          <w:p w14:paraId="7B6D87F4" w14:textId="39791094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Wolfe et al. (2013)</w:t>
            </w:r>
            <w:r w:rsidR="00C52104"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1217" w:type="dxa"/>
            <w:vAlign w:val="bottom"/>
          </w:tcPr>
          <w:p w14:paraId="340599D2" w14:textId="79766B7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55EAE2A2" w14:textId="4F04A0C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2F05366C" w14:textId="7F9893C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76059157" w14:textId="1B6A674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4EA5BB14" w14:textId="5C08DFF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4706CD80" w14:textId="5B83EF8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6B067C2B" w14:textId="6F88D2C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2D66133" w14:textId="6F09FF3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255BCACE" w14:textId="47D06FE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4D7FFC41" w14:textId="0BA3EF5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41FD2507" w14:textId="7A647C9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27824819" w14:textId="3174A41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287AD95A" w14:textId="4FDF887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04693F46" w14:textId="2FF856BA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364F1DD3" w14:textId="54AD25D0" w:rsidTr="0029438E">
        <w:trPr>
          <w:trHeight w:val="282"/>
        </w:trPr>
        <w:tc>
          <w:tcPr>
            <w:tcW w:w="2897" w:type="dxa"/>
          </w:tcPr>
          <w:p w14:paraId="51B02120" w14:textId="4065E6BC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Clifton et al. (2014)</w:t>
            </w:r>
            <w:r w:rsidR="00C52104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1217" w:type="dxa"/>
            <w:vAlign w:val="bottom"/>
          </w:tcPr>
          <w:p w14:paraId="6CF39726" w14:textId="6D91D22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57FA746E" w14:textId="0E37F9E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3E5181E5" w14:textId="147B2E1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57F0F12D" w14:textId="54A42F6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51613406" w14:textId="39BA5BD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19159A81" w14:textId="3D629C3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6CD515E9" w14:textId="0B0F40D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45B67DAF" w14:textId="6337830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05008E1A" w14:textId="2261A89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015821AA" w14:textId="2B2293C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2D101C4C" w14:textId="7C0BECB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5E1A6986" w14:textId="62C753A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3B3A59CF" w14:textId="4D835A0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11/16</w:t>
            </w:r>
          </w:p>
        </w:tc>
        <w:tc>
          <w:tcPr>
            <w:tcW w:w="1545" w:type="dxa"/>
          </w:tcPr>
          <w:p w14:paraId="11907E0C" w14:textId="6523EA72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699959EF" w14:textId="6F4051E5" w:rsidTr="0029438E">
        <w:trPr>
          <w:trHeight w:val="282"/>
        </w:trPr>
        <w:tc>
          <w:tcPr>
            <w:tcW w:w="2897" w:type="dxa"/>
          </w:tcPr>
          <w:p w14:paraId="1437E53F" w14:textId="7F8BB365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Tepeler et al. (2015)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1217" w:type="dxa"/>
            <w:vAlign w:val="bottom"/>
          </w:tcPr>
          <w:p w14:paraId="3F626134" w14:textId="63AA4DE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3C37CE06" w14:textId="177A7C4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43E7969E" w14:textId="50FE1A2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268A0E75" w14:textId="3F3D9DF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195956ED" w14:textId="39E1B9C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13689353" w14:textId="23A04E0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2DE886BC" w14:textId="57DF04E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4C859AE2" w14:textId="21CB733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3C93BFF8" w14:textId="178D812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0B386E34" w14:textId="688C470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0EE883F4" w14:textId="7085161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091AF0ED" w14:textId="13E1926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76E848F6" w14:textId="4322AB9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1192BF99" w14:textId="2DE5FF31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2EB8B7D4" w14:textId="45CCF85E" w:rsidTr="0029438E">
        <w:trPr>
          <w:trHeight w:val="282"/>
        </w:trPr>
        <w:tc>
          <w:tcPr>
            <w:tcW w:w="2897" w:type="dxa"/>
          </w:tcPr>
          <w:p w14:paraId="3B1C1B9D" w14:textId="26880699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Sofimajidpour et al. (2016)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17" w:type="dxa"/>
            <w:vAlign w:val="bottom"/>
          </w:tcPr>
          <w:p w14:paraId="405C1E31" w14:textId="150F333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28FF1492" w14:textId="032D581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5CC4E58D" w14:textId="7D9A502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08A73B20" w14:textId="2401355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1293F97E" w14:textId="5D69423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51D71975" w14:textId="2A1E4DD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43F890AB" w14:textId="679CEF5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31D2D0EE" w14:textId="0A97E72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7FA60802" w14:textId="2A9F5B0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1F8E34DB" w14:textId="688ED76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2D8E806A" w14:textId="3CADB36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4EE12797" w14:textId="4FB9B83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70A8710C" w14:textId="241DBE4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6361194B" w14:textId="6B7BC43A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4C915B16" w14:textId="1F1448B6" w:rsidTr="0029438E">
        <w:trPr>
          <w:trHeight w:val="282"/>
        </w:trPr>
        <w:tc>
          <w:tcPr>
            <w:tcW w:w="2897" w:type="dxa"/>
          </w:tcPr>
          <w:p w14:paraId="7F711009" w14:textId="270483DD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Chaudhry et al. (2017)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32</w:t>
            </w:r>
          </w:p>
        </w:tc>
        <w:tc>
          <w:tcPr>
            <w:tcW w:w="1217" w:type="dxa"/>
            <w:vAlign w:val="bottom"/>
          </w:tcPr>
          <w:p w14:paraId="2F81292C" w14:textId="008C971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0915593A" w14:textId="2C8E37B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130CAA30" w14:textId="66FC047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67E9BC0A" w14:textId="6D44ACF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0CDFCC37" w14:textId="7EACBD2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0AA01C6" w14:textId="43E13BD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1512A75B" w14:textId="32C1634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07AAF7CC" w14:textId="400A48C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44F112C1" w14:textId="3E74E4E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6F695CCD" w14:textId="4AEA52C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381A0F2C" w14:textId="6EC7FC5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5AC4D7A2" w14:textId="22DD883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3F222A60" w14:textId="2418D43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68362842" w14:textId="0623E594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7466A9F1" w14:textId="00B36A63" w:rsidTr="0029438E">
        <w:trPr>
          <w:trHeight w:val="282"/>
        </w:trPr>
        <w:tc>
          <w:tcPr>
            <w:tcW w:w="2897" w:type="dxa"/>
          </w:tcPr>
          <w:p w14:paraId="7F6030C8" w14:textId="25093E22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Morhardt et al. (2018)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33</w:t>
            </w:r>
          </w:p>
        </w:tc>
        <w:tc>
          <w:tcPr>
            <w:tcW w:w="1217" w:type="dxa"/>
            <w:vAlign w:val="bottom"/>
          </w:tcPr>
          <w:p w14:paraId="283C6809" w14:textId="6597A82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306FF304" w14:textId="061BC00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51CAC0CF" w14:textId="71A2CC2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bottom"/>
          </w:tcPr>
          <w:p w14:paraId="6A53B5AA" w14:textId="0D7E8E1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286D2D40" w14:textId="4B1E02D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7F6DB8B4" w14:textId="5960B17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2F53C408" w14:textId="6D84687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3B943D73" w14:textId="0BA84EF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410636C0" w14:textId="257F44D2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266F32A7" w14:textId="1A7747C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12F6EE69" w14:textId="0928567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2624FF66" w14:textId="27BFD5E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1E79B349" w14:textId="67927E4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11/16</w:t>
            </w:r>
          </w:p>
        </w:tc>
        <w:tc>
          <w:tcPr>
            <w:tcW w:w="1545" w:type="dxa"/>
          </w:tcPr>
          <w:p w14:paraId="7E04F57C" w14:textId="2A2AFFA9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6C5946FD" w14:textId="1F4A859E" w:rsidTr="0029438E">
        <w:trPr>
          <w:trHeight w:val="282"/>
        </w:trPr>
        <w:tc>
          <w:tcPr>
            <w:tcW w:w="2897" w:type="dxa"/>
          </w:tcPr>
          <w:p w14:paraId="2192841B" w14:textId="262F3CA7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Prattley et al. (2019)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34</w:t>
            </w:r>
          </w:p>
        </w:tc>
        <w:tc>
          <w:tcPr>
            <w:tcW w:w="1217" w:type="dxa"/>
            <w:vAlign w:val="bottom"/>
          </w:tcPr>
          <w:p w14:paraId="0CE2B589" w14:textId="52EAE46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705B054F" w14:textId="1849088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6EE79EE8" w14:textId="44D8027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46C82A2F" w14:textId="2DE3ABF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08072951" w14:textId="124995B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15C8AC8B" w14:textId="2C01B65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4E90191A" w14:textId="58BE1E0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091FD4AA" w14:textId="109298E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</w:tcPr>
          <w:p w14:paraId="252E258C" w14:textId="1E7FF54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</w:tcPr>
          <w:p w14:paraId="766330A4" w14:textId="6D099E2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5" w:type="dxa"/>
          </w:tcPr>
          <w:p w14:paraId="564DFA0A" w14:textId="6B8B054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267" w:type="dxa"/>
          </w:tcPr>
          <w:p w14:paraId="087E3238" w14:textId="057E385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17" w:type="dxa"/>
            <w:vAlign w:val="bottom"/>
          </w:tcPr>
          <w:p w14:paraId="4BE30573" w14:textId="7A032F0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545" w:type="dxa"/>
          </w:tcPr>
          <w:p w14:paraId="08F4CF40" w14:textId="4E9EC644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7B7E76" w:rsidRPr="003E7138" w14:paraId="77417F43" w14:textId="32BF7D5A" w:rsidTr="0029438E">
        <w:trPr>
          <w:trHeight w:val="282"/>
        </w:trPr>
        <w:tc>
          <w:tcPr>
            <w:tcW w:w="2897" w:type="dxa"/>
          </w:tcPr>
          <w:p w14:paraId="6091B7EE" w14:textId="20768C96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Culkin et al. (1990)</w:t>
            </w:r>
            <w:r w:rsidR="00B61D7F" w:rsidRPr="002F7239">
              <w:rPr>
                <w:rFonts w:ascii="Times New Roman" w:hAnsi="Times New Roman" w:cs="Times New Roman"/>
                <w:vertAlign w:val="superscript"/>
              </w:rPr>
              <w:t>1</w:t>
            </w:r>
            <w:r w:rsidR="00B61D7F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17" w:type="dxa"/>
            <w:vAlign w:val="bottom"/>
          </w:tcPr>
          <w:p w14:paraId="514A1657" w14:textId="6300D61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2247E6EB" w14:textId="322334E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3B727AA5" w14:textId="0BB28E3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bottom"/>
          </w:tcPr>
          <w:p w14:paraId="31D7EB67" w14:textId="5C06A23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bottom"/>
          </w:tcPr>
          <w:p w14:paraId="436E91A1" w14:textId="0589970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03D5A4B5" w14:textId="0A72F3B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361C77B7" w14:textId="76FC214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D2977A6" w14:textId="41954EF3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vAlign w:val="bottom"/>
          </w:tcPr>
          <w:p w14:paraId="3AE02925" w14:textId="1ACE59D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vAlign w:val="bottom"/>
          </w:tcPr>
          <w:p w14:paraId="44974470" w14:textId="795A881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bottom"/>
          </w:tcPr>
          <w:p w14:paraId="7A2947EA" w14:textId="2123D08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vAlign w:val="bottom"/>
          </w:tcPr>
          <w:p w14:paraId="1CB8C3F0" w14:textId="7603430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vAlign w:val="bottom"/>
          </w:tcPr>
          <w:p w14:paraId="5945145E" w14:textId="10A2D5E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18/24</w:t>
            </w:r>
          </w:p>
        </w:tc>
        <w:tc>
          <w:tcPr>
            <w:tcW w:w="1545" w:type="dxa"/>
          </w:tcPr>
          <w:p w14:paraId="7738BAE3" w14:textId="3C2910AB" w:rsidR="003E7138" w:rsidRPr="00B85054" w:rsidRDefault="0031671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7B7E76" w:rsidRPr="003E7138" w14:paraId="3AF07AA3" w14:textId="56668475" w:rsidTr="0029438E">
        <w:trPr>
          <w:trHeight w:val="282"/>
        </w:trPr>
        <w:tc>
          <w:tcPr>
            <w:tcW w:w="2897" w:type="dxa"/>
          </w:tcPr>
          <w:p w14:paraId="38053E0A" w14:textId="59F59D3C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Danawala et al. (2015)</w:t>
            </w:r>
            <w:r w:rsidR="00C52104">
              <w:rPr>
                <w:rFonts w:ascii="Times New Roman" w:hAnsi="Times New Roman" w:cs="Times New Roman"/>
                <w:vertAlign w:val="superscript"/>
              </w:rPr>
              <w:t>28</w:t>
            </w:r>
          </w:p>
        </w:tc>
        <w:tc>
          <w:tcPr>
            <w:tcW w:w="1217" w:type="dxa"/>
            <w:vAlign w:val="bottom"/>
          </w:tcPr>
          <w:p w14:paraId="3C29CF4A" w14:textId="180295E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2B021291" w14:textId="363E49D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098EFF80" w14:textId="0EA28A8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vAlign w:val="bottom"/>
          </w:tcPr>
          <w:p w14:paraId="4DEC752A" w14:textId="0CAA22D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0357B7C9" w14:textId="7607168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5732403B" w14:textId="08F80805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vAlign w:val="bottom"/>
          </w:tcPr>
          <w:p w14:paraId="3DD709B3" w14:textId="2E586CA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7D9BF1F0" w14:textId="114DFFE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vAlign w:val="bottom"/>
          </w:tcPr>
          <w:p w14:paraId="629D8330" w14:textId="0AD1A71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vAlign w:val="bottom"/>
          </w:tcPr>
          <w:p w14:paraId="4FBEC425" w14:textId="2804DB4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bottom"/>
          </w:tcPr>
          <w:p w14:paraId="64779502" w14:textId="5D5D012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vAlign w:val="bottom"/>
          </w:tcPr>
          <w:p w14:paraId="5A9C5833" w14:textId="5402A84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vAlign w:val="bottom"/>
          </w:tcPr>
          <w:p w14:paraId="792B0369" w14:textId="4798AFF6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16/24</w:t>
            </w:r>
          </w:p>
        </w:tc>
        <w:tc>
          <w:tcPr>
            <w:tcW w:w="1545" w:type="dxa"/>
          </w:tcPr>
          <w:p w14:paraId="35F46F38" w14:textId="6036F71F" w:rsidR="003E7138" w:rsidRPr="00B85054" w:rsidRDefault="00E90A14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29438E" w:rsidRPr="003E7138" w14:paraId="27E565EA" w14:textId="7D5B94B3" w:rsidTr="0029438E">
        <w:trPr>
          <w:trHeight w:val="282"/>
        </w:trPr>
        <w:tc>
          <w:tcPr>
            <w:tcW w:w="2897" w:type="dxa"/>
          </w:tcPr>
          <w:p w14:paraId="369D9E73" w14:textId="1861C64B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Baldea et al. (201</w:t>
            </w:r>
            <w:r w:rsidR="00DB5F87">
              <w:rPr>
                <w:rFonts w:ascii="Times New Roman" w:hAnsi="Times New Roman" w:cs="Times New Roman"/>
              </w:rPr>
              <w:t>7</w:t>
            </w:r>
            <w:r w:rsidRPr="00B85054">
              <w:rPr>
                <w:rFonts w:ascii="Times New Roman" w:hAnsi="Times New Roman" w:cs="Times New Roman"/>
              </w:rPr>
              <w:t>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31</w:t>
            </w:r>
          </w:p>
        </w:tc>
        <w:tc>
          <w:tcPr>
            <w:tcW w:w="1217" w:type="dxa"/>
            <w:vAlign w:val="bottom"/>
          </w:tcPr>
          <w:p w14:paraId="57D47672" w14:textId="785F906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vAlign w:val="bottom"/>
          </w:tcPr>
          <w:p w14:paraId="0CD0D6FF" w14:textId="05334B1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vAlign w:val="bottom"/>
          </w:tcPr>
          <w:p w14:paraId="42D4B779" w14:textId="1BD5318A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bottom"/>
          </w:tcPr>
          <w:p w14:paraId="758F77B1" w14:textId="5CDA2FBB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bottom"/>
          </w:tcPr>
          <w:p w14:paraId="1BEFC03B" w14:textId="39660668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14:paraId="57AE65E2" w14:textId="1A1085B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vAlign w:val="bottom"/>
          </w:tcPr>
          <w:p w14:paraId="58876FC2" w14:textId="06E6B7B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bottom"/>
          </w:tcPr>
          <w:p w14:paraId="5ED74B74" w14:textId="5C21BE9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vAlign w:val="bottom"/>
          </w:tcPr>
          <w:p w14:paraId="04768327" w14:textId="63C71BBD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vAlign w:val="bottom"/>
          </w:tcPr>
          <w:p w14:paraId="519212C2" w14:textId="6880157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bottom"/>
          </w:tcPr>
          <w:p w14:paraId="6BE68107" w14:textId="14C5A24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vAlign w:val="bottom"/>
          </w:tcPr>
          <w:p w14:paraId="04F0E09C" w14:textId="7CF00C6E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vAlign w:val="bottom"/>
          </w:tcPr>
          <w:p w14:paraId="5A01688F" w14:textId="47A338B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18/24</w:t>
            </w:r>
          </w:p>
        </w:tc>
        <w:tc>
          <w:tcPr>
            <w:tcW w:w="1545" w:type="dxa"/>
          </w:tcPr>
          <w:p w14:paraId="3D64A3AB" w14:textId="37B3469D" w:rsidR="003E7138" w:rsidRPr="00B85054" w:rsidRDefault="00E90A14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Moderate</w:t>
            </w:r>
          </w:p>
        </w:tc>
      </w:tr>
      <w:tr w:rsidR="00023DF7" w:rsidRPr="003E7138" w14:paraId="4BB2EAD8" w14:textId="58E7AEB6" w:rsidTr="0029438E">
        <w:trPr>
          <w:trHeight w:val="282"/>
        </w:trPr>
        <w:tc>
          <w:tcPr>
            <w:tcW w:w="2897" w:type="dxa"/>
            <w:tcBorders>
              <w:bottom w:val="single" w:sz="12" w:space="0" w:color="auto"/>
            </w:tcBorders>
          </w:tcPr>
          <w:p w14:paraId="2305D28D" w14:textId="7436307D" w:rsidR="003E7138" w:rsidRPr="00B85054" w:rsidRDefault="003E7138" w:rsidP="003E7138">
            <w:pPr>
              <w:ind w:right="93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Torricelli et al. (2020)</w:t>
            </w:r>
            <w:r w:rsidR="006D2F0E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bottom"/>
          </w:tcPr>
          <w:p w14:paraId="316B3614" w14:textId="15999707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vAlign w:val="bottom"/>
          </w:tcPr>
          <w:p w14:paraId="79066259" w14:textId="404397C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vAlign w:val="bottom"/>
          </w:tcPr>
          <w:p w14:paraId="04F7DC4F" w14:textId="7C23460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vAlign w:val="bottom"/>
          </w:tcPr>
          <w:p w14:paraId="33CB6C6F" w14:textId="70432B80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tcBorders>
              <w:bottom w:val="single" w:sz="12" w:space="0" w:color="auto"/>
            </w:tcBorders>
            <w:vAlign w:val="bottom"/>
          </w:tcPr>
          <w:p w14:paraId="1E0BBED6" w14:textId="5BE8B22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vAlign w:val="bottom"/>
          </w:tcPr>
          <w:p w14:paraId="43A4C96B" w14:textId="090673B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bottom"/>
          </w:tcPr>
          <w:p w14:paraId="23CFF81F" w14:textId="57929B4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bottom"/>
          </w:tcPr>
          <w:p w14:paraId="7C6E8677" w14:textId="2E5CFF64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vAlign w:val="bottom"/>
          </w:tcPr>
          <w:p w14:paraId="37296ED4" w14:textId="1B050F51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14:paraId="4B8D8E8F" w14:textId="2C295AE9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bottom"/>
          </w:tcPr>
          <w:p w14:paraId="10A2F219" w14:textId="4991773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bottom"/>
          </w:tcPr>
          <w:p w14:paraId="562E5D02" w14:textId="6C98036C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vAlign w:val="bottom"/>
          </w:tcPr>
          <w:p w14:paraId="5950C976" w14:textId="5BC4E30F" w:rsidR="003E7138" w:rsidRPr="00B85054" w:rsidRDefault="003E7138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20/24</w:t>
            </w:r>
          </w:p>
        </w:tc>
        <w:tc>
          <w:tcPr>
            <w:tcW w:w="1545" w:type="dxa"/>
            <w:tcBorders>
              <w:bottom w:val="single" w:sz="12" w:space="0" w:color="auto"/>
            </w:tcBorders>
          </w:tcPr>
          <w:p w14:paraId="4B2662EB" w14:textId="3447FFF9" w:rsidR="003E7138" w:rsidRPr="00B85054" w:rsidRDefault="00E90A14" w:rsidP="00B85054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B85054">
              <w:rPr>
                <w:rFonts w:ascii="Times New Roman" w:hAnsi="Times New Roman" w:cs="Times New Roman"/>
              </w:rPr>
              <w:t>Low</w:t>
            </w:r>
          </w:p>
        </w:tc>
      </w:tr>
    </w:tbl>
    <w:p w14:paraId="5BEF8709" w14:textId="78DD7831" w:rsidR="00F039B0" w:rsidRPr="003E7138" w:rsidRDefault="00F039B0" w:rsidP="003E7138">
      <w:pPr>
        <w:ind w:left="-709" w:right="93"/>
        <w:rPr>
          <w:rFonts w:ascii="Times New Roman" w:hAnsi="Times New Roman" w:cs="Times New Roman"/>
        </w:rPr>
      </w:pPr>
    </w:p>
    <w:p w14:paraId="6358F180" w14:textId="16AF6F7B" w:rsidR="003E7138" w:rsidRPr="003E7138" w:rsidRDefault="00B85054" w:rsidP="003E7138">
      <w:pPr>
        <w:ind w:left="-709" w:right="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= not applicable.</w:t>
      </w:r>
    </w:p>
    <w:p w14:paraId="4C89F592" w14:textId="77777777" w:rsidR="00F039B0" w:rsidRPr="003E7138" w:rsidRDefault="00F039B0" w:rsidP="00F039B0">
      <w:pPr>
        <w:ind w:left="-567" w:right="4062"/>
        <w:jc w:val="center"/>
        <w:rPr>
          <w:rFonts w:ascii="Times New Roman" w:hAnsi="Times New Roman" w:cs="Times New Roman"/>
        </w:rPr>
      </w:pPr>
    </w:p>
    <w:p w14:paraId="7021CA95" w14:textId="77777777" w:rsidR="00F039B0" w:rsidRPr="003E7138" w:rsidRDefault="00F039B0" w:rsidP="002561F2">
      <w:pPr>
        <w:ind w:right="4062"/>
        <w:rPr>
          <w:rFonts w:ascii="Times New Roman" w:hAnsi="Times New Roman" w:cs="Times New Roman"/>
        </w:rPr>
      </w:pPr>
    </w:p>
    <w:sectPr w:rsidR="00F039B0" w:rsidRPr="003E7138" w:rsidSect="008556D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18"/>
    <w:rsid w:val="00000345"/>
    <w:rsid w:val="00023DF7"/>
    <w:rsid w:val="000479B2"/>
    <w:rsid w:val="00084654"/>
    <w:rsid w:val="00084E13"/>
    <w:rsid w:val="000A0FA5"/>
    <w:rsid w:val="000B051D"/>
    <w:rsid w:val="000C45C1"/>
    <w:rsid w:val="00112655"/>
    <w:rsid w:val="00127C2D"/>
    <w:rsid w:val="001719C0"/>
    <w:rsid w:val="00185FF3"/>
    <w:rsid w:val="00187A08"/>
    <w:rsid w:val="001C5E52"/>
    <w:rsid w:val="001C7E49"/>
    <w:rsid w:val="001D681C"/>
    <w:rsid w:val="001E1B18"/>
    <w:rsid w:val="001E3DB8"/>
    <w:rsid w:val="00211870"/>
    <w:rsid w:val="00220A94"/>
    <w:rsid w:val="00241D65"/>
    <w:rsid w:val="0024344E"/>
    <w:rsid w:val="002477E3"/>
    <w:rsid w:val="002506FB"/>
    <w:rsid w:val="002561F2"/>
    <w:rsid w:val="0027138A"/>
    <w:rsid w:val="002870EB"/>
    <w:rsid w:val="00291690"/>
    <w:rsid w:val="0029438E"/>
    <w:rsid w:val="00296571"/>
    <w:rsid w:val="002B1973"/>
    <w:rsid w:val="002D26AB"/>
    <w:rsid w:val="002E0A47"/>
    <w:rsid w:val="002F3844"/>
    <w:rsid w:val="002F7239"/>
    <w:rsid w:val="0030497F"/>
    <w:rsid w:val="0031232C"/>
    <w:rsid w:val="00316718"/>
    <w:rsid w:val="003247A0"/>
    <w:rsid w:val="00334438"/>
    <w:rsid w:val="0033457E"/>
    <w:rsid w:val="00347F69"/>
    <w:rsid w:val="0039473C"/>
    <w:rsid w:val="003A43B4"/>
    <w:rsid w:val="003C19AE"/>
    <w:rsid w:val="003D100C"/>
    <w:rsid w:val="003E7138"/>
    <w:rsid w:val="00404865"/>
    <w:rsid w:val="004349BF"/>
    <w:rsid w:val="00436054"/>
    <w:rsid w:val="004526B6"/>
    <w:rsid w:val="004A6A40"/>
    <w:rsid w:val="004B06A6"/>
    <w:rsid w:val="004C6794"/>
    <w:rsid w:val="004F1E04"/>
    <w:rsid w:val="0050121E"/>
    <w:rsid w:val="00505825"/>
    <w:rsid w:val="005225F3"/>
    <w:rsid w:val="005254F8"/>
    <w:rsid w:val="00530818"/>
    <w:rsid w:val="00540430"/>
    <w:rsid w:val="00556135"/>
    <w:rsid w:val="00570223"/>
    <w:rsid w:val="00597CBE"/>
    <w:rsid w:val="005A3A7E"/>
    <w:rsid w:val="005C24CB"/>
    <w:rsid w:val="005C60BE"/>
    <w:rsid w:val="005D69A7"/>
    <w:rsid w:val="005E219C"/>
    <w:rsid w:val="005F171D"/>
    <w:rsid w:val="00662D70"/>
    <w:rsid w:val="006924C6"/>
    <w:rsid w:val="006D16DE"/>
    <w:rsid w:val="006D1BEF"/>
    <w:rsid w:val="006D2F0E"/>
    <w:rsid w:val="006D32F6"/>
    <w:rsid w:val="006E3F3B"/>
    <w:rsid w:val="00701729"/>
    <w:rsid w:val="00702AF3"/>
    <w:rsid w:val="00732521"/>
    <w:rsid w:val="00763F22"/>
    <w:rsid w:val="00794DBA"/>
    <w:rsid w:val="0079597E"/>
    <w:rsid w:val="007A3FF5"/>
    <w:rsid w:val="007B7E76"/>
    <w:rsid w:val="007E090A"/>
    <w:rsid w:val="008422A4"/>
    <w:rsid w:val="0084797C"/>
    <w:rsid w:val="008556D5"/>
    <w:rsid w:val="0086275F"/>
    <w:rsid w:val="008814FE"/>
    <w:rsid w:val="00886412"/>
    <w:rsid w:val="0088650C"/>
    <w:rsid w:val="008A4D2B"/>
    <w:rsid w:val="008B0E2E"/>
    <w:rsid w:val="008C0829"/>
    <w:rsid w:val="008C6EDC"/>
    <w:rsid w:val="008F0F61"/>
    <w:rsid w:val="00902C62"/>
    <w:rsid w:val="00926794"/>
    <w:rsid w:val="00932B21"/>
    <w:rsid w:val="009368CA"/>
    <w:rsid w:val="00953CCB"/>
    <w:rsid w:val="0098061D"/>
    <w:rsid w:val="009A10E1"/>
    <w:rsid w:val="009E2BEB"/>
    <w:rsid w:val="009F05FB"/>
    <w:rsid w:val="009F0877"/>
    <w:rsid w:val="009F12FD"/>
    <w:rsid w:val="00A008F8"/>
    <w:rsid w:val="00A21EA5"/>
    <w:rsid w:val="00A41596"/>
    <w:rsid w:val="00A64001"/>
    <w:rsid w:val="00A749CB"/>
    <w:rsid w:val="00A83D58"/>
    <w:rsid w:val="00A934F8"/>
    <w:rsid w:val="00AB6368"/>
    <w:rsid w:val="00B07F12"/>
    <w:rsid w:val="00B46D88"/>
    <w:rsid w:val="00B54A38"/>
    <w:rsid w:val="00B57ABD"/>
    <w:rsid w:val="00B57D31"/>
    <w:rsid w:val="00B61D7F"/>
    <w:rsid w:val="00B66D86"/>
    <w:rsid w:val="00B73474"/>
    <w:rsid w:val="00B85054"/>
    <w:rsid w:val="00BA1C08"/>
    <w:rsid w:val="00BA616F"/>
    <w:rsid w:val="00BB5E40"/>
    <w:rsid w:val="00BE46AC"/>
    <w:rsid w:val="00BE6920"/>
    <w:rsid w:val="00C03E74"/>
    <w:rsid w:val="00C07C17"/>
    <w:rsid w:val="00C12070"/>
    <w:rsid w:val="00C40E0A"/>
    <w:rsid w:val="00C41F8D"/>
    <w:rsid w:val="00C45946"/>
    <w:rsid w:val="00C52104"/>
    <w:rsid w:val="00C61316"/>
    <w:rsid w:val="00C63F90"/>
    <w:rsid w:val="00C64919"/>
    <w:rsid w:val="00C814D9"/>
    <w:rsid w:val="00C9029A"/>
    <w:rsid w:val="00CA6C80"/>
    <w:rsid w:val="00CB720F"/>
    <w:rsid w:val="00CC0F56"/>
    <w:rsid w:val="00CD0367"/>
    <w:rsid w:val="00CD7FE4"/>
    <w:rsid w:val="00CE07A1"/>
    <w:rsid w:val="00D0689A"/>
    <w:rsid w:val="00D07168"/>
    <w:rsid w:val="00D41F27"/>
    <w:rsid w:val="00D7013F"/>
    <w:rsid w:val="00D7127A"/>
    <w:rsid w:val="00D72CEA"/>
    <w:rsid w:val="00D80AD5"/>
    <w:rsid w:val="00D9287D"/>
    <w:rsid w:val="00DA1A12"/>
    <w:rsid w:val="00DB5F87"/>
    <w:rsid w:val="00DC7C14"/>
    <w:rsid w:val="00DD36C9"/>
    <w:rsid w:val="00E01E52"/>
    <w:rsid w:val="00E035FE"/>
    <w:rsid w:val="00E24E5F"/>
    <w:rsid w:val="00E30BAD"/>
    <w:rsid w:val="00E33B04"/>
    <w:rsid w:val="00E40495"/>
    <w:rsid w:val="00E51428"/>
    <w:rsid w:val="00E673E1"/>
    <w:rsid w:val="00E74873"/>
    <w:rsid w:val="00E84D98"/>
    <w:rsid w:val="00E857D4"/>
    <w:rsid w:val="00E85D64"/>
    <w:rsid w:val="00E90A14"/>
    <w:rsid w:val="00E90A78"/>
    <w:rsid w:val="00EA5601"/>
    <w:rsid w:val="00EB20F2"/>
    <w:rsid w:val="00EC33D3"/>
    <w:rsid w:val="00EC3FA7"/>
    <w:rsid w:val="00ED4EC2"/>
    <w:rsid w:val="00EF463F"/>
    <w:rsid w:val="00EF6C48"/>
    <w:rsid w:val="00F039B0"/>
    <w:rsid w:val="00F04DF8"/>
    <w:rsid w:val="00F42344"/>
    <w:rsid w:val="00F64DC0"/>
    <w:rsid w:val="00FB24EA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A4A2"/>
  <w15:chartTrackingRefBased/>
  <w15:docId w15:val="{8406A868-AA63-4CD1-AE60-6E538AA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John (MED)</dc:creator>
  <cp:keywords/>
  <dc:description/>
  <cp:lastModifiedBy>Kim, John (MED)</cp:lastModifiedBy>
  <cp:revision>161</cp:revision>
  <dcterms:created xsi:type="dcterms:W3CDTF">2022-02-25T01:31:00Z</dcterms:created>
  <dcterms:modified xsi:type="dcterms:W3CDTF">2022-05-03T15:15:00Z</dcterms:modified>
</cp:coreProperties>
</file>