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4E185" w14:textId="4299F673" w:rsidR="00FB0BE5" w:rsidRPr="00080007" w:rsidRDefault="00A13B5C">
      <w:pPr>
        <w:rPr>
          <w:rFonts w:ascii="Arial" w:eastAsia="等线" w:hAnsi="Arial" w:cs="Arial"/>
          <w:b/>
          <w:bCs/>
          <w:color w:val="000000"/>
          <w:kern w:val="24"/>
          <w:sz w:val="24"/>
          <w:szCs w:val="24"/>
        </w:rPr>
      </w:pPr>
      <w:r w:rsidRPr="00080007">
        <w:rPr>
          <w:rFonts w:ascii="Arial" w:eastAsia="等线" w:hAnsi="Arial" w:cs="Arial"/>
          <w:b/>
          <w:bCs/>
          <w:color w:val="000000"/>
          <w:kern w:val="24"/>
          <w:sz w:val="24"/>
          <w:szCs w:val="24"/>
        </w:rPr>
        <w:t xml:space="preserve">Supplementary </w:t>
      </w:r>
      <w:r w:rsidR="009C6240" w:rsidRPr="00080007">
        <w:rPr>
          <w:rFonts w:ascii="Arial" w:eastAsia="等线" w:hAnsi="Arial" w:cs="Arial"/>
          <w:b/>
          <w:bCs/>
          <w:color w:val="000000"/>
          <w:kern w:val="24"/>
          <w:sz w:val="24"/>
          <w:szCs w:val="24"/>
        </w:rPr>
        <w:t>materials</w:t>
      </w:r>
    </w:p>
    <w:p w14:paraId="279063CF" w14:textId="6951C15B" w:rsidR="00080007" w:rsidRPr="00080007" w:rsidRDefault="00080007">
      <w:pPr>
        <w:rPr>
          <w:rFonts w:ascii="Arial" w:hAnsi="Arial" w:cs="Arial"/>
          <w:noProof/>
          <w:sz w:val="24"/>
          <w:szCs w:val="24"/>
        </w:rPr>
      </w:pPr>
    </w:p>
    <w:p w14:paraId="0073B301" w14:textId="77777777" w:rsidR="00080007" w:rsidRPr="00080007" w:rsidRDefault="00080007">
      <w:pPr>
        <w:rPr>
          <w:rFonts w:ascii="Arial" w:hAnsi="Arial" w:cs="Arial"/>
          <w:noProof/>
          <w:sz w:val="24"/>
          <w:szCs w:val="24"/>
        </w:rPr>
      </w:pPr>
    </w:p>
    <w:p w14:paraId="382F7326" w14:textId="77777777" w:rsidR="00A13B5C" w:rsidRPr="00080007" w:rsidRDefault="00A13B5C" w:rsidP="00A13B5C">
      <w:pPr>
        <w:rPr>
          <w:rFonts w:ascii="Arial" w:hAnsi="Arial" w:cs="Arial"/>
          <w:noProof/>
          <w:sz w:val="24"/>
          <w:szCs w:val="24"/>
        </w:rPr>
      </w:pPr>
      <w:r w:rsidRPr="00080007">
        <w:rPr>
          <w:rFonts w:ascii="Arial" w:hAnsi="Arial" w:cs="Arial"/>
          <w:b/>
          <w:bCs/>
          <w:noProof/>
          <w:sz w:val="24"/>
          <w:szCs w:val="24"/>
        </w:rPr>
        <w:t>Supplementary Figure 1</w:t>
      </w:r>
    </w:p>
    <w:p w14:paraId="4434C19D" w14:textId="22E6CF74" w:rsidR="00C57A5D" w:rsidRDefault="00A13B5C">
      <w:pPr>
        <w:rPr>
          <w:noProof/>
        </w:rPr>
      </w:pPr>
      <w:r w:rsidRPr="00A13B5C">
        <w:rPr>
          <w:noProof/>
        </w:rPr>
        <w:drawing>
          <wp:inline distT="0" distB="0" distL="0" distR="0" wp14:anchorId="374C476C" wp14:editId="781CA964">
            <wp:extent cx="3828700" cy="3554894"/>
            <wp:effectExtent l="0" t="0" r="0" b="0"/>
            <wp:docPr id="8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6AECA525-25E6-C070-4B15-A6751F57D9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6AECA525-25E6-C070-4B15-A6751F57D9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40444" cy="356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1F7FA" w14:textId="77777777" w:rsidR="00080007" w:rsidRPr="00080007" w:rsidRDefault="00080007" w:rsidP="00080007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080007">
        <w:rPr>
          <w:rFonts w:ascii="Arial" w:eastAsia="宋体" w:hAnsi="Arial" w:cs="Arial"/>
          <w:b/>
          <w:bCs/>
          <w:sz w:val="24"/>
          <w:szCs w:val="24"/>
        </w:rPr>
        <w:t>Supplementary Fig 1</w:t>
      </w:r>
      <w:r w:rsidRPr="00080007">
        <w:rPr>
          <w:rFonts w:ascii="Arial" w:eastAsia="宋体" w:hAnsi="Arial" w:cs="Arial"/>
          <w:b/>
          <w:sz w:val="24"/>
          <w:szCs w:val="24"/>
        </w:rPr>
        <w:t xml:space="preserve">. </w:t>
      </w:r>
      <w:r w:rsidRPr="00080007">
        <w:rPr>
          <w:rFonts w:ascii="Arial" w:eastAsia="宋体" w:hAnsi="Arial" w:cs="Arial"/>
          <w:sz w:val="24"/>
          <w:szCs w:val="24"/>
        </w:rPr>
        <w:t xml:space="preserve">Cumulative rate of serum full viral suppression, </w:t>
      </w:r>
      <w:proofErr w:type="spellStart"/>
      <w:r w:rsidRPr="00080007">
        <w:rPr>
          <w:rFonts w:ascii="Arial" w:eastAsia="宋体" w:hAnsi="Arial" w:cs="Arial"/>
          <w:sz w:val="24"/>
          <w:szCs w:val="24"/>
        </w:rPr>
        <w:t>HBeAg</w:t>
      </w:r>
      <w:proofErr w:type="spellEnd"/>
      <w:r w:rsidRPr="00080007">
        <w:rPr>
          <w:rFonts w:ascii="Arial" w:eastAsia="宋体" w:hAnsi="Arial" w:cs="Arial"/>
          <w:sz w:val="24"/>
          <w:szCs w:val="24"/>
        </w:rPr>
        <w:t xml:space="preserve"> loss and seroconversion, HBsAg loss and seroconversion among the 32 IT children with CHB after 36 months of antiviral treatment.</w:t>
      </w:r>
    </w:p>
    <w:p w14:paraId="0BB16B89" w14:textId="77777777" w:rsidR="00080007" w:rsidRPr="00080007" w:rsidRDefault="00080007">
      <w:pPr>
        <w:rPr>
          <w:noProof/>
        </w:rPr>
      </w:pPr>
    </w:p>
    <w:p w14:paraId="17D70D95" w14:textId="77777777" w:rsidR="00080007" w:rsidRDefault="00080007">
      <w:pPr>
        <w:widowControl/>
        <w:jc w:val="left"/>
      </w:pPr>
      <w:r>
        <w:br w:type="page"/>
      </w:r>
    </w:p>
    <w:p w14:paraId="6339CF02" w14:textId="446CAA88" w:rsidR="00A048EF" w:rsidRDefault="00A13B5C">
      <w:r w:rsidRPr="00A13B5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98DFF1" wp14:editId="64A37221">
                <wp:simplePos x="0" y="0"/>
                <wp:positionH relativeFrom="column">
                  <wp:posOffset>91440</wp:posOffset>
                </wp:positionH>
                <wp:positionV relativeFrom="paragraph">
                  <wp:posOffset>-193608</wp:posOffset>
                </wp:positionV>
                <wp:extent cx="2545237" cy="307777"/>
                <wp:effectExtent l="0" t="0" r="0" b="0"/>
                <wp:wrapNone/>
                <wp:docPr id="68" name="文本框 67">
                  <a:extLst xmlns:a="http://schemas.openxmlformats.org/drawingml/2006/main">
                    <a:ext uri="{FF2B5EF4-FFF2-40B4-BE49-F238E27FC236}">
                      <a16:creationId xmlns:a16="http://schemas.microsoft.com/office/drawing/2014/main" id="{1CD7B942-9854-E296-EA59-4EF7DFE3F5F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5237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6387E27" w14:textId="3A091284" w:rsidR="00080007" w:rsidRPr="00080007" w:rsidRDefault="00A13B5C" w:rsidP="00A13B5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08000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Supplementary Figure 2</w:t>
                            </w:r>
                            <w:r w:rsidR="009C6240" w:rsidRPr="00080007">
                              <w:rPr>
                                <w:rFonts w:ascii="Arial" w:hAnsi="Arial" w:cs="Arial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（</w:t>
                            </w:r>
                            <w:r w:rsidR="003E548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a, b, c</w:t>
                            </w:r>
                            <w:r w:rsidR="009C6240" w:rsidRPr="00080007">
                              <w:rPr>
                                <w:rFonts w:ascii="Arial" w:hAnsi="Arial" w:cs="Arial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wrap="square" lIns="91440" tIns="45720" rIns="91440" bIns="4572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98DFF1" id="_x0000_t202" coordsize="21600,21600" o:spt="202" path="m,l,21600r21600,l21600,xe">
                <v:stroke joinstyle="miter"/>
                <v:path gradientshapeok="t" o:connecttype="rect"/>
              </v:shapetype>
              <v:shape id="文本框 67" o:spid="_x0000_s1026" type="#_x0000_t202" style="position:absolute;left:0;text-align:left;margin-left:7.2pt;margin-top:-15.25pt;width:200.4pt;height:2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" filled="f" stroked="f">
                <v:textbox style="mso-fit-shape-to-text:t">
                  <w:txbxContent>
                    <w:p w14:paraId="36387E27" w14:textId="3A091284" w:rsidR="00080007" w:rsidRPr="00080007" w:rsidRDefault="00A13B5C" w:rsidP="00A13B5C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08000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Supplementary Figure 2</w:t>
                      </w:r>
                      <w:r w:rsidR="009C6240" w:rsidRPr="00080007">
                        <w:rPr>
                          <w:rFonts w:ascii="Arial" w:hAnsi="Arial" w:cs="Arial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（</w:t>
                      </w:r>
                      <w:r w:rsidR="003E548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a, b, c</w:t>
                      </w:r>
                      <w:r w:rsidR="009C6240" w:rsidRPr="00080007">
                        <w:rPr>
                          <w:rFonts w:ascii="Arial" w:hAnsi="Arial" w:cs="Arial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61194EE7" w14:textId="063F51F4" w:rsidR="00C57A5D" w:rsidRDefault="000A4479" w:rsidP="00FB0BE5">
      <w:pPr>
        <w:rPr>
          <w:rFonts w:ascii="Arial" w:eastAsia="等线" w:hAnsi="Arial" w:cs="Arial"/>
          <w:b/>
          <w:bCs/>
          <w:color w:val="000000"/>
          <w:kern w:val="24"/>
          <w:szCs w:val="21"/>
        </w:rPr>
      </w:pPr>
      <w:r>
        <w:rPr>
          <w:rFonts w:ascii="Arial" w:eastAsia="等线" w:hAnsi="Arial" w:cs="Arial"/>
          <w:b/>
          <w:bCs/>
          <w:noProof/>
          <w:color w:val="000000"/>
          <w:kern w:val="24"/>
          <w:szCs w:val="21"/>
        </w:rPr>
        <w:drawing>
          <wp:inline distT="0" distB="0" distL="0" distR="0" wp14:anchorId="167EE62A" wp14:editId="5C113798">
            <wp:extent cx="5431534" cy="2943591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130" cy="29536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B064BB" w14:textId="48154D40" w:rsidR="00080007" w:rsidRDefault="00080007" w:rsidP="00FB0BE5">
      <w:pPr>
        <w:rPr>
          <w:rFonts w:ascii="Arial" w:eastAsia="等线" w:hAnsi="Arial" w:cs="Arial"/>
          <w:b/>
          <w:bCs/>
          <w:color w:val="000000"/>
          <w:kern w:val="24"/>
          <w:szCs w:val="21"/>
        </w:rPr>
      </w:pPr>
    </w:p>
    <w:p w14:paraId="744158A1" w14:textId="77777777" w:rsidR="00080007" w:rsidRDefault="00080007" w:rsidP="00FB0BE5">
      <w:pPr>
        <w:rPr>
          <w:rFonts w:ascii="Arial" w:eastAsia="等线" w:hAnsi="Arial" w:cs="Arial"/>
          <w:b/>
          <w:bCs/>
          <w:color w:val="000000"/>
          <w:kern w:val="24"/>
          <w:szCs w:val="21"/>
        </w:rPr>
      </w:pPr>
    </w:p>
    <w:p w14:paraId="6C9CA6D1" w14:textId="0774C9BB" w:rsidR="00A13B5C" w:rsidRDefault="000A4479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>
        <w:rPr>
          <w:rFonts w:ascii="Arial" w:hAnsi="Arial" w:cs="Arial"/>
          <w:b/>
          <w:bCs/>
          <w:noProof/>
          <w:color w:val="000000" w:themeColor="text1"/>
          <w:kern w:val="24"/>
          <w:sz w:val="15"/>
          <w:szCs w:val="15"/>
        </w:rPr>
        <w:drawing>
          <wp:inline distT="0" distB="0" distL="0" distR="0" wp14:anchorId="36D85BF5" wp14:editId="17D3C2DB">
            <wp:extent cx="5090350" cy="215377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167" cy="2171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95A7F" w14:textId="12E50D24" w:rsidR="00A13B5C" w:rsidRDefault="000A4479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>
        <w:rPr>
          <w:rFonts w:ascii="Arial" w:hAnsi="Arial" w:cs="Arial"/>
          <w:b/>
          <w:bCs/>
          <w:noProof/>
          <w:color w:val="000000" w:themeColor="text1"/>
          <w:kern w:val="24"/>
          <w:sz w:val="15"/>
          <w:szCs w:val="15"/>
        </w:rPr>
        <w:lastRenderedPageBreak/>
        <w:drawing>
          <wp:inline distT="0" distB="0" distL="0" distR="0" wp14:anchorId="1C88964F" wp14:editId="57531F68">
            <wp:extent cx="5205635" cy="3269232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213" cy="3278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961E4E" w14:textId="77777777" w:rsidR="00A13B5C" w:rsidRDefault="00A13B5C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2D0F4E68" w14:textId="079D5D5C" w:rsidR="00080007" w:rsidRPr="00080007" w:rsidRDefault="00080007" w:rsidP="00080007">
      <w:pPr>
        <w:spacing w:beforeLines="100" w:before="312" w:line="360" w:lineRule="auto"/>
        <w:rPr>
          <w:rFonts w:ascii="Arial" w:eastAsia="宋体" w:hAnsi="Arial" w:cs="Arial"/>
          <w:sz w:val="24"/>
          <w:szCs w:val="24"/>
        </w:rPr>
      </w:pPr>
      <w:r w:rsidRPr="00080007">
        <w:rPr>
          <w:rFonts w:ascii="Arial" w:eastAsia="宋体" w:hAnsi="Arial" w:cs="Arial"/>
          <w:b/>
          <w:bCs/>
          <w:sz w:val="24"/>
          <w:szCs w:val="24"/>
        </w:rPr>
        <w:t>Supplementary Fig 2.</w:t>
      </w:r>
      <w:r w:rsidRPr="00CE6B60">
        <w:rPr>
          <w:rFonts w:ascii="Arial" w:eastAsia="宋体" w:hAnsi="Arial" w:cs="Arial"/>
          <w:b/>
          <w:sz w:val="24"/>
          <w:szCs w:val="24"/>
        </w:rPr>
        <w:t xml:space="preserve"> </w:t>
      </w:r>
      <w:r w:rsidRPr="009803C0">
        <w:rPr>
          <w:rFonts w:ascii="Arial" w:eastAsia="宋体" w:hAnsi="Arial" w:cs="Arial"/>
          <w:bCs/>
          <w:sz w:val="24"/>
          <w:szCs w:val="24"/>
        </w:rPr>
        <w:t xml:space="preserve">The specific regimens, duration, and efficacy of antiviral treatment for 32 IT children enrolled in this retrospective study. </w:t>
      </w:r>
      <w:r w:rsidRPr="00080007">
        <w:rPr>
          <w:rFonts w:ascii="Arial" w:eastAsia="宋体" w:hAnsi="Arial" w:cs="Arial"/>
          <w:bCs/>
          <w:sz w:val="24"/>
          <w:szCs w:val="24"/>
        </w:rPr>
        <w:t>(</w:t>
      </w:r>
      <w:r w:rsidR="003E548C">
        <w:rPr>
          <w:rFonts w:ascii="Arial" w:eastAsia="宋体" w:hAnsi="Arial" w:cs="Arial"/>
          <w:bCs/>
          <w:sz w:val="24"/>
          <w:szCs w:val="24"/>
        </w:rPr>
        <w:t>a</w:t>
      </w:r>
      <w:r w:rsidRPr="00080007">
        <w:rPr>
          <w:rFonts w:ascii="Arial" w:eastAsia="宋体" w:hAnsi="Arial" w:cs="Arial"/>
          <w:bCs/>
          <w:sz w:val="24"/>
          <w:szCs w:val="24"/>
        </w:rPr>
        <w:t xml:space="preserve">) </w:t>
      </w:r>
      <w:r w:rsidRPr="00080007">
        <w:rPr>
          <w:rFonts w:ascii="Arial" w:eastAsia="宋体" w:hAnsi="Arial" w:cs="Arial"/>
          <w:sz w:val="24"/>
          <w:szCs w:val="24"/>
        </w:rPr>
        <w:t xml:space="preserve">Three children (P7, P10, and P18) who showed HBsAg loss and seroconversion but did not achieve </w:t>
      </w:r>
      <w:proofErr w:type="spellStart"/>
      <w:r w:rsidRPr="00080007">
        <w:rPr>
          <w:rFonts w:ascii="Arial" w:eastAsia="宋体" w:hAnsi="Arial" w:cs="Arial"/>
          <w:sz w:val="24"/>
          <w:szCs w:val="24"/>
        </w:rPr>
        <w:t>HBeAg</w:t>
      </w:r>
      <w:proofErr w:type="spellEnd"/>
      <w:r w:rsidRPr="00080007">
        <w:rPr>
          <w:rFonts w:ascii="Arial" w:eastAsia="宋体" w:hAnsi="Arial" w:cs="Arial"/>
          <w:sz w:val="24"/>
          <w:szCs w:val="24"/>
        </w:rPr>
        <w:t xml:space="preserve"> seroconversion after 36 months of antiviral therapy. (</w:t>
      </w:r>
      <w:r w:rsidR="003E548C">
        <w:rPr>
          <w:rFonts w:ascii="Arial" w:eastAsia="宋体" w:hAnsi="Arial" w:cs="Arial"/>
          <w:bCs/>
          <w:sz w:val="24"/>
          <w:szCs w:val="24"/>
        </w:rPr>
        <w:t>b</w:t>
      </w:r>
      <w:r w:rsidRPr="00080007">
        <w:rPr>
          <w:rFonts w:ascii="Arial" w:eastAsia="宋体" w:hAnsi="Arial" w:cs="Arial"/>
          <w:bCs/>
          <w:sz w:val="24"/>
          <w:szCs w:val="24"/>
        </w:rPr>
        <w:t xml:space="preserve">) </w:t>
      </w:r>
      <w:r w:rsidRPr="00080007">
        <w:rPr>
          <w:rFonts w:ascii="Arial" w:eastAsia="宋体" w:hAnsi="Arial" w:cs="Arial"/>
          <w:sz w:val="24"/>
          <w:szCs w:val="24"/>
        </w:rPr>
        <w:t xml:space="preserve">Two children (P1, P8) who exhibited HBsAg seroconversion earlier than serum HBV DNA suppression and </w:t>
      </w:r>
      <w:proofErr w:type="spellStart"/>
      <w:r w:rsidRPr="00080007">
        <w:rPr>
          <w:rFonts w:ascii="Arial" w:eastAsia="宋体" w:hAnsi="Arial" w:cs="Arial"/>
          <w:sz w:val="24"/>
          <w:szCs w:val="24"/>
        </w:rPr>
        <w:t>HBeAg</w:t>
      </w:r>
      <w:proofErr w:type="spellEnd"/>
      <w:r w:rsidRPr="00080007">
        <w:rPr>
          <w:rFonts w:ascii="Arial" w:eastAsia="宋体" w:hAnsi="Arial" w:cs="Arial"/>
          <w:sz w:val="24"/>
          <w:szCs w:val="24"/>
        </w:rPr>
        <w:t xml:space="preserve"> loss. (</w:t>
      </w:r>
      <w:r w:rsidR="003E548C">
        <w:rPr>
          <w:rFonts w:ascii="Arial" w:eastAsia="宋体" w:hAnsi="Arial" w:cs="Arial"/>
          <w:sz w:val="24"/>
          <w:szCs w:val="24"/>
        </w:rPr>
        <w:t>c</w:t>
      </w:r>
      <w:r w:rsidRPr="00080007">
        <w:rPr>
          <w:rFonts w:ascii="Arial" w:eastAsia="宋体" w:hAnsi="Arial" w:cs="Arial"/>
          <w:sz w:val="24"/>
          <w:szCs w:val="24"/>
        </w:rPr>
        <w:t>) Three children (P3, P13, P17) extended the duration of combined IFN-α and NA treatment to 36 months because of late HBsAg loss and anti-HBs appearance.</w:t>
      </w:r>
    </w:p>
    <w:p w14:paraId="77196343" w14:textId="77777777" w:rsidR="009C6240" w:rsidRPr="00080007" w:rsidRDefault="009C6240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7BDF84CB" w14:textId="3F3FB6DC" w:rsidR="00080007" w:rsidRDefault="00080007">
      <w:pPr>
        <w:widowControl/>
        <w:jc w:val="left"/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  <w:br w:type="page"/>
      </w:r>
    </w:p>
    <w:p w14:paraId="2510AFAD" w14:textId="77777777" w:rsidR="009C6240" w:rsidRDefault="009C6240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12850629" w14:textId="18AF7B4D" w:rsidR="00A13B5C" w:rsidRDefault="009C6240" w:rsidP="00A13B5C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  <w:r w:rsidRPr="00080007"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  <w:t>Supplementary Figure 3</w:t>
      </w:r>
    </w:p>
    <w:p w14:paraId="1F1A07E0" w14:textId="77777777" w:rsidR="00080007" w:rsidRPr="00080007" w:rsidRDefault="00080007" w:rsidP="00A13B5C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</w:p>
    <w:p w14:paraId="77283914" w14:textId="1CD3AEAE" w:rsidR="00A13B5C" w:rsidRDefault="000A4479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>
        <w:rPr>
          <w:rFonts w:ascii="Arial" w:hAnsi="Arial" w:cs="Arial"/>
          <w:b/>
          <w:bCs/>
          <w:noProof/>
          <w:color w:val="000000" w:themeColor="text1"/>
          <w:kern w:val="24"/>
          <w:sz w:val="15"/>
          <w:szCs w:val="15"/>
        </w:rPr>
        <w:drawing>
          <wp:inline distT="0" distB="0" distL="0" distR="0" wp14:anchorId="12259069" wp14:editId="3F663CB9">
            <wp:extent cx="5287541" cy="1912279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767" cy="1918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4266A6" w14:textId="5168BD34" w:rsidR="00080007" w:rsidRDefault="00080007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06CBC409" w14:textId="7535F65F" w:rsidR="00080007" w:rsidRPr="00080007" w:rsidRDefault="00080007" w:rsidP="00080007">
      <w:pPr>
        <w:spacing w:beforeLines="100" w:before="312" w:line="360" w:lineRule="auto"/>
        <w:rPr>
          <w:rFonts w:ascii="Arial" w:eastAsia="宋体" w:hAnsi="Arial" w:cs="Arial"/>
          <w:sz w:val="24"/>
          <w:szCs w:val="24"/>
        </w:rPr>
      </w:pPr>
      <w:r w:rsidRPr="00080007">
        <w:rPr>
          <w:rFonts w:ascii="Arial" w:eastAsia="宋体" w:hAnsi="Arial" w:cs="Arial"/>
          <w:b/>
          <w:sz w:val="24"/>
          <w:szCs w:val="24"/>
        </w:rPr>
        <w:t xml:space="preserve">Supplementary Fig 3. </w:t>
      </w:r>
      <w:r w:rsidRPr="00080007">
        <w:rPr>
          <w:rFonts w:ascii="Arial" w:eastAsia="宋体" w:hAnsi="Arial" w:cs="Arial"/>
          <w:sz w:val="24"/>
          <w:szCs w:val="24"/>
        </w:rPr>
        <w:t>Distribution of serum HBsAg loss time in cured cases (</w:t>
      </w:r>
      <w:r w:rsidR="003E548C">
        <w:rPr>
          <w:rFonts w:ascii="Arial" w:eastAsia="宋体" w:hAnsi="Arial" w:cs="Arial"/>
          <w:sz w:val="24"/>
          <w:szCs w:val="24"/>
        </w:rPr>
        <w:t>a</w:t>
      </w:r>
      <w:r w:rsidRPr="00080007">
        <w:rPr>
          <w:rFonts w:ascii="Arial" w:eastAsia="宋体" w:hAnsi="Arial" w:cs="Arial"/>
          <w:sz w:val="24"/>
          <w:szCs w:val="24"/>
        </w:rPr>
        <w:t>) and cumulative rate of serum HBsAg loss inpatients aged 1-3 versus 3-13 years (</w:t>
      </w:r>
      <w:r w:rsidR="003E548C">
        <w:rPr>
          <w:rFonts w:ascii="Arial" w:eastAsia="宋体" w:hAnsi="Arial" w:cs="Arial"/>
          <w:sz w:val="24"/>
          <w:szCs w:val="24"/>
        </w:rPr>
        <w:t>b</w:t>
      </w:r>
      <w:r w:rsidRPr="00080007">
        <w:rPr>
          <w:rFonts w:ascii="Arial" w:eastAsia="宋体" w:hAnsi="Arial" w:cs="Arial"/>
          <w:sz w:val="24"/>
          <w:szCs w:val="24"/>
        </w:rPr>
        <w:t>). As shown in (</w:t>
      </w:r>
      <w:r w:rsidR="003E548C">
        <w:rPr>
          <w:rFonts w:ascii="Arial" w:eastAsia="宋体" w:hAnsi="Arial" w:cs="Arial"/>
          <w:sz w:val="24"/>
          <w:szCs w:val="24"/>
        </w:rPr>
        <w:t>a</w:t>
      </w:r>
      <w:r w:rsidRPr="00080007">
        <w:rPr>
          <w:rFonts w:ascii="Arial" w:eastAsia="宋体" w:hAnsi="Arial" w:cs="Arial"/>
          <w:sz w:val="24"/>
          <w:szCs w:val="24"/>
        </w:rPr>
        <w:t>), 11children showed HBsAg loss within 12 months. Six children (P1, P2, P8, P10, P14 and P16) showed HBsAg loss around 6 months from antiviral treatment initiation. In addition, 9 children aged under 3 years were cured (</w:t>
      </w:r>
      <w:r w:rsidR="003E548C">
        <w:rPr>
          <w:rFonts w:ascii="Arial" w:eastAsia="宋体" w:hAnsi="Arial" w:cs="Arial"/>
          <w:sz w:val="24"/>
          <w:szCs w:val="24"/>
        </w:rPr>
        <w:t>b</w:t>
      </w:r>
      <w:r w:rsidRPr="00080007">
        <w:rPr>
          <w:rFonts w:ascii="Arial" w:eastAsia="宋体" w:hAnsi="Arial" w:cs="Arial"/>
          <w:sz w:val="24"/>
          <w:szCs w:val="24"/>
        </w:rPr>
        <w:t>, marked as orange line) and another 9 of the 23 cases aged 3-13 years were also cured (</w:t>
      </w:r>
      <w:r w:rsidR="003E548C">
        <w:rPr>
          <w:rFonts w:ascii="Arial" w:eastAsia="宋体" w:hAnsi="Arial" w:cs="Arial"/>
          <w:sz w:val="24"/>
          <w:szCs w:val="24"/>
        </w:rPr>
        <w:t>b</w:t>
      </w:r>
      <w:r w:rsidRPr="00080007">
        <w:rPr>
          <w:rFonts w:ascii="Arial" w:eastAsia="宋体" w:hAnsi="Arial" w:cs="Arial"/>
          <w:sz w:val="24"/>
          <w:szCs w:val="24"/>
        </w:rPr>
        <w:t>, marked as green line).</w:t>
      </w:r>
    </w:p>
    <w:p w14:paraId="3A2F57FF" w14:textId="77777777" w:rsidR="00080007" w:rsidRPr="00080007" w:rsidRDefault="00080007" w:rsidP="00A13B5C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</w:p>
    <w:p w14:paraId="140E1866" w14:textId="2B45C7D8" w:rsidR="00080007" w:rsidRDefault="00080007">
      <w:pPr>
        <w:widowControl/>
        <w:jc w:val="left"/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  <w:br w:type="page"/>
      </w:r>
    </w:p>
    <w:p w14:paraId="2F106CD5" w14:textId="77777777" w:rsidR="00A13B5C" w:rsidRDefault="00A13B5C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337AE2CE" w14:textId="36442FD6" w:rsidR="009C6240" w:rsidRPr="00080007" w:rsidRDefault="009C6240" w:rsidP="009C6240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  <w:r w:rsidRPr="00080007"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  <w:t>Supplementary Figure 4</w:t>
      </w:r>
    </w:p>
    <w:p w14:paraId="2E004E9A" w14:textId="5D823674" w:rsidR="00A13B5C" w:rsidRDefault="00A13B5C" w:rsidP="00A13B5C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</w:p>
    <w:p w14:paraId="032BCFBB" w14:textId="1482B5F9" w:rsidR="00080007" w:rsidRPr="00080007" w:rsidRDefault="000A4479" w:rsidP="00A13B5C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 w:themeColor="text1"/>
          <w:kern w:val="24"/>
          <w:sz w:val="24"/>
          <w:szCs w:val="24"/>
        </w:rPr>
        <w:drawing>
          <wp:inline distT="0" distB="0" distL="0" distR="0" wp14:anchorId="254429EB" wp14:editId="07851959">
            <wp:extent cx="5489528" cy="1823653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757" cy="1829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AD2276" w14:textId="751A37E2" w:rsidR="00080007" w:rsidRPr="00080007" w:rsidRDefault="00080007" w:rsidP="00080007">
      <w:pPr>
        <w:spacing w:beforeLines="100" w:before="312" w:line="360" w:lineRule="auto"/>
        <w:rPr>
          <w:rFonts w:ascii="Arial" w:eastAsia="宋体" w:hAnsi="Arial" w:cs="Arial"/>
          <w:sz w:val="24"/>
          <w:szCs w:val="24"/>
        </w:rPr>
      </w:pPr>
      <w:r w:rsidRPr="00080007">
        <w:rPr>
          <w:rFonts w:ascii="Arial" w:eastAsia="宋体" w:hAnsi="Arial" w:cs="Arial"/>
          <w:b/>
          <w:bCs/>
          <w:sz w:val="24"/>
          <w:szCs w:val="24"/>
        </w:rPr>
        <w:t xml:space="preserve">Supplementary Fig 4. </w:t>
      </w:r>
      <w:r w:rsidRPr="00080007">
        <w:rPr>
          <w:rFonts w:ascii="Arial" w:eastAsia="宋体" w:hAnsi="Arial" w:cs="Arial"/>
          <w:sz w:val="24"/>
          <w:szCs w:val="24"/>
        </w:rPr>
        <w:t>Baseline levels of liver inflammation grades (</w:t>
      </w:r>
      <w:r w:rsidR="003E548C">
        <w:rPr>
          <w:rFonts w:ascii="Arial" w:eastAsia="宋体" w:hAnsi="Arial" w:cs="Arial"/>
          <w:sz w:val="24"/>
          <w:szCs w:val="24"/>
        </w:rPr>
        <w:t>a</w:t>
      </w:r>
      <w:r w:rsidRPr="00080007">
        <w:rPr>
          <w:rFonts w:ascii="Arial" w:eastAsia="宋体" w:hAnsi="Arial" w:cs="Arial"/>
          <w:sz w:val="24"/>
          <w:szCs w:val="24"/>
        </w:rPr>
        <w:t>) and fibrosis stages (</w:t>
      </w:r>
      <w:r w:rsidR="003E548C">
        <w:rPr>
          <w:rFonts w:ascii="Arial" w:eastAsia="宋体" w:hAnsi="Arial" w:cs="Arial"/>
          <w:sz w:val="24"/>
          <w:szCs w:val="24"/>
        </w:rPr>
        <w:t>b</w:t>
      </w:r>
      <w:r w:rsidRPr="00080007">
        <w:rPr>
          <w:rFonts w:ascii="Arial" w:eastAsia="宋体" w:hAnsi="Arial" w:cs="Arial"/>
          <w:sz w:val="24"/>
          <w:szCs w:val="24"/>
        </w:rPr>
        <w:t>) in the cured and uncured cases (marked as orange and green lines, respectively) of immune tolerant children with CHB.</w:t>
      </w:r>
    </w:p>
    <w:p w14:paraId="7258BCE8" w14:textId="77777777" w:rsidR="00080007" w:rsidRPr="00080007" w:rsidRDefault="00080007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5295F198" w14:textId="7626A9E3" w:rsidR="00080007" w:rsidRDefault="00080007">
      <w:pPr>
        <w:widowControl/>
        <w:jc w:val="left"/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  <w:br w:type="page"/>
      </w:r>
    </w:p>
    <w:p w14:paraId="44506A44" w14:textId="77777777" w:rsidR="00A13B5C" w:rsidRDefault="00A13B5C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0CF5068A" w14:textId="75914FD1" w:rsidR="009C6240" w:rsidRPr="00080007" w:rsidRDefault="009C6240" w:rsidP="009C6240">
      <w:pPr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  <w:r w:rsidRPr="00080007"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  <w:t>Supplementary Figure 5</w:t>
      </w:r>
    </w:p>
    <w:p w14:paraId="195D14D5" w14:textId="63FF626E" w:rsidR="00A13B5C" w:rsidRDefault="009C6240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  <w:r w:rsidRPr="009C6240">
        <w:rPr>
          <w:rFonts w:ascii="Arial" w:hAnsi="Arial" w:cs="Arial"/>
          <w:b/>
          <w:bCs/>
          <w:noProof/>
          <w:color w:val="000000" w:themeColor="text1"/>
          <w:kern w:val="24"/>
          <w:sz w:val="15"/>
          <w:szCs w:val="15"/>
        </w:rPr>
        <w:drawing>
          <wp:inline distT="0" distB="0" distL="0" distR="0" wp14:anchorId="57700B69" wp14:editId="1AEA83A8">
            <wp:extent cx="5274310" cy="1931670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DC0EF7C6-3627-1E5A-4884-D97F355E1C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DC0EF7C6-3627-1E5A-4884-D97F355E1C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92699" w14:textId="09DED749" w:rsidR="00080007" w:rsidRPr="00080007" w:rsidRDefault="00080007" w:rsidP="00080007">
      <w:pPr>
        <w:spacing w:beforeLines="100" w:before="312" w:line="360" w:lineRule="auto"/>
        <w:rPr>
          <w:rFonts w:ascii="Arial" w:hAnsi="Arial" w:cs="Arial"/>
          <w:b/>
          <w:bCs/>
          <w:color w:val="000000" w:themeColor="text1"/>
          <w:kern w:val="24"/>
          <w:sz w:val="24"/>
          <w:szCs w:val="24"/>
        </w:rPr>
      </w:pPr>
      <w:r w:rsidRPr="00080007">
        <w:rPr>
          <w:rFonts w:ascii="Arial" w:eastAsia="宋体" w:hAnsi="Arial" w:cs="Arial"/>
          <w:b/>
          <w:bCs/>
          <w:sz w:val="24"/>
          <w:szCs w:val="24"/>
        </w:rPr>
        <w:t xml:space="preserve">Supplementary Fig 5. </w:t>
      </w:r>
      <w:r w:rsidRPr="00080007">
        <w:rPr>
          <w:rFonts w:ascii="Arial" w:eastAsia="宋体" w:hAnsi="Arial" w:cs="Arial"/>
          <w:sz w:val="24"/>
          <w:szCs w:val="24"/>
        </w:rPr>
        <w:t>Dynamic change in the prevalence of peripheral lymphocytes and neutrophils with age from birth to the adulthood.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080007">
        <w:rPr>
          <w:rFonts w:ascii="Arial" w:eastAsia="宋体" w:hAnsi="Arial" w:cs="Arial"/>
          <w:sz w:val="24"/>
          <w:szCs w:val="24"/>
        </w:rPr>
        <w:t>Neutrophils and lymphocytes account for 60%-65% and 30%-35% of peripheral leukocytes at birth, respectively. Their distribution changes with age and is approximately equal by 4-6 days after birth, which forms the first point of the blood neutrophil and lymphocyte curve. Lymphocytes predominate over neutrophils throughout infancy until</w:t>
      </w:r>
      <w:r w:rsidR="003E548C">
        <w:rPr>
          <w:rFonts w:ascii="Arial" w:eastAsia="宋体" w:hAnsi="Arial" w:cs="Arial"/>
          <w:sz w:val="24"/>
          <w:szCs w:val="24"/>
        </w:rPr>
        <w:t xml:space="preserve"> </w:t>
      </w:r>
      <w:r w:rsidRPr="00080007">
        <w:rPr>
          <w:rFonts w:ascii="Arial" w:eastAsia="宋体" w:hAnsi="Arial" w:cs="Arial"/>
          <w:sz w:val="24"/>
          <w:szCs w:val="24"/>
        </w:rPr>
        <w:t xml:space="preserve">4-6 years of age, when their distribution equalizes again; this forms the second crossing point around 4-6 years of age. After 6 years of age, the prevalence of neutrophils continues to increase and that of lymphocytes gradually decreases to adult levels, with neutrophils around 65% and lymphocytes approximately 30%. </w:t>
      </w:r>
      <w:r w:rsidRPr="00080007">
        <w:rPr>
          <w:rFonts w:ascii="Arial" w:eastAsia="宋体" w:hAnsi="Arial" w:cs="Arial"/>
          <w:i/>
          <w:sz w:val="24"/>
          <w:szCs w:val="24"/>
        </w:rPr>
        <w:t>(Modified from “Zhu Fu-Tang Practical Pediatrics”</w:t>
      </w:r>
      <w:r w:rsidR="002B326A" w:rsidRPr="002B326A">
        <w:rPr>
          <w:rFonts w:ascii="Arial" w:eastAsia="宋体" w:hAnsi="Arial" w:cs="Arial" w:hint="eastAsia"/>
          <w:i/>
          <w:sz w:val="24"/>
          <w:szCs w:val="24"/>
        </w:rPr>
        <w:t xml:space="preserve"> </w:t>
      </w:r>
      <w:r w:rsidR="002B326A">
        <w:rPr>
          <w:rFonts w:ascii="Arial" w:eastAsia="宋体" w:hAnsi="Arial" w:cs="Arial" w:hint="eastAsia"/>
          <w:i/>
          <w:sz w:val="24"/>
          <w:szCs w:val="24"/>
        </w:rPr>
        <w:t>published</w:t>
      </w:r>
      <w:r w:rsidR="002B326A">
        <w:rPr>
          <w:rFonts w:ascii="Arial" w:eastAsia="宋体" w:hAnsi="Arial" w:cs="Arial"/>
          <w:i/>
          <w:sz w:val="24"/>
          <w:szCs w:val="24"/>
        </w:rPr>
        <w:t xml:space="preserve"> </w:t>
      </w:r>
      <w:r w:rsidR="002B326A">
        <w:rPr>
          <w:rFonts w:ascii="Arial" w:eastAsia="宋体" w:hAnsi="Arial" w:cs="Arial" w:hint="eastAsia"/>
          <w:i/>
          <w:sz w:val="24"/>
          <w:szCs w:val="24"/>
        </w:rPr>
        <w:t>in</w:t>
      </w:r>
      <w:r w:rsidR="002B326A">
        <w:rPr>
          <w:rFonts w:ascii="Arial" w:eastAsia="宋体" w:hAnsi="Arial" w:cs="Arial"/>
          <w:i/>
          <w:sz w:val="24"/>
          <w:szCs w:val="24"/>
        </w:rPr>
        <w:t xml:space="preserve"> 2015, C</w:t>
      </w:r>
      <w:r w:rsidR="002B326A">
        <w:rPr>
          <w:rFonts w:ascii="Arial" w:eastAsia="宋体" w:hAnsi="Arial" w:cs="Arial" w:hint="eastAsia"/>
          <w:i/>
          <w:sz w:val="24"/>
          <w:szCs w:val="24"/>
        </w:rPr>
        <w:t>hapter</w:t>
      </w:r>
      <w:r w:rsidR="002B326A">
        <w:rPr>
          <w:rFonts w:ascii="Arial" w:eastAsia="宋体" w:hAnsi="Arial" w:cs="Arial"/>
          <w:i/>
          <w:sz w:val="24"/>
          <w:szCs w:val="24"/>
        </w:rPr>
        <w:t xml:space="preserve"> 28</w:t>
      </w:r>
      <w:r w:rsidR="002B326A">
        <w:rPr>
          <w:rFonts w:ascii="Arial" w:eastAsia="宋体" w:hAnsi="Arial" w:cs="Arial" w:hint="eastAsia"/>
          <w:i/>
          <w:sz w:val="24"/>
          <w:szCs w:val="24"/>
        </w:rPr>
        <w:t>,</w:t>
      </w:r>
      <w:r w:rsidR="002B326A">
        <w:rPr>
          <w:rFonts w:ascii="Arial" w:eastAsia="宋体" w:hAnsi="Arial" w:cs="Arial"/>
          <w:i/>
          <w:sz w:val="24"/>
          <w:szCs w:val="24"/>
        </w:rPr>
        <w:t xml:space="preserve"> </w:t>
      </w:r>
      <w:r w:rsidR="002B326A">
        <w:rPr>
          <w:rFonts w:ascii="Arial" w:eastAsia="宋体" w:hAnsi="Arial" w:cs="Arial" w:hint="eastAsia"/>
          <w:i/>
          <w:sz w:val="24"/>
          <w:szCs w:val="24"/>
        </w:rPr>
        <w:t>page</w:t>
      </w:r>
      <w:r w:rsidR="002B326A">
        <w:rPr>
          <w:rFonts w:ascii="Arial" w:eastAsia="宋体" w:hAnsi="Arial" w:cs="Arial"/>
          <w:i/>
          <w:sz w:val="24"/>
          <w:szCs w:val="24"/>
        </w:rPr>
        <w:t xml:space="preserve"> 1812;</w:t>
      </w:r>
      <w:r w:rsidR="00FC5334">
        <w:rPr>
          <w:rFonts w:ascii="Arial" w:eastAsia="宋体" w:hAnsi="Arial" w:cs="Arial"/>
          <w:i/>
          <w:sz w:val="24"/>
          <w:szCs w:val="24"/>
        </w:rPr>
        <w:t xml:space="preserve"> </w:t>
      </w:r>
      <w:r w:rsidR="002F54A6">
        <w:rPr>
          <w:rFonts w:ascii="Arial" w:eastAsia="宋体" w:hAnsi="Arial" w:cs="Arial" w:hint="eastAsia"/>
          <w:i/>
          <w:sz w:val="24"/>
          <w:szCs w:val="24"/>
        </w:rPr>
        <w:t>and</w:t>
      </w:r>
      <w:r w:rsidR="002B326A" w:rsidRPr="002B326A">
        <w:rPr>
          <w:rFonts w:ascii="Arial" w:eastAsia="宋体" w:hAnsi="Arial" w:cs="Arial"/>
          <w:i/>
          <w:sz w:val="24"/>
          <w:szCs w:val="24"/>
        </w:rPr>
        <w:t xml:space="preserve"> </w:t>
      </w:r>
      <w:r w:rsidR="002B326A" w:rsidRPr="002F54A6">
        <w:rPr>
          <w:rFonts w:ascii="Arial" w:eastAsia="宋体" w:hAnsi="Arial" w:cs="Arial"/>
          <w:i/>
          <w:sz w:val="24"/>
          <w:szCs w:val="24"/>
        </w:rPr>
        <w:t>Chapter 439, page 1605</w:t>
      </w:r>
      <w:r w:rsidR="002B326A">
        <w:rPr>
          <w:rFonts w:ascii="Arial" w:eastAsia="宋体" w:hAnsi="Arial" w:cs="Arial"/>
          <w:i/>
          <w:sz w:val="24"/>
          <w:szCs w:val="24"/>
        </w:rPr>
        <w:t xml:space="preserve">, from </w:t>
      </w:r>
      <w:r w:rsidR="002F54A6" w:rsidRPr="002F54A6">
        <w:rPr>
          <w:rFonts w:ascii="Arial" w:eastAsia="宋体" w:hAnsi="Arial" w:cs="Arial"/>
          <w:i/>
          <w:sz w:val="24"/>
          <w:szCs w:val="24"/>
        </w:rPr>
        <w:t>Nelson Textbook of Pediatrics</w:t>
      </w:r>
      <w:r w:rsidR="002F54A6">
        <w:rPr>
          <w:rFonts w:ascii="Arial" w:eastAsia="宋体" w:hAnsi="Arial" w:cs="Arial"/>
          <w:i/>
          <w:sz w:val="24"/>
          <w:szCs w:val="24"/>
        </w:rPr>
        <w:t xml:space="preserve"> </w:t>
      </w:r>
      <w:r w:rsidR="002F54A6">
        <w:rPr>
          <w:rFonts w:ascii="Arial" w:eastAsia="宋体" w:hAnsi="Arial" w:cs="Arial" w:hint="eastAsia"/>
          <w:i/>
          <w:sz w:val="24"/>
          <w:szCs w:val="24"/>
        </w:rPr>
        <w:t>published</w:t>
      </w:r>
      <w:r w:rsidR="002F54A6">
        <w:rPr>
          <w:rFonts w:ascii="Arial" w:eastAsia="宋体" w:hAnsi="Arial" w:cs="Arial"/>
          <w:i/>
          <w:sz w:val="24"/>
          <w:szCs w:val="24"/>
        </w:rPr>
        <w:t xml:space="preserve"> </w:t>
      </w:r>
      <w:r w:rsidR="002F54A6">
        <w:rPr>
          <w:rFonts w:ascii="Arial" w:eastAsia="宋体" w:hAnsi="Arial" w:cs="Arial" w:hint="eastAsia"/>
          <w:i/>
          <w:sz w:val="24"/>
          <w:szCs w:val="24"/>
        </w:rPr>
        <w:t>in</w:t>
      </w:r>
      <w:r w:rsidR="002F54A6">
        <w:rPr>
          <w:rFonts w:ascii="Arial" w:eastAsia="宋体" w:hAnsi="Arial" w:cs="Arial"/>
          <w:i/>
          <w:sz w:val="24"/>
          <w:szCs w:val="24"/>
        </w:rPr>
        <w:t xml:space="preserve"> 2007</w:t>
      </w:r>
      <w:r w:rsidRPr="00080007">
        <w:rPr>
          <w:rFonts w:ascii="Arial" w:eastAsia="宋体" w:hAnsi="Arial" w:cs="Arial"/>
          <w:i/>
          <w:sz w:val="24"/>
          <w:szCs w:val="24"/>
        </w:rPr>
        <w:t>)</w:t>
      </w:r>
    </w:p>
    <w:p w14:paraId="0F5A792D" w14:textId="77777777" w:rsidR="00080007" w:rsidRPr="002B326A" w:rsidRDefault="00080007" w:rsidP="00080007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29D7A467" w14:textId="77777777" w:rsidR="00A13B5C" w:rsidRPr="00080007" w:rsidRDefault="00A13B5C" w:rsidP="00A13B5C">
      <w:pPr>
        <w:rPr>
          <w:rFonts w:ascii="Arial" w:hAnsi="Arial" w:cs="Arial"/>
          <w:b/>
          <w:bCs/>
          <w:color w:val="000000" w:themeColor="text1"/>
          <w:kern w:val="24"/>
          <w:sz w:val="15"/>
          <w:szCs w:val="15"/>
        </w:rPr>
      </w:pPr>
    </w:p>
    <w:p w14:paraId="4F04D118" w14:textId="77777777" w:rsidR="00C57A5D" w:rsidRDefault="00C57A5D" w:rsidP="00FB0BE5">
      <w:pPr>
        <w:rPr>
          <w:rFonts w:ascii="Arial" w:eastAsia="等线" w:hAnsi="Arial" w:cs="Arial"/>
          <w:b/>
          <w:bCs/>
          <w:color w:val="000000"/>
          <w:kern w:val="24"/>
          <w:szCs w:val="21"/>
        </w:rPr>
      </w:pPr>
    </w:p>
    <w:p w14:paraId="0DAC78EB" w14:textId="77777777" w:rsidR="009C6240" w:rsidRDefault="009C6240" w:rsidP="00C57A5D">
      <w:pPr>
        <w:rPr>
          <w:rFonts w:ascii="Arial" w:eastAsia="等线" w:hAnsi="Arial" w:cs="Arial"/>
          <w:b/>
          <w:bCs/>
          <w:color w:val="000000"/>
          <w:kern w:val="24"/>
          <w:sz w:val="18"/>
          <w:szCs w:val="18"/>
        </w:rPr>
      </w:pPr>
    </w:p>
    <w:p w14:paraId="30D0C664" w14:textId="77777777" w:rsidR="009C6240" w:rsidRDefault="009C6240" w:rsidP="00C57A5D">
      <w:pPr>
        <w:rPr>
          <w:rFonts w:ascii="Arial" w:eastAsia="等线" w:hAnsi="Arial" w:cs="Arial"/>
          <w:b/>
          <w:bCs/>
          <w:color w:val="000000"/>
          <w:kern w:val="24"/>
          <w:sz w:val="18"/>
          <w:szCs w:val="18"/>
        </w:rPr>
      </w:pPr>
    </w:p>
    <w:p w14:paraId="4277109D" w14:textId="77777777" w:rsidR="009C6240" w:rsidRDefault="009C6240" w:rsidP="00C57A5D">
      <w:pPr>
        <w:rPr>
          <w:rFonts w:ascii="Arial" w:eastAsia="等线" w:hAnsi="Arial" w:cs="Arial"/>
          <w:b/>
          <w:bCs/>
          <w:color w:val="000000"/>
          <w:kern w:val="24"/>
          <w:sz w:val="18"/>
          <w:szCs w:val="18"/>
        </w:rPr>
      </w:pPr>
    </w:p>
    <w:p w14:paraId="241453E9" w14:textId="3932CB33" w:rsidR="009C6240" w:rsidRDefault="00080007" w:rsidP="00CF1039">
      <w:pPr>
        <w:widowControl/>
        <w:jc w:val="left"/>
        <w:rPr>
          <w:rFonts w:ascii="Arial" w:eastAsia="等线" w:hAnsi="Arial" w:cs="Arial"/>
          <w:b/>
          <w:bCs/>
          <w:color w:val="000000"/>
          <w:kern w:val="24"/>
          <w:sz w:val="18"/>
          <w:szCs w:val="18"/>
        </w:rPr>
      </w:pPr>
      <w:r>
        <w:rPr>
          <w:rFonts w:ascii="Arial" w:eastAsia="等线" w:hAnsi="Arial" w:cs="Arial"/>
          <w:b/>
          <w:bCs/>
          <w:color w:val="000000"/>
          <w:kern w:val="24"/>
          <w:sz w:val="18"/>
          <w:szCs w:val="18"/>
        </w:rPr>
        <w:br w:type="page"/>
      </w:r>
    </w:p>
    <w:p w14:paraId="290C19DC" w14:textId="29BEE00B" w:rsidR="00961041" w:rsidRPr="00AD1B9E" w:rsidRDefault="00C57A5D" w:rsidP="00AD1B9E">
      <w:pPr>
        <w:adjustRightInd w:val="0"/>
        <w:snapToGrid w:val="0"/>
        <w:rPr>
          <w:rFonts w:ascii="Arial" w:hAnsi="Arial" w:cs="Arial"/>
          <w:b/>
          <w:bCs/>
          <w:sz w:val="24"/>
          <w:szCs w:val="24"/>
        </w:rPr>
      </w:pPr>
      <w:r w:rsidRPr="00AD1B9E">
        <w:rPr>
          <w:rFonts w:ascii="Arial" w:hAnsi="Arial" w:cs="Arial"/>
          <w:b/>
          <w:bCs/>
          <w:sz w:val="24"/>
          <w:szCs w:val="24"/>
        </w:rPr>
        <w:lastRenderedPageBreak/>
        <w:t>Supplementary Table 1</w:t>
      </w:r>
      <w:r w:rsidRPr="00AD1B9E">
        <w:rPr>
          <w:rFonts w:ascii="Arial" w:hAnsi="Arial" w:cs="Arial"/>
          <w:b/>
          <w:bCs/>
          <w:sz w:val="24"/>
          <w:szCs w:val="24"/>
        </w:rPr>
        <w:t>：</w:t>
      </w:r>
      <w:r w:rsidRPr="00AD1B9E">
        <w:rPr>
          <w:rFonts w:ascii="Arial" w:hAnsi="Arial" w:cs="Arial"/>
          <w:b/>
          <w:bCs/>
          <w:sz w:val="24"/>
          <w:szCs w:val="24"/>
        </w:rPr>
        <w:t xml:space="preserve">Baseline data of immune tolerant children with CHB in both cured and uncured cases at the end of 36 month of follow-up visit. </w:t>
      </w:r>
    </w:p>
    <w:p w14:paraId="578E6D03" w14:textId="77777777" w:rsidR="00CF1039" w:rsidRPr="00961041" w:rsidRDefault="00CF1039" w:rsidP="00961041">
      <w:pPr>
        <w:ind w:rightChars="-230" w:right="-483"/>
        <w:rPr>
          <w:rFonts w:ascii="Arial" w:eastAsia="等线" w:hAnsi="Arial" w:cs="Arial"/>
          <w:b/>
          <w:bCs/>
          <w:color w:val="000000"/>
          <w:kern w:val="24"/>
          <w:sz w:val="24"/>
          <w:szCs w:val="24"/>
        </w:rPr>
      </w:pPr>
    </w:p>
    <w:tbl>
      <w:tblPr>
        <w:tblW w:w="6673" w:type="pct"/>
        <w:tblInd w:w="-1003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6"/>
        <w:gridCol w:w="427"/>
        <w:gridCol w:w="427"/>
        <w:gridCol w:w="851"/>
        <w:gridCol w:w="849"/>
        <w:gridCol w:w="851"/>
        <w:gridCol w:w="564"/>
        <w:gridCol w:w="1132"/>
        <w:gridCol w:w="1283"/>
        <w:gridCol w:w="982"/>
        <w:gridCol w:w="851"/>
        <w:gridCol w:w="991"/>
        <w:gridCol w:w="1274"/>
      </w:tblGrid>
      <w:tr w:rsidR="00D44115" w:rsidRPr="00975081" w14:paraId="08B22689" w14:textId="77777777" w:rsidTr="00471E06">
        <w:trPr>
          <w:trHeight w:val="1001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BFE360B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Case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26C385C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sex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BAFEB5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age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CA4510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Transmission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6C85273" w14:textId="1957B389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HBV</w:t>
            </w:r>
            <w:r w:rsidR="00CF10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 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DNA</w:t>
            </w:r>
          </w:p>
          <w:p w14:paraId="5E0FE53C" w14:textId="23FEAFDD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(</w:t>
            </w:r>
            <w:proofErr w:type="gramStart"/>
            <w:r w:rsidR="00471E06">
              <w:rPr>
                <w:rFonts w:ascii="Arial" w:eastAsia="宋体" w:hAnsi="Arial" w:cs="Arial" w:hint="eastAsia"/>
                <w:color w:val="000000"/>
                <w:kern w:val="24"/>
                <w:sz w:val="18"/>
                <w:szCs w:val="18"/>
              </w:rPr>
              <w:t>l</w:t>
            </w:r>
            <w:r w:rsidR="00471E06"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og</w:t>
            </w:r>
            <w:proofErr w:type="gram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 IU/mL)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DA185F" w14:textId="663845EA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da-DK"/>
              </w:rPr>
              <w:t>HBsAg</w:t>
            </w:r>
          </w:p>
          <w:p w14:paraId="23E5CBBB" w14:textId="7CAD7F6F" w:rsidR="00975081" w:rsidRPr="00975081" w:rsidRDefault="00D44115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da-DK"/>
              </w:rPr>
              <w:t>(</w:t>
            </w:r>
            <w:r w:rsidR="00975081"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da-DK"/>
              </w:rPr>
              <w:t>log IU/mL)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1C588E5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ALT</w:t>
            </w:r>
          </w:p>
          <w:p w14:paraId="5221895D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(IU/L)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9F9C42" w14:textId="0A8806FA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Liver inflammation grades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53A8A42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Antiviral regimens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1D6F09A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HBsAg loss time-point</w:t>
            </w:r>
          </w:p>
          <w:p w14:paraId="7DD909A0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(months)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A533C7C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Anti-HBs time-point</w:t>
            </w:r>
          </w:p>
          <w:p w14:paraId="3644102D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(months)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2D71DA" w14:textId="419C33F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IFN therapy duration </w:t>
            </w:r>
            <w:r w:rsidRPr="00CF10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(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months</w:t>
            </w:r>
            <w:r w:rsidRPr="00CF1039">
              <w:rPr>
                <w:rFonts w:ascii="Arial" w:eastAsia="宋体" w:hAnsi="Arial" w:cs="Arial" w:hint="eastAsia"/>
                <w:color w:val="000000"/>
                <w:kern w:val="24"/>
                <w:sz w:val="18"/>
                <w:szCs w:val="18"/>
              </w:rPr>
              <w:t>)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6759A6E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NAs Tx from beginning to stop (months)</w:t>
            </w:r>
          </w:p>
        </w:tc>
      </w:tr>
      <w:tr w:rsidR="00CF1039" w:rsidRPr="00975081" w14:paraId="19A49E61" w14:textId="77777777" w:rsidTr="00D44115">
        <w:trPr>
          <w:trHeight w:val="436"/>
        </w:trPr>
        <w:tc>
          <w:tcPr>
            <w:tcW w:w="5000" w:type="pct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7D0E91" w14:textId="77777777" w:rsidR="00975081" w:rsidRPr="00975081" w:rsidRDefault="00975081" w:rsidP="00975081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 Cured cases</w:t>
            </w:r>
          </w:p>
        </w:tc>
      </w:tr>
      <w:tr w:rsidR="00D44115" w:rsidRPr="00975081" w14:paraId="6A08D3AD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5CB09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EEE03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1CEF55" w14:textId="48CD353D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  <w:r w:rsidR="006411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.0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1656B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086A5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7.26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E5561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3.92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B2578B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93F63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58921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EA33F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5D90F0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2280A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AE128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1 - 25</w:t>
            </w:r>
          </w:p>
        </w:tc>
      </w:tr>
      <w:tr w:rsidR="00D44115" w:rsidRPr="00975081" w14:paraId="55C03628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FAD748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5B5ED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852403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1.1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675426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8283B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7.84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04438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4.11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9F342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41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9FEEF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A05CA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0FD02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3B165A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7965AD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27BE6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2C1215AF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EA73F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P3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26FF05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6363F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FEBCF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A43F7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9.16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22F1F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4.89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A8C29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46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3D96A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C9B02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677360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60D2C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34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822DF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C2B817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2035DE82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CD6AC9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P4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A925A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15717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1.3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AEFC9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1CC0D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7.77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D1FA4D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3.94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04B68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38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DB701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68501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D64AF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07BFA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511BA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C9F8EC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210D1662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DA5F61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P5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DFD56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009ED7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1.6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E6BD9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A05781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9.38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DD09C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5.19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CE22E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41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F1E473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A0065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210CC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BF3225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78BEA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376AE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1 - 33</w:t>
            </w:r>
          </w:p>
        </w:tc>
      </w:tr>
      <w:tr w:rsidR="00D44115" w:rsidRPr="00975081" w14:paraId="3D12E2D6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2067C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P6</w:t>
            </w:r>
            <w:r w:rsidRPr="00975081">
              <w:rPr>
                <w:rFonts w:ascii="Arial" w:eastAsia="微软雅黑" w:hAnsi="Arial" w:cs="Arial"/>
                <w:color w:val="000000"/>
                <w:kern w:val="24"/>
                <w:position w:val="8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38E26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5359D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AAA30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3D7BF2" w14:textId="4628DEB9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</w:t>
            </w:r>
            <w:r w:rsidR="006411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C8A71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3.53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BE11D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44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BEDAD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DE487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8DE4D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590617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F82B3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19F733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1 - 27</w:t>
            </w:r>
          </w:p>
        </w:tc>
      </w:tr>
      <w:tr w:rsidR="00D44115" w:rsidRPr="00975081" w14:paraId="4B37728D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9502E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P7</w:t>
            </w:r>
            <w:r w:rsidRPr="00975081">
              <w:rPr>
                <w:rFonts w:ascii="Arial" w:eastAsia="微软雅黑" w:hAnsi="Arial" w:cs="Arial"/>
                <w:color w:val="000000"/>
                <w:kern w:val="24"/>
                <w:position w:val="8"/>
                <w:sz w:val="18"/>
                <w:szCs w:val="18"/>
                <w:vertAlign w:val="superscript"/>
              </w:rPr>
              <w:t>#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9C7B7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390BC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86783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BE870F" w14:textId="49E7BDCE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</w:t>
            </w:r>
            <w:r w:rsidR="006411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50235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4.69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679E3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44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2E4C6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F35B9F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B2B7179" w14:textId="77777777" w:rsidR="00975081" w:rsidRPr="00975081" w:rsidRDefault="00975081" w:rsidP="00975081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AD12C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B59A9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FF8148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7-30</w:t>
            </w:r>
          </w:p>
        </w:tc>
      </w:tr>
      <w:tr w:rsidR="00D44115" w:rsidRPr="00975081" w14:paraId="7F0D80EC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32755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P8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FCBAC6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3A278B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2.7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FDB0E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178CFD5" w14:textId="7C1D1E3D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</w:t>
            </w:r>
            <w:r w:rsidR="006411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C9FB8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3.04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C2C85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53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8BFC0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509D9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0BB80A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436C3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9C089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0398E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2B7041A2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17E7F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P9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42B409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5A4B8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2.8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10765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991B4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7.47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B8890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4.7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6D8C4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45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ABB5F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6FCE4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449004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F9DCF5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27DAA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7FC0C4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1CF901AC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92BA0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P10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F7274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ABE53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84DE1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04A2A3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8.45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419F5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5.07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8A00D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4F92E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4C3440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152BB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3ADDC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9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59F98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15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8C65D5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0193EB56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7C1D62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P11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240CE7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3D653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D612C2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E89D7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7.61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EDDB1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F9BFD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56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4087F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6AC32A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71FB4B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64A2F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21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DCD2A2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D647F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6F9B72FE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B7E77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P12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383E1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CB2C69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7A7DD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39981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8.45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8B6F4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4.22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3821D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768D3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156B7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C7F22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A1477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11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405C4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17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20EFC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1 - 29</w:t>
            </w:r>
          </w:p>
        </w:tc>
      </w:tr>
      <w:tr w:rsidR="00D44115" w:rsidRPr="00975081" w14:paraId="3BACCA16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9761F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P13*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96764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A44866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E57DD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19086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7.57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634D5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4.41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9A4C1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64AC4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232B91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F2E31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FEFDB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F5821D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16C5B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7 - 36</w:t>
            </w:r>
          </w:p>
        </w:tc>
      </w:tr>
      <w:tr w:rsidR="00D44115" w:rsidRPr="00975081" w14:paraId="66DBF947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D1937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P14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12540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2D913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3.8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29BA2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D6968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8.53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5A5DC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4.46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CCDB9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57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0FDA3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340F1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345A7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7EA6F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19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ED7827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B4959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1 - 25</w:t>
            </w:r>
          </w:p>
        </w:tc>
      </w:tr>
      <w:tr w:rsidR="00D44115" w:rsidRPr="00975081" w14:paraId="447B2B63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FF70BC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P15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8CD71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23A35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3DCCE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EA3EF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7.43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17D5D8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3.64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7A8DF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A508D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51A86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B55D9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D4473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4BCEF6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394E3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1 - 30</w:t>
            </w:r>
          </w:p>
        </w:tc>
      </w:tr>
      <w:tr w:rsidR="00D44115" w:rsidRPr="00975081" w14:paraId="4470381B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3C5BC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P16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99502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A411B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5.6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F47E8B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4B711B7" w14:textId="041E0319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7.7</w:t>
            </w:r>
            <w:r w:rsidR="006411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E2F688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4.69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C9F51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34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CC120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8DB6F0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3E4D8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304D6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15D50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99AC3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1 - 26</w:t>
            </w:r>
          </w:p>
        </w:tc>
      </w:tr>
      <w:tr w:rsidR="00D44115" w:rsidRPr="00975081" w14:paraId="1E769247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254F4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P17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5E5C9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12B68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5.8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F0BF7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EF20F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8.49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CF5AB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4.78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D751C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6832F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7778C4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4EB27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20DA7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32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68F3C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36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5CBAC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7B0F65F1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D67EC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P18</w:t>
            </w:r>
            <w:r w:rsidRPr="00975081">
              <w:rPr>
                <w:rFonts w:ascii="Arial" w:eastAsia="微软雅黑" w:hAnsi="Arial" w:cs="Arial"/>
                <w:color w:val="000000"/>
                <w:kern w:val="24"/>
                <w:position w:val="8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0CAF2C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4D0D5F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6.4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AAD79D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27F26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7.65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8BA70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4.53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F9354D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2A96C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E6D52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8C7EC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8E78B6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10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DCC23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16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113AE3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1 - 28</w:t>
            </w:r>
          </w:p>
        </w:tc>
      </w:tr>
      <w:tr w:rsidR="00CF1039" w:rsidRPr="00975081" w14:paraId="1F8BE18D" w14:textId="77777777" w:rsidTr="00D44115">
        <w:trPr>
          <w:trHeight w:val="422"/>
        </w:trPr>
        <w:tc>
          <w:tcPr>
            <w:tcW w:w="5000" w:type="pct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C6D952" w14:textId="77777777" w:rsidR="00975081" w:rsidRPr="00975081" w:rsidRDefault="00975081" w:rsidP="00975081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 Uncured cases</w:t>
            </w:r>
          </w:p>
        </w:tc>
      </w:tr>
      <w:tr w:rsidR="00D44115" w:rsidRPr="00975081" w14:paraId="0462CEB7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58B1F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P19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B139F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09604B" w14:textId="02CBF93F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</w:t>
            </w:r>
            <w:r w:rsidR="00641139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.0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BFF37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CDEE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8.63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2EF06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5.24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C9354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26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0E7FF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4F50F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E0E1E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4819A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0D5D0F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B7DB40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6D907F52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0F94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P20*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8703F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B0BE6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863A4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77B2F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8.41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1914B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4.84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3C23F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37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3CAE1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F0AA9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7CE0A3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6B07B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14F877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8CAB32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7- 36</w:t>
            </w:r>
          </w:p>
        </w:tc>
      </w:tr>
      <w:tr w:rsidR="00D44115" w:rsidRPr="00975081" w14:paraId="468E9B15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15BA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P21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D71BD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53199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086DB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6625D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8.82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604C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B1B70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42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69F7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E08CF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Peg-IFN-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a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58CDFC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71E5C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87FEBF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44B2DC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等线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</w:tr>
      <w:tr w:rsidR="00D44115" w:rsidRPr="00975081" w14:paraId="40471276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E0437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P22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88964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F9F32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F2762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AAFB6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9.06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7C4ED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5.35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E9F24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FFD1E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545E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1F8138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11DCA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4A34B5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4AEE9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76EEA048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9C0F6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P23*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08011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1FAAC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E843A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792F7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8.00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1DFBF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4.64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57D42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54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72901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0EBDD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A95A1C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6BD30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C039E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73AE33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7- 36</w:t>
            </w:r>
          </w:p>
        </w:tc>
      </w:tr>
      <w:tr w:rsidR="00D44115" w:rsidRPr="00975081" w14:paraId="113D28C0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7EE7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P24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D4B62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BFAD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3.7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B2BE5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3C8D8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8.00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0D8AC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5.03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91799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F351E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99EB0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DB2D4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C65220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6946C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08CA13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1- 36</w:t>
            </w:r>
          </w:p>
        </w:tc>
      </w:tr>
      <w:tr w:rsidR="00D44115" w:rsidRPr="00975081" w14:paraId="65EB8CB2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510C2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P25*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4C8CD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C4B97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3.9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0B4F5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EF78E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9.20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FED81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4.85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B5BD5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53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2D35D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76D89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等线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等线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proofErr w:type="spellStart"/>
            <w:r w:rsidRPr="00975081">
              <w:rPr>
                <w:rFonts w:ascii="Arial" w:eastAsia="等线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55FD2C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25DF6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F94F35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6092C5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7- 36</w:t>
            </w:r>
          </w:p>
        </w:tc>
      </w:tr>
      <w:tr w:rsidR="00D44115" w:rsidRPr="00975081" w14:paraId="024E520B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816FB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P26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A6A9C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CBEDE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4.9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7313C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CBB1F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7.00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76E1F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4.33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C7920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49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39F374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0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3D8BF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2F9955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11A55D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5B7AE9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870EC4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4F81165A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AE258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P27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E1472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72FDE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5.5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462BB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CCA6E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7.74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AE4D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3.73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99396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39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3B506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8927B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C4465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CBEC7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3BA883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BC7929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144CAEB4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43494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P28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5FB0D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1005D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6.2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BCEBE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occult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B4201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9.05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3F09C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4.64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6652A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26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7DE88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4F23D1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α-1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1DE46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D0880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FF665C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06ADF7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285740CD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D6FE4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P29*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E640F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57F72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7.9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B1C42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BEC0F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7.75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FEAC4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4.52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24487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43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FC857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994C0C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07411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58522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53F98E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99AB8E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7- 36</w:t>
            </w:r>
          </w:p>
        </w:tc>
      </w:tr>
      <w:tr w:rsidR="00D44115" w:rsidRPr="00975081" w14:paraId="21B1A566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5DC6A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lastRenderedPageBreak/>
              <w:t>P30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99ACE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8B36B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8.9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BFF788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87F47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8.78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B9A3A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C879F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30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FBBDF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B3804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b+LAM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A4CEBA7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F9208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63054F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CF8F19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D44115" w:rsidRPr="00975081" w14:paraId="2BEDF729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23027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P31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2147FF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F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D3DC26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10.2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B187D3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微软雅黑" w:hAnsi="Arial" w:cs="Arial"/>
                <w:color w:val="000000"/>
                <w:kern w:val="24"/>
                <w:sz w:val="18"/>
                <w:szCs w:val="18"/>
              </w:rPr>
              <w:t>occult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B4AAC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7.97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786C0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none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C96F62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42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C2D159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0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E63FDD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</w:t>
            </w: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  <w:lang w:val="el-GR"/>
              </w:rPr>
              <w:t>α-2</w:t>
            </w:r>
            <w:proofErr w:type="spellStart"/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b+ETV</w:t>
            </w:r>
            <w:proofErr w:type="spellEnd"/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2CD6EE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3E338A" w14:textId="77777777" w:rsidR="00975081" w:rsidRPr="00975081" w:rsidRDefault="00975081" w:rsidP="00975081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4C0F20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ECF7DE" w14:textId="77777777" w:rsidR="00975081" w:rsidRPr="00975081" w:rsidRDefault="00975081" w:rsidP="00975081">
            <w:pPr>
              <w:widowControl/>
              <w:jc w:val="center"/>
              <w:textAlignment w:val="top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975081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  <w:tr w:rsidR="00471E06" w:rsidRPr="00471E06" w14:paraId="48C35588" w14:textId="77777777" w:rsidTr="00471E06">
        <w:trPr>
          <w:trHeight w:hRule="exact" w:val="369"/>
        </w:trPr>
        <w:tc>
          <w:tcPr>
            <w:tcW w:w="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EC0EF0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P32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05D378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M</w:t>
            </w:r>
          </w:p>
        </w:tc>
        <w:tc>
          <w:tcPr>
            <w:tcW w:w="1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8E8AF8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12.9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7626E9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 w:hint="eastAsia"/>
                <w:color w:val="000000"/>
                <w:kern w:val="24"/>
                <w:sz w:val="18"/>
                <w:szCs w:val="18"/>
              </w:rPr>
              <w:t>vertical</w:t>
            </w:r>
          </w:p>
        </w:tc>
        <w:tc>
          <w:tcPr>
            <w:tcW w:w="3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BF71D0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7.00 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7E291B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 xml:space="preserve">3.75 </w:t>
            </w:r>
          </w:p>
        </w:tc>
        <w:tc>
          <w:tcPr>
            <w:tcW w:w="2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BC40E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46</w:t>
            </w:r>
          </w:p>
        </w:tc>
        <w:tc>
          <w:tcPr>
            <w:tcW w:w="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9D1F5C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5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C8D0D4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IFN-α-1b+LAM</w:t>
            </w:r>
          </w:p>
        </w:tc>
        <w:tc>
          <w:tcPr>
            <w:tcW w:w="4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004EFF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E381BF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-</w:t>
            </w:r>
          </w:p>
        </w:tc>
        <w:tc>
          <w:tcPr>
            <w:tcW w:w="4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F578EA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24</w:t>
            </w:r>
          </w:p>
        </w:tc>
        <w:tc>
          <w:tcPr>
            <w:tcW w:w="5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2CA504" w14:textId="77777777" w:rsidR="00471E06" w:rsidRPr="00471E06" w:rsidRDefault="00471E06" w:rsidP="00471E06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</w:pPr>
            <w:r w:rsidRPr="00471E06">
              <w:rPr>
                <w:rFonts w:ascii="Arial" w:eastAsia="宋体" w:hAnsi="Arial" w:cs="Arial"/>
                <w:color w:val="000000"/>
                <w:kern w:val="24"/>
                <w:sz w:val="18"/>
                <w:szCs w:val="18"/>
              </w:rPr>
              <w:t>1 - 36</w:t>
            </w:r>
          </w:p>
        </w:tc>
      </w:tr>
    </w:tbl>
    <w:p w14:paraId="19F022D3" w14:textId="6F34ABA8" w:rsidR="00080007" w:rsidRPr="00C57A5D" w:rsidRDefault="00080007" w:rsidP="00FB0BE5">
      <w:pPr>
        <w:rPr>
          <w:sz w:val="15"/>
          <w:szCs w:val="15"/>
        </w:rPr>
      </w:pPr>
    </w:p>
    <w:p w14:paraId="163FCA3B" w14:textId="77777777" w:rsidR="00961041" w:rsidRDefault="00E20BBA" w:rsidP="00F4471A">
      <w:pPr>
        <w:ind w:leftChars="-337" w:left="-708" w:rightChars="-500" w:right="-1050"/>
        <w:jc w:val="left"/>
        <w:rPr>
          <w:rFonts w:ascii="Arial" w:hAnsi="Arial" w:cs="Arial"/>
          <w:szCs w:val="21"/>
        </w:rPr>
      </w:pPr>
      <w:r w:rsidRPr="00BF6059">
        <w:rPr>
          <w:rFonts w:ascii="Arial" w:hAnsi="Arial" w:cs="Arial"/>
          <w:szCs w:val="21"/>
        </w:rPr>
        <w:t>IFN-</w:t>
      </w:r>
      <w:r w:rsidRPr="00BF6059">
        <w:rPr>
          <w:rFonts w:ascii="Arial" w:hAnsi="Arial" w:cs="Arial"/>
          <w:szCs w:val="21"/>
          <w:lang w:val="el-GR"/>
        </w:rPr>
        <w:t>α-2</w:t>
      </w:r>
      <w:r w:rsidRPr="00BF6059">
        <w:rPr>
          <w:rFonts w:ascii="Arial" w:hAnsi="Arial" w:cs="Arial"/>
          <w:szCs w:val="21"/>
        </w:rPr>
        <w:t xml:space="preserve">b (Schering-Plough, </w:t>
      </w:r>
      <w:proofErr w:type="spellStart"/>
      <w:r w:rsidRPr="00BF6059">
        <w:rPr>
          <w:rFonts w:ascii="Arial" w:hAnsi="Arial" w:cs="Arial"/>
          <w:szCs w:val="21"/>
        </w:rPr>
        <w:t>Innishannon</w:t>
      </w:r>
      <w:proofErr w:type="spellEnd"/>
      <w:r w:rsidRPr="00BF6059">
        <w:rPr>
          <w:rFonts w:ascii="Arial" w:hAnsi="Arial" w:cs="Arial"/>
          <w:szCs w:val="21"/>
        </w:rPr>
        <w:t xml:space="preserve"> County Cork, Ireland);</w:t>
      </w:r>
      <w:r w:rsidRPr="00BF6059">
        <w:rPr>
          <w:rFonts w:ascii="Arial" w:hAnsi="Arial" w:cs="Arial"/>
          <w:szCs w:val="21"/>
          <w:vertAlign w:val="superscript"/>
        </w:rPr>
        <w:t xml:space="preserve"> </w:t>
      </w:r>
      <w:r w:rsidRPr="00BF6059">
        <w:rPr>
          <w:rFonts w:ascii="Arial" w:hAnsi="Arial" w:cs="Arial"/>
          <w:szCs w:val="21"/>
        </w:rPr>
        <w:t>IFN-</w:t>
      </w:r>
      <w:r w:rsidRPr="00BF6059">
        <w:rPr>
          <w:rFonts w:ascii="Arial" w:hAnsi="Arial" w:cs="Arial"/>
          <w:szCs w:val="21"/>
          <w:lang w:val="el-GR"/>
        </w:rPr>
        <w:t>α-1</w:t>
      </w:r>
      <w:r w:rsidRPr="00BF6059">
        <w:rPr>
          <w:rFonts w:ascii="Arial" w:hAnsi="Arial" w:cs="Arial"/>
          <w:szCs w:val="21"/>
        </w:rPr>
        <w:t>b (</w:t>
      </w:r>
      <w:proofErr w:type="spellStart"/>
      <w:r w:rsidRPr="00BF6059">
        <w:rPr>
          <w:rFonts w:ascii="Arial" w:hAnsi="Arial" w:cs="Arial"/>
          <w:szCs w:val="21"/>
        </w:rPr>
        <w:t>Kexing</w:t>
      </w:r>
      <w:proofErr w:type="spellEnd"/>
      <w:r w:rsidRPr="00BF6059">
        <w:rPr>
          <w:rFonts w:ascii="Arial" w:hAnsi="Arial" w:cs="Arial"/>
          <w:szCs w:val="21"/>
        </w:rPr>
        <w:t xml:space="preserve">, Shenzhen, China), </w:t>
      </w:r>
    </w:p>
    <w:p w14:paraId="04B6C3D1" w14:textId="2CF99F51" w:rsidR="00F4471A" w:rsidRDefault="00E20BBA" w:rsidP="00F4471A">
      <w:pPr>
        <w:ind w:leftChars="-337" w:left="-708" w:rightChars="-500" w:right="-1050"/>
        <w:jc w:val="left"/>
        <w:rPr>
          <w:rFonts w:ascii="Arial" w:hAnsi="Arial" w:cs="Arial"/>
          <w:szCs w:val="21"/>
        </w:rPr>
      </w:pPr>
      <w:r w:rsidRPr="00BF6059">
        <w:rPr>
          <w:rFonts w:ascii="Arial" w:hAnsi="Arial" w:cs="Arial"/>
          <w:szCs w:val="21"/>
        </w:rPr>
        <w:t>Peg-IFN-</w:t>
      </w:r>
      <w:r w:rsidRPr="00BF6059">
        <w:rPr>
          <w:rFonts w:ascii="Arial" w:hAnsi="Arial" w:cs="Arial"/>
          <w:szCs w:val="21"/>
          <w:lang w:val="el-GR"/>
        </w:rPr>
        <w:t>α-2</w:t>
      </w:r>
      <w:r w:rsidRPr="00BF6059">
        <w:rPr>
          <w:rFonts w:ascii="Arial" w:hAnsi="Arial" w:cs="Arial"/>
          <w:szCs w:val="21"/>
        </w:rPr>
        <w:t xml:space="preserve">a (Roche Pharma, Basel, Schweiz), recommended course of treatment was 12 months. </w:t>
      </w:r>
      <w:r w:rsidRPr="00BF6059">
        <w:rPr>
          <w:rFonts w:ascii="Arial" w:hAnsi="Arial" w:cs="Arial"/>
          <w:szCs w:val="21"/>
          <w:vertAlign w:val="superscript"/>
        </w:rPr>
        <w:t xml:space="preserve"># </w:t>
      </w:r>
      <w:r w:rsidRPr="00BF6059">
        <w:rPr>
          <w:rFonts w:ascii="Arial" w:hAnsi="Arial" w:cs="Arial"/>
          <w:szCs w:val="21"/>
        </w:rPr>
        <w:t>P6, P7 and P18 cases received three doses of HBV vaccination; * P7, P13, P20, P23, P25 and P29 cases received IFN-</w:t>
      </w:r>
      <w:r w:rsidRPr="00BF6059">
        <w:rPr>
          <w:rFonts w:ascii="Arial" w:hAnsi="Arial" w:cs="Arial"/>
          <w:szCs w:val="21"/>
          <w:lang w:val="el-GR"/>
        </w:rPr>
        <w:t xml:space="preserve">α </w:t>
      </w:r>
      <w:r w:rsidRPr="00BF6059">
        <w:rPr>
          <w:rFonts w:ascii="Arial" w:hAnsi="Arial" w:cs="Arial"/>
          <w:szCs w:val="21"/>
        </w:rPr>
        <w:t>add on NAs</w:t>
      </w:r>
      <w:r w:rsidRPr="00BF6059">
        <w:rPr>
          <w:rFonts w:ascii="Arial" w:hAnsi="Arial" w:cs="Arial"/>
          <w:szCs w:val="21"/>
          <w:vertAlign w:val="superscript"/>
        </w:rPr>
        <w:t xml:space="preserve"> </w:t>
      </w:r>
      <w:r w:rsidRPr="00BF6059">
        <w:rPr>
          <w:rFonts w:ascii="Arial" w:hAnsi="Arial" w:cs="Arial"/>
          <w:szCs w:val="21"/>
        </w:rPr>
        <w:t>therapy since the seven</w:t>
      </w:r>
      <w:r w:rsidR="00BF6059">
        <w:rPr>
          <w:rFonts w:ascii="Arial" w:hAnsi="Arial" w:cs="Arial"/>
          <w:szCs w:val="21"/>
        </w:rPr>
        <w:t>th</w:t>
      </w:r>
      <w:r w:rsidRPr="00BF6059">
        <w:rPr>
          <w:rFonts w:ascii="Arial" w:hAnsi="Arial" w:cs="Arial"/>
          <w:szCs w:val="21"/>
        </w:rPr>
        <w:t xml:space="preserve"> month of this study.</w:t>
      </w:r>
    </w:p>
    <w:p w14:paraId="7F699043" w14:textId="6059AD91" w:rsidR="00AD1B9E" w:rsidRPr="00F4471A" w:rsidRDefault="00F4471A" w:rsidP="00F4471A">
      <w:pPr>
        <w:widowControl/>
        <w:ind w:leftChars="-337" w:left="-708" w:firstLineChars="337" w:firstLine="708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4BF4BC00" w14:textId="4C2194E4" w:rsidR="00E20BBA" w:rsidRDefault="00E20BBA" w:rsidP="00BF6059">
      <w:pPr>
        <w:adjustRightInd w:val="0"/>
        <w:snapToGrid w:val="0"/>
        <w:rPr>
          <w:rFonts w:ascii="Arial" w:hAnsi="Arial" w:cs="Arial"/>
          <w:b/>
          <w:bCs/>
          <w:sz w:val="24"/>
          <w:szCs w:val="24"/>
        </w:rPr>
      </w:pPr>
      <w:r w:rsidRPr="00080007">
        <w:rPr>
          <w:rFonts w:ascii="Arial" w:hAnsi="Arial" w:cs="Arial"/>
          <w:b/>
          <w:bCs/>
          <w:sz w:val="24"/>
          <w:szCs w:val="24"/>
        </w:rPr>
        <w:lastRenderedPageBreak/>
        <w:t>Supplementary Table 2</w:t>
      </w:r>
      <w:r w:rsidRPr="00080007">
        <w:rPr>
          <w:rFonts w:ascii="Arial" w:hAnsi="Arial" w:cs="Arial"/>
          <w:b/>
          <w:bCs/>
          <w:sz w:val="24"/>
          <w:szCs w:val="24"/>
        </w:rPr>
        <w:t>：</w:t>
      </w:r>
      <w:r w:rsidRPr="00080007">
        <w:rPr>
          <w:rFonts w:ascii="Arial" w:hAnsi="Arial" w:cs="Arial"/>
          <w:b/>
          <w:bCs/>
          <w:sz w:val="24"/>
          <w:szCs w:val="24"/>
        </w:rPr>
        <w:t xml:space="preserve">COX regression analysis of independent influencing factors of HBsAg loss in immune tolerant children with CHB. </w:t>
      </w:r>
    </w:p>
    <w:p w14:paraId="3F59C00D" w14:textId="77777777" w:rsidR="00BF6059" w:rsidRPr="00161B9D" w:rsidRDefault="00BF6059" w:rsidP="00BF6059">
      <w:pPr>
        <w:adjustRightInd w:val="0"/>
        <w:snapToGrid w:val="0"/>
        <w:rPr>
          <w:rFonts w:ascii="Arial" w:hAnsi="Arial" w:cs="Arial"/>
          <w:sz w:val="24"/>
          <w:szCs w:val="24"/>
        </w:rPr>
      </w:pPr>
    </w:p>
    <w:tbl>
      <w:tblPr>
        <w:tblW w:w="6571" w:type="pct"/>
        <w:tblInd w:w="-99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35"/>
        <w:gridCol w:w="2271"/>
        <w:gridCol w:w="1985"/>
        <w:gridCol w:w="851"/>
        <w:gridCol w:w="286"/>
        <w:gridCol w:w="1843"/>
        <w:gridCol w:w="845"/>
      </w:tblGrid>
      <w:tr w:rsidR="00641139" w:rsidRPr="00161B9D" w14:paraId="2F1FAF2C" w14:textId="77777777" w:rsidTr="00161B9D">
        <w:trPr>
          <w:trHeight w:hRule="exact" w:val="369"/>
        </w:trPr>
        <w:tc>
          <w:tcPr>
            <w:tcW w:w="1299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21D9C3CA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微软雅黑" w:hAnsi="Arial" w:cs="Arial"/>
                <w:b/>
                <w:bCs/>
                <w:color w:val="000000"/>
                <w:kern w:val="24"/>
                <w:sz w:val="13"/>
                <w:szCs w:val="13"/>
              </w:rPr>
              <w:t>Parameters</w:t>
            </w:r>
          </w:p>
        </w:tc>
        <w:tc>
          <w:tcPr>
            <w:tcW w:w="1040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38E763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color w:val="000000"/>
                <w:kern w:val="24"/>
                <w:sz w:val="13"/>
                <w:szCs w:val="13"/>
              </w:rPr>
              <w:t>Overall</w:t>
            </w:r>
          </w:p>
        </w:tc>
        <w:tc>
          <w:tcPr>
            <w:tcW w:w="1299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341193FD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color w:val="000000"/>
                <w:kern w:val="24"/>
                <w:sz w:val="13"/>
                <w:szCs w:val="13"/>
              </w:rPr>
              <w:t>Univariate analysis</w:t>
            </w:r>
          </w:p>
        </w:tc>
        <w:tc>
          <w:tcPr>
            <w:tcW w:w="13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21670E4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231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099B8A92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color w:val="000000"/>
                <w:kern w:val="24"/>
                <w:sz w:val="13"/>
                <w:szCs w:val="13"/>
              </w:rPr>
              <w:t>Multivariate analysis</w:t>
            </w:r>
          </w:p>
        </w:tc>
      </w:tr>
      <w:tr w:rsidR="00641139" w:rsidRPr="00161B9D" w14:paraId="37B6383C" w14:textId="77777777" w:rsidTr="00161B9D">
        <w:trPr>
          <w:trHeight w:hRule="exact" w:val="369"/>
        </w:trPr>
        <w:tc>
          <w:tcPr>
            <w:tcW w:w="1299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90044C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040" w:type="pct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01C53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9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63F83861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24"/>
                <w:sz w:val="13"/>
                <w:szCs w:val="13"/>
              </w:rPr>
              <w:t>HR (95% CI)</w:t>
            </w:r>
          </w:p>
        </w:tc>
        <w:tc>
          <w:tcPr>
            <w:tcW w:w="39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4497DA2C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24"/>
                <w:sz w:val="13"/>
                <w:szCs w:val="13"/>
              </w:rPr>
              <w:t>p Value</w:t>
            </w:r>
          </w:p>
        </w:tc>
        <w:tc>
          <w:tcPr>
            <w:tcW w:w="1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1099AA45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7225DC33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24"/>
                <w:sz w:val="13"/>
                <w:szCs w:val="13"/>
              </w:rPr>
              <w:t>HR (95% CI)</w:t>
            </w:r>
          </w:p>
        </w:tc>
        <w:tc>
          <w:tcPr>
            <w:tcW w:w="3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317D8724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24"/>
                <w:sz w:val="13"/>
                <w:szCs w:val="13"/>
              </w:rPr>
              <w:t>p Value</w:t>
            </w:r>
          </w:p>
        </w:tc>
      </w:tr>
      <w:tr w:rsidR="00641139" w:rsidRPr="00161B9D" w14:paraId="781F90DF" w14:textId="77777777" w:rsidTr="00161B9D">
        <w:trPr>
          <w:trHeight w:hRule="exact" w:val="312"/>
        </w:trPr>
        <w:tc>
          <w:tcPr>
            <w:tcW w:w="12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4982C90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N</w:t>
            </w:r>
          </w:p>
        </w:tc>
        <w:tc>
          <w:tcPr>
            <w:tcW w:w="10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3CF27731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32</w:t>
            </w:r>
          </w:p>
        </w:tc>
        <w:tc>
          <w:tcPr>
            <w:tcW w:w="9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3CD35556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127DA97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79DB49A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6CA50BB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12C058E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37F99A59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E05BDFC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Age, years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5659DD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3.35 [2.77, 5.53]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27417" w14:textId="015D894D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0.684 (0.508, 0.922)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EC531F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0.013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3DB204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E3108F" w14:textId="616DA005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0.635 (0.373, 1.08</w:t>
            </w:r>
            <w:r w:rsidR="00AD1B9E"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FEEDE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0.094</w:t>
            </w:r>
          </w:p>
        </w:tc>
      </w:tr>
      <w:tr w:rsidR="00641139" w:rsidRPr="00161B9D" w14:paraId="16846EA9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7DA323A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1- &lt; 3 years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9C4111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9 (28.1)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792362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4F4A55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36FA7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F2C2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8E209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F285DE9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7196195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3- &lt; 7 years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57178B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19 (59.4)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2EE990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C330C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31FDE8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E6840D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64B2B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6FF170A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6AA78829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7- 13 years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1F88E7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4 (12.5)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D3D0F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05A0A0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EFF9B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4C727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CF4E6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6EB400AE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323A3C3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Male / Female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94E5479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18 / 14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D0B5742" w14:textId="47803DC5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2.051 (0.808, 5.209)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71F6CBF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0.131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3B9BB946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01F7CC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3301FF8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CD0CDBE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0A8B06F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proofErr w:type="spellStart"/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qHBsAg</w:t>
            </w:r>
            <w:proofErr w:type="spellEnd"/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, log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-6"/>
                <w:sz w:val="13"/>
                <w:szCs w:val="13"/>
                <w:vertAlign w:val="subscript"/>
              </w:rPr>
              <w:t>10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IU/mL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9770BA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4.58 [4.07, 4.84]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CC431F" w14:textId="1DCE87E2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0.442 (0.182, 1.077)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37D4E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0.072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EF772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BC3B2F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3776A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5D18ED6D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7171FEBC" w14:textId="77777777" w:rsidR="00D44115" w:rsidRPr="00161B9D" w:rsidRDefault="00D44115" w:rsidP="00D44115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HBV DNA, log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-6"/>
                <w:sz w:val="13"/>
                <w:szCs w:val="13"/>
                <w:vertAlign w:val="subscript"/>
              </w:rPr>
              <w:t>10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IU/mL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46774C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7.99 [7.60, 8.55]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5B61F8" w14:textId="3F065B0B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0.598 (0.302, 1.184)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CA4C3E" w14:textId="0ADCF8BD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0.14</w:t>
            </w:r>
            <w:r w:rsidR="00161B9D"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DBEEF8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6B7118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DE66C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04B60417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20595D58" w14:textId="77777777" w:rsidR="00D44115" w:rsidRPr="00161B9D" w:rsidRDefault="00D44115" w:rsidP="00D44115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Neutrophils count, 10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>9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/L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 xml:space="preserve">† 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(n=24)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5EBE48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2.73 [1.99, 3.59]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B6844F" w14:textId="45A0D47B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0.85 (0.569, 1.27</w:t>
            </w:r>
            <w:r w:rsidR="00E57CC7"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)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FE8E5C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0.429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A83A15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C92F96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33865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0CAD3CD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5C78E3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CD4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>+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 T lymphocytes count, cells/</w:t>
            </w:r>
            <w:proofErr w:type="spellStart"/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μL</w:t>
            </w:r>
            <w:proofErr w:type="spellEnd"/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 xml:space="preserve">† 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(n=24)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A7C618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1466.00 [1084.50, 1929.75]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67790F" w14:textId="456779ED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 (0.999, 1.001)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9C1555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0.124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EB326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F948B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66C61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FA09B49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02C18B8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CD8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>+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 T lymphocytes count, cells/</w:t>
            </w:r>
            <w:proofErr w:type="spellStart"/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μL</w:t>
            </w:r>
            <w:proofErr w:type="spellEnd"/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 xml:space="preserve">† 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(n=24)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BD1BFE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862.50 [594.25, 1219.00]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E7AE3F" w14:textId="6EF6ED1E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1.001 (1, 1.002)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1491F5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0.013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30537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0013C4" w14:textId="2D92ACAB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1.001 (0.999, 1.002)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031DF2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0.260</w:t>
            </w:r>
          </w:p>
        </w:tc>
      </w:tr>
      <w:tr w:rsidR="00641139" w:rsidRPr="00161B9D" w14:paraId="026EE4E5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4F723F92" w14:textId="255C2C22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B lymphocytes count, cells/</w:t>
            </w:r>
            <w:proofErr w:type="spellStart"/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μL</w:t>
            </w:r>
            <w:proofErr w:type="spellEnd"/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 xml:space="preserve">† 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(n=24)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FDAE3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1008.00 [544.25, 1369.25]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113637" w14:textId="31F918B3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1.001 (1, 1.002) 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59CBB3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0.003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E86533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7F20D5" w14:textId="0CEE507E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1.000 (0.998, 1.002)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1B53E9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0.882</w:t>
            </w:r>
          </w:p>
        </w:tc>
      </w:tr>
      <w:tr w:rsidR="00641139" w:rsidRPr="00161B9D" w14:paraId="614CBB7A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734FD119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NK cells count, cells/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  <w:lang w:val="el-GR"/>
              </w:rPr>
              <w:t>μ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L</w:t>
            </w:r>
            <w:r w:rsidRPr="00161B9D">
              <w:rPr>
                <w:rFonts w:ascii="Arial" w:eastAsia="宋体" w:hAnsi="Arial" w:cs="Arial"/>
                <w:color w:val="000000"/>
                <w:kern w:val="24"/>
                <w:position w:val="7"/>
                <w:sz w:val="13"/>
                <w:szCs w:val="13"/>
                <w:vertAlign w:val="superscript"/>
              </w:rPr>
              <w:t xml:space="preserve">† 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(n=24)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1596DB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0"/>
                <w:sz w:val="13"/>
                <w:szCs w:val="13"/>
              </w:rPr>
              <w:t>334.50 [196.50, 447.75]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493A2E" w14:textId="18CAAA6F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 (0.999, 1.002)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49E2C2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0.804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8D037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CAE80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3397A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45E1E13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7C115CE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HBV genotype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,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6E5B8D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BAF04A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105F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6EF90D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552828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F28ED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B307F67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9B4AE8C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B genotype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0399089B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5 (15.6)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EBCA53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BD857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B6836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DC8180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60FF56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2852120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2E94613E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C genotype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0D6364AA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20 (62.5)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1978C4" w14:textId="739FCFB4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0.608 (0.191, 1.938)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3ADB1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0.400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F39356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683AD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A6E3F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47F50A8D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185495B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Unknown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0000D6E4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7 (21.9)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0A5E5" w14:textId="11098C7B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0.398 (0.088, 1.795)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291D75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0.231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5BDBE8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03B4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BF177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076AEFB7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1EA28B88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AST, IU/L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CF9EBF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48.00 [44.50, 56.25]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09E406" w14:textId="6CC307A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1.041 (0.998, 1.086)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7D7D78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0.061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431C6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A5F4B6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A9BAA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C2C705A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2C7AFECC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ALT, IU/L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8D9E3F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43.00 [38.75, 49.00]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FC8AF7" w14:textId="1755D0F0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1.055 (0.995, 1.118)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6BE26D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0.072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DA2805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3E190A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536A9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ED55531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4FDF1C90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Range (min, max)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57A17F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0"/>
                <w:sz w:val="13"/>
                <w:szCs w:val="13"/>
              </w:rPr>
              <w:t>(18, 57)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DB4F2A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78E9C8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AD6A3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D14BB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51EBF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3A765F75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79320E11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patients with normal level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529724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0"/>
                <w:sz w:val="13"/>
                <w:szCs w:val="13"/>
              </w:rPr>
              <w:t>9 (28.1)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7D0862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B77C4F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289AF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CE05B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BF2835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60FCD0C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A38DC0D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patients with 1-1.5 times ULN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5EC2AE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0"/>
                <w:sz w:val="13"/>
                <w:szCs w:val="13"/>
              </w:rPr>
              <w:t>23 (71.9)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5F4C8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079D2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5A1CA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BC7F27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6BA8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2FFFD3B1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73A421D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Inflammation grades* (n=28)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1073D01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3DBC53D6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7CE917F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1549A67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4584ED2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vAlign w:val="center"/>
            <w:hideMark/>
          </w:tcPr>
          <w:p w14:paraId="178A4ED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685424E5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0469069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G0,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C2FA2A8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2 (7.1)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7FD6E7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644DE2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0CBB8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822CF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04B9AD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5A0DEFD7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7F18598D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G1,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43079CB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18 (64.3)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BD5F73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75869092 (0, Infinity)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039E8A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0.998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E5CCDA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F0B44A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4166B5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4EB6147A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3B6ECE3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G2,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BAA9BE0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8 (28.6)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2AD14A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88019142 (0, Infinity)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ABF9E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0.998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9EA341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E9BF0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51E47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35125519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3A3C5A19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Fibrosis stages* (n=28)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593963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FB6FA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F7D1C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36C2C2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DA9106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FA7975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677F3315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1B576086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S0,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EB040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4 (14.3)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E5C4A3C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6598C879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314FB14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59510380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0" w:type="dxa"/>
              <w:left w:w="101" w:type="dxa"/>
              <w:bottom w:w="50" w:type="dxa"/>
              <w:right w:w="101" w:type="dxa"/>
            </w:tcMar>
            <w:hideMark/>
          </w:tcPr>
          <w:p w14:paraId="1400385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068B10F2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15D78AA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 xml:space="preserve">S1,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F7407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15 (53.6)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42E2F8" w14:textId="6C880CCE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3.425 (0.433, 27.076)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0A274C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0.243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927B54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9234DD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02B29D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6B539CFE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2015DA93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S2,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EF7E6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8 (28.6)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8D267" w14:textId="2DA405CD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3.361 (0.392, 28.83</w:t>
            </w:r>
            <w:r w:rsidR="00E57CC7"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1C747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0.269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ACBD4E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E720D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2D6B3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836AE97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01BAA1CE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S3,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E141B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 (3.6)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B63976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14.668 (0.823, 261.433)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C732C5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0.068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F36D4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B53CF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F01A88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3D0A0968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64D4D93B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Family history of HBV infection,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9E885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E2797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5B3CC5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3750A6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1DA62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7CFD3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3704FF0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4517B4F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Mother with HBsAg positivity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8768CA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26 (81.2)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CBD22B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4A8BB9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EF259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043EB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79C9F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907425A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56B76B4D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lastRenderedPageBreak/>
              <w:t>Both parents with HBsAg positivity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9C3CE4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2 (6.2)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D8E173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1.163 (0.153, 8.834)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4DE4D3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0.884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5049A4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26145D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E7E9F5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439321CD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26897B8C" w14:textId="46044568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Neither parent with HBsAg positivity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555F4A" w14:textId="77777777" w:rsidR="00D44115" w:rsidRPr="00161B9D" w:rsidRDefault="00D44115" w:rsidP="00D44115">
            <w:pPr>
              <w:widowControl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4 (12.5)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53A8C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0.768 (0.175, 3.368)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4148E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0.727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657A8E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1B73E0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392D7F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0E449F01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7E8485F2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treatment,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388E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77E6A7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D85B40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31842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A6FD0C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467008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5DDD42CE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79949066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IFN-α monotherapy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748B3F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7 (21.9)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0EC2D5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54225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D733FA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F1A994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036F9A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13875761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0C58CD34" w14:textId="7A00DF91" w:rsidR="00D44115" w:rsidRPr="00161B9D" w:rsidRDefault="00AD1B9E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 xml:space="preserve">Initial </w:t>
            </w:r>
            <w:r w:rsidR="00D44115"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IFN-</w:t>
            </w:r>
            <w:r w:rsidR="00D44115" w:rsidRPr="00161B9D">
              <w:rPr>
                <w:rFonts w:ascii="Arial" w:eastAsia="等线" w:hAnsi="Arial" w:cs="Arial"/>
                <w:color w:val="000000"/>
                <w:sz w:val="13"/>
                <w:szCs w:val="13"/>
                <w:lang w:val="el-GR"/>
              </w:rPr>
              <w:t>α</w:t>
            </w:r>
            <w:r w:rsidR="00D44115"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 xml:space="preserve"> and NAs combination therapy 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C4FABD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19 (59.4)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D3FD00" w14:textId="5031A18B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0.582 (0.202, 1.68</w:t>
            </w:r>
            <w:r w:rsidR="00E57CC7"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9DC8C2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0.317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2B998F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AEF00B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3BC1D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641139" w:rsidRPr="00161B9D" w14:paraId="726BF244" w14:textId="77777777" w:rsidTr="00161B9D">
        <w:trPr>
          <w:trHeight w:hRule="exact" w:val="312"/>
        </w:trPr>
        <w:tc>
          <w:tcPr>
            <w:tcW w:w="12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2" w:type="dxa"/>
              <w:left w:w="125" w:type="dxa"/>
              <w:bottom w:w="62" w:type="dxa"/>
              <w:right w:w="125" w:type="dxa"/>
            </w:tcMar>
            <w:hideMark/>
          </w:tcPr>
          <w:p w14:paraId="4A2FDFA8" w14:textId="314DEE44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IFN-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  <w:lang w:val="el-GR"/>
              </w:rPr>
              <w:t xml:space="preserve">α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add</w:t>
            </w:r>
            <w:r w:rsidR="00AD1B9E"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 xml:space="preserve"> </w:t>
            </w: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on NAs therapy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A40B72" w14:textId="77777777" w:rsidR="00D44115" w:rsidRPr="00161B9D" w:rsidRDefault="00D44115" w:rsidP="00D44115">
            <w:pPr>
              <w:widowControl/>
              <w:ind w:firstLine="187"/>
              <w:jc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等线" w:hAnsi="Arial" w:cs="Arial"/>
                <w:color w:val="000000"/>
                <w:sz w:val="13"/>
                <w:szCs w:val="13"/>
              </w:rPr>
              <w:t>6 (18.7)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7DEF8" w14:textId="5C15ECFE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0.258 (0.05</w:t>
            </w:r>
            <w:r w:rsidR="00E57CC7"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</w:t>
            </w: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, 1.335)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119FAA" w14:textId="77777777" w:rsidR="00D44115" w:rsidRPr="00161B9D" w:rsidRDefault="00D44115" w:rsidP="00D44115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161B9D">
              <w:rPr>
                <w:rFonts w:ascii="Arial" w:eastAsia="宋体" w:hAnsi="Arial" w:cs="Arial"/>
                <w:color w:val="000000"/>
                <w:kern w:val="24"/>
                <w:sz w:val="13"/>
                <w:szCs w:val="13"/>
              </w:rPr>
              <w:t>0.106</w:t>
            </w:r>
          </w:p>
        </w:tc>
        <w:tc>
          <w:tcPr>
            <w:tcW w:w="1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273937" w14:textId="77777777" w:rsidR="00D44115" w:rsidRPr="00161B9D" w:rsidRDefault="00D44115" w:rsidP="00D44115">
            <w:pPr>
              <w:widowControl/>
              <w:jc w:val="left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CAC181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6E597E" w14:textId="77777777" w:rsidR="00D44115" w:rsidRPr="00161B9D" w:rsidRDefault="00D44115" w:rsidP="00D441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</w:tbl>
    <w:p w14:paraId="7AD57124" w14:textId="03FDA4FC" w:rsidR="00E20BBA" w:rsidRDefault="00E20BBA"/>
    <w:p w14:paraId="0CF73DD2" w14:textId="5A3F119F" w:rsidR="00E20BBA" w:rsidRPr="00E20BBA" w:rsidRDefault="00E20BBA" w:rsidP="00F4471A">
      <w:pPr>
        <w:ind w:leftChars="-472" w:left="-989" w:rightChars="-634" w:right="-1331" w:hanging="2"/>
      </w:pPr>
      <w:r w:rsidRPr="00BF6059">
        <w:rPr>
          <w:rFonts w:ascii="Arial" w:hAnsi="Arial" w:cs="Arial"/>
          <w:szCs w:val="21"/>
        </w:rPr>
        <w:t xml:space="preserve">*Liver histology was performed in 28 of 32 children with CHB with a one-second needle biopsy; </w:t>
      </w:r>
      <w:r w:rsidRPr="00BF6059">
        <w:rPr>
          <w:rFonts w:ascii="Arial" w:hAnsi="Arial" w:cs="Arial"/>
          <w:szCs w:val="21"/>
          <w:vertAlign w:val="superscript"/>
        </w:rPr>
        <w:t>†</w:t>
      </w:r>
      <w:r w:rsidRPr="00BF6059">
        <w:rPr>
          <w:rFonts w:ascii="Arial" w:hAnsi="Arial" w:cs="Arial"/>
          <w:szCs w:val="21"/>
        </w:rPr>
        <w:t xml:space="preserve"> Lymphocyte subsets were tested in 24 of 32 children with CHB;</w:t>
      </w:r>
      <w:r w:rsidRPr="00BF6059">
        <w:rPr>
          <w:rFonts w:ascii="Arial" w:hAnsi="Arial" w:cs="Arial" w:hint="eastAsia"/>
          <w:szCs w:val="21"/>
        </w:rPr>
        <w:t xml:space="preserve"> </w:t>
      </w:r>
      <w:r w:rsidRPr="00BF6059">
        <w:rPr>
          <w:rFonts w:ascii="Arial" w:hAnsi="Arial" w:cs="Arial"/>
          <w:szCs w:val="21"/>
        </w:rPr>
        <w:t>Categorical variables were expressed as numbers (percentages), continuous variable w</w:t>
      </w:r>
      <w:r w:rsidR="00BF6059">
        <w:rPr>
          <w:rFonts w:ascii="Arial" w:hAnsi="Arial" w:cs="Arial" w:hint="eastAsia"/>
          <w:szCs w:val="21"/>
        </w:rPr>
        <w:t>as</w:t>
      </w:r>
      <w:r w:rsidRPr="00BF6059">
        <w:rPr>
          <w:rFonts w:ascii="Arial" w:hAnsi="Arial" w:cs="Arial"/>
          <w:szCs w:val="21"/>
        </w:rPr>
        <w:t xml:space="preserve"> expressed as median [interquartile range, IQR]. CI, Confidence Interval; </w:t>
      </w:r>
      <w:proofErr w:type="spellStart"/>
      <w:r w:rsidRPr="00BF6059">
        <w:rPr>
          <w:rFonts w:ascii="Arial" w:hAnsi="Arial" w:cs="Arial"/>
          <w:szCs w:val="21"/>
        </w:rPr>
        <w:t>qHBsAg</w:t>
      </w:r>
      <w:proofErr w:type="spellEnd"/>
      <w:r w:rsidRPr="00BF6059">
        <w:rPr>
          <w:rFonts w:ascii="Arial" w:hAnsi="Arial" w:cs="Arial"/>
          <w:szCs w:val="21"/>
        </w:rPr>
        <w:t>, quantitative hepatitis B surface antigen; ALT, alanine aminotransferase; AST, Aspartate aminotransferase; IFN-</w:t>
      </w:r>
      <w:r w:rsidRPr="00BF6059">
        <w:rPr>
          <w:rFonts w:ascii="Arial" w:hAnsi="Arial" w:cs="Arial"/>
          <w:szCs w:val="21"/>
          <w:lang w:val="el-GR"/>
        </w:rPr>
        <w:t>α</w:t>
      </w:r>
      <w:r w:rsidRPr="00BF6059">
        <w:rPr>
          <w:rFonts w:ascii="Arial" w:hAnsi="Arial" w:cs="Arial"/>
          <w:szCs w:val="21"/>
        </w:rPr>
        <w:t xml:space="preserve">, Interferon </w:t>
      </w:r>
      <w:r w:rsidRPr="00BF6059">
        <w:rPr>
          <w:rFonts w:ascii="Arial" w:hAnsi="Arial" w:cs="Arial"/>
          <w:szCs w:val="21"/>
          <w:lang w:val="el-GR"/>
        </w:rPr>
        <w:t>α</w:t>
      </w:r>
      <w:r w:rsidRPr="00BF6059">
        <w:rPr>
          <w:rFonts w:ascii="Arial" w:hAnsi="Arial" w:cs="Arial"/>
          <w:szCs w:val="21"/>
        </w:rPr>
        <w:t>; NAs, nucleotide analogs; ULN, Upper Limits of Normal.</w:t>
      </w:r>
    </w:p>
    <w:sectPr w:rsidR="00E20BBA" w:rsidRPr="00E20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9A837" w14:textId="77777777" w:rsidR="00811FB7" w:rsidRDefault="00811FB7" w:rsidP="00A048EF">
      <w:r>
        <w:separator/>
      </w:r>
    </w:p>
  </w:endnote>
  <w:endnote w:type="continuationSeparator" w:id="0">
    <w:p w14:paraId="45F231BF" w14:textId="77777777" w:rsidR="00811FB7" w:rsidRDefault="00811FB7" w:rsidP="00A04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5EACC" w14:textId="77777777" w:rsidR="00811FB7" w:rsidRDefault="00811FB7" w:rsidP="00A048EF">
      <w:r>
        <w:separator/>
      </w:r>
    </w:p>
  </w:footnote>
  <w:footnote w:type="continuationSeparator" w:id="0">
    <w:p w14:paraId="3887549F" w14:textId="77777777" w:rsidR="00811FB7" w:rsidRDefault="00811FB7" w:rsidP="00A048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81D04"/>
    <w:multiLevelType w:val="hybridMultilevel"/>
    <w:tmpl w:val="8C94B352"/>
    <w:lvl w:ilvl="0" w:tplc="DD5C8E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7024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CEC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CEBD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DE9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465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521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3446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8A30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63B02392"/>
    <w:multiLevelType w:val="hybridMultilevel"/>
    <w:tmpl w:val="BE08D4E2"/>
    <w:lvl w:ilvl="0" w:tplc="5B9E21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402A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780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EE99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449E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4C78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9615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5036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C47B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81941406">
    <w:abstractNumId w:val="0"/>
  </w:num>
  <w:num w:numId="2" w16cid:durableId="605887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wNDYytzQ1t7Q0MjFT0lEKTi0uzszPAykwqgUAY+MsNywAAAA="/>
  </w:docVars>
  <w:rsids>
    <w:rsidRoot w:val="00150986"/>
    <w:rsid w:val="000523A4"/>
    <w:rsid w:val="00080007"/>
    <w:rsid w:val="000A4479"/>
    <w:rsid w:val="00131D68"/>
    <w:rsid w:val="00150986"/>
    <w:rsid w:val="00152179"/>
    <w:rsid w:val="00161B9D"/>
    <w:rsid w:val="00295492"/>
    <w:rsid w:val="002B326A"/>
    <w:rsid w:val="002F54A6"/>
    <w:rsid w:val="003E548C"/>
    <w:rsid w:val="003E67E6"/>
    <w:rsid w:val="003F6556"/>
    <w:rsid w:val="00442396"/>
    <w:rsid w:val="004715FD"/>
    <w:rsid w:val="00471E06"/>
    <w:rsid w:val="00620155"/>
    <w:rsid w:val="00641139"/>
    <w:rsid w:val="00697FBE"/>
    <w:rsid w:val="00811104"/>
    <w:rsid w:val="00811FB7"/>
    <w:rsid w:val="00961041"/>
    <w:rsid w:val="00975081"/>
    <w:rsid w:val="009803C0"/>
    <w:rsid w:val="0098100A"/>
    <w:rsid w:val="009C6240"/>
    <w:rsid w:val="00A0020D"/>
    <w:rsid w:val="00A048EF"/>
    <w:rsid w:val="00A13B5C"/>
    <w:rsid w:val="00AD1B9E"/>
    <w:rsid w:val="00BF6059"/>
    <w:rsid w:val="00C57A5D"/>
    <w:rsid w:val="00CE6B60"/>
    <w:rsid w:val="00CF1039"/>
    <w:rsid w:val="00D44115"/>
    <w:rsid w:val="00E02877"/>
    <w:rsid w:val="00E20BBA"/>
    <w:rsid w:val="00E57CC7"/>
    <w:rsid w:val="00E93E8F"/>
    <w:rsid w:val="00F41250"/>
    <w:rsid w:val="00F4471A"/>
    <w:rsid w:val="00FB0BE5"/>
    <w:rsid w:val="00FC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CD6677"/>
  <w15:chartTrackingRefBased/>
  <w15:docId w15:val="{04BA9B71-9E7E-47B6-B755-77956073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8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8EF"/>
    <w:rPr>
      <w:sz w:val="18"/>
      <w:szCs w:val="18"/>
    </w:rPr>
  </w:style>
  <w:style w:type="paragraph" w:styleId="a7">
    <w:name w:val="List Paragraph"/>
    <w:basedOn w:val="a"/>
    <w:uiPriority w:val="34"/>
    <w:qFormat/>
    <w:rsid w:val="00FB0BE5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08000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8000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80007"/>
  </w:style>
  <w:style w:type="paragraph" w:styleId="ab">
    <w:name w:val="annotation subject"/>
    <w:basedOn w:val="a9"/>
    <w:next w:val="a9"/>
    <w:link w:val="ac"/>
    <w:uiPriority w:val="99"/>
    <w:semiHidden/>
    <w:unhideWhenUsed/>
    <w:rsid w:val="0008000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80007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8000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800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963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39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5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424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28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2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7A420-53CD-4CA8-818B-2461DB7F6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10</Pages>
  <Words>1232</Words>
  <Characters>7024</Characters>
  <Application>Microsoft Office Word</Application>
  <DocSecurity>0</DocSecurity>
  <Lines>58</Lines>
  <Paragraphs>16</Paragraphs>
  <ScaleCrop>false</ScaleCrop>
  <Company/>
  <LinksUpToDate>false</LinksUpToDate>
  <CharactersWithSpaces>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</dc:creator>
  <cp:keywords/>
  <dc:description/>
  <cp:lastModifiedBy>li jing</cp:lastModifiedBy>
  <cp:revision>17</cp:revision>
  <dcterms:created xsi:type="dcterms:W3CDTF">2022-07-12T00:18:00Z</dcterms:created>
  <dcterms:modified xsi:type="dcterms:W3CDTF">2022-08-22T03:03:00Z</dcterms:modified>
</cp:coreProperties>
</file>