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75" w:rsidRPr="00751875" w:rsidRDefault="00751875" w:rsidP="00751875">
      <w:pPr>
        <w:widowControl w:val="0"/>
        <w:autoSpaceDE w:val="0"/>
        <w:autoSpaceDN w:val="0"/>
        <w:adjustRightInd w:val="0"/>
        <w:spacing w:line="480" w:lineRule="auto"/>
        <w:rPr>
          <w:bCs/>
          <w:sz w:val="16"/>
          <w:szCs w:val="16"/>
          <w:lang w:val="en-US"/>
        </w:rPr>
      </w:pPr>
      <w:r w:rsidRPr="00751875">
        <w:rPr>
          <w:rFonts w:eastAsia="PMingLiU"/>
          <w:bCs/>
          <w:sz w:val="16"/>
          <w:szCs w:val="16"/>
          <w:lang w:val="en-US" w:eastAsia="zh-CN" w:bidi="ar"/>
        </w:rPr>
        <w:t>Table 2 | Cox regression analysis for clinical outcomes in COAD patients.</w:t>
      </w:r>
      <w:bookmarkStart w:id="0" w:name="_GoBack"/>
      <w:bookmarkEnd w:id="0"/>
    </w:p>
    <w:tbl>
      <w:tblPr>
        <w:tblW w:w="14034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1833"/>
        <w:gridCol w:w="1435"/>
        <w:gridCol w:w="701"/>
        <w:gridCol w:w="1431"/>
        <w:gridCol w:w="554"/>
        <w:gridCol w:w="1468"/>
        <w:gridCol w:w="658"/>
        <w:gridCol w:w="1410"/>
        <w:gridCol w:w="575"/>
        <w:gridCol w:w="1351"/>
        <w:gridCol w:w="633"/>
        <w:gridCol w:w="1403"/>
        <w:gridCol w:w="582"/>
      </w:tblGrid>
      <w:tr w:rsidR="00751875" w:rsidRPr="00751875" w:rsidTr="00751875">
        <w:trPr>
          <w:trHeight w:val="709"/>
          <w:tblHeader/>
          <w:tblCellSpacing w:w="15" w:type="dxa"/>
        </w:trPr>
        <w:tc>
          <w:tcPr>
            <w:tcW w:w="1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宋体"/>
                <w:bCs/>
                <w:sz w:val="16"/>
                <w:szCs w:val="16"/>
                <w:lang w:val="en-US" w:eastAsia="zh-CN"/>
              </w:rPr>
            </w:pPr>
            <w:r w:rsidRPr="00751875">
              <w:rPr>
                <w:rFonts w:eastAsia="宋体"/>
                <w:bCs/>
                <w:sz w:val="16"/>
                <w:szCs w:val="16"/>
                <w:lang w:val="en-US" w:eastAsia="zh-CN" w:bidi="ar"/>
              </w:rPr>
              <w:t>Characteristic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宋体"/>
                <w:bCs/>
                <w:sz w:val="16"/>
                <w:szCs w:val="16"/>
                <w:lang w:val="en-US" w:eastAsia="zh-CN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overall survival</w:t>
            </w:r>
          </w:p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 xml:space="preserve">HR (95% CI) </w:t>
            </w: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disease-specific</w:t>
            </w:r>
            <w:r w:rsidRPr="00751875">
              <w:rPr>
                <w:rFonts w:eastAsia="宋体"/>
                <w:bCs/>
                <w:sz w:val="16"/>
                <w:szCs w:val="16"/>
                <w:lang w:val="en-US" w:eastAsia="zh-CN" w:bidi="ar"/>
              </w:rPr>
              <w:t xml:space="preserve"> </w:t>
            </w: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survival</w:t>
            </w:r>
          </w:p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 xml:space="preserve">HR (95% CI) </w:t>
            </w: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progression-free</w:t>
            </w:r>
            <w:r w:rsidRPr="00751875">
              <w:rPr>
                <w:rFonts w:eastAsia="宋体"/>
                <w:bCs/>
                <w:sz w:val="16"/>
                <w:szCs w:val="16"/>
                <w:lang w:val="en-US" w:eastAsia="zh-CN" w:bidi="ar"/>
              </w:rPr>
              <w:t xml:space="preserve"> </w:t>
            </w: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interval</w:t>
            </w:r>
          </w:p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 xml:space="preserve">HR (95% CI) </w:t>
            </w: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</w:t>
            </w:r>
          </w:p>
        </w:tc>
      </w:tr>
      <w:tr w:rsidR="00751875" w:rsidRPr="00751875" w:rsidTr="00751875">
        <w:trPr>
          <w:tblHeader/>
          <w:tblCellSpacing w:w="15" w:type="dxa"/>
        </w:trPr>
        <w:tc>
          <w:tcPr>
            <w:tcW w:w="1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ascii="Calibri" w:hAnsi="Calibri" w:cs="Calibri"/>
                <w:bCs/>
                <w:kern w:val="2"/>
                <w:sz w:val="16"/>
                <w:szCs w:val="16"/>
              </w:rPr>
            </w:pPr>
          </w:p>
        </w:tc>
        <w:tc>
          <w:tcPr>
            <w:tcW w:w="210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 xml:space="preserve">Univariate analysis </w:t>
            </w:r>
          </w:p>
        </w:tc>
        <w:tc>
          <w:tcPr>
            <w:tcW w:w="19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 xml:space="preserve">Multivariate analysis </w:t>
            </w:r>
          </w:p>
        </w:tc>
        <w:tc>
          <w:tcPr>
            <w:tcW w:w="209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Univariate analysis</w:t>
            </w:r>
          </w:p>
        </w:tc>
        <w:tc>
          <w:tcPr>
            <w:tcW w:w="195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Multivariate analysis</w:t>
            </w:r>
          </w:p>
        </w:tc>
        <w:tc>
          <w:tcPr>
            <w:tcW w:w="1954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Univariate analysis</w:t>
            </w:r>
          </w:p>
        </w:tc>
        <w:tc>
          <w:tcPr>
            <w:tcW w:w="194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Multivariate analysis</w:t>
            </w:r>
          </w:p>
        </w:tc>
      </w:tr>
      <w:tr w:rsidR="00751875" w:rsidRPr="00751875" w:rsidTr="00751875">
        <w:trPr>
          <w:tblHeader/>
          <w:tblCellSpacing w:w="15" w:type="dxa"/>
        </w:trPr>
        <w:tc>
          <w:tcPr>
            <w:tcW w:w="17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ascii="Calibri" w:hAnsi="Calibri" w:cs="Calibri"/>
                <w:bCs/>
                <w:kern w:val="2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HR (95% CI)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P*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HR (95% CI)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P*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HR (95% CI)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HR (95% CI)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P*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HR (95% CI)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P*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sz w:val="16"/>
                <w:szCs w:val="16"/>
                <w:lang w:val="en-US" w:eastAsia="zh-CN" w:bidi="ar"/>
              </w:rPr>
              <w:t>HR (95% CI)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jc w:val="center"/>
              <w:rPr>
                <w:rFonts w:eastAsia="PMingLiU"/>
                <w:bCs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Cs/>
                <w:i/>
                <w:sz w:val="16"/>
                <w:szCs w:val="16"/>
                <w:lang w:val="en-US" w:eastAsia="zh-CN" w:bidi="ar"/>
              </w:rPr>
              <w:t>P*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Age (</w:t>
            </w:r>
            <w:r w:rsidRPr="00751875">
              <w:rPr>
                <w:rFonts w:ascii="PMingLiU" w:eastAsia="PMingLiU" w:hAnsi="PMingLiU" w:cs="PMingLiU" w:hint="eastAsia"/>
                <w:sz w:val="16"/>
                <w:szCs w:val="16"/>
                <w:lang w:val="en-US" w:eastAsia="zh-CN" w:bidi="ar"/>
              </w:rPr>
              <w:t>≧</w:t>
            </w: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 xml:space="preserve"> 65 vs. &lt;65)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Gender (Female vs. Male)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0.89(0.6,1.34)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0.584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0.9(0.54,1.51)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0.697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0.82(0.56,1.18)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0.284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T stage(T3-T4 vs. Tis-T2)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0.32(0.14,0.75)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0.008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1.68(0.15,19.18)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0.675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0.08(0.01,0.56)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0.011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0(0,Inf)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0.27(0.12,0.58)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0.001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0.87(0.1,7.96)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0.904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N stage(T1-T2 vs. N0)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3.14(2.04,4.84)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1.26(0.06,27.57)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0.884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5.77(3.12,10.69)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2.21(0.05,95.06)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0.679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3.13(2.12,4.64)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1.8(0.26,12.34)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0.548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M stage(M1 vs. M0)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4.79(2.96,7.73)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5.23(0.38,71.81)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0.215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9.6(5.38,17.12)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18(0.4,811.2)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0.137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5.87(3.8,9.06)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1.29(0.19,8.84)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0.798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TNM stage (II vs. I)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2.21(0.77,6.33)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0.141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0.45(0.01,19.87)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0.680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3.46(0.44,27.38)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0.239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87942.45(0,Inf)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2.7(1.06,6.89)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0.038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2.22(0.09,53.35)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0.622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TNM stage (III vs. I)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4.28(1.51,12.14)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0.006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11.12(0.17,721.69)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0.258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10.7(1.43,80.19)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0.021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6738319.56(0,Inf)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4.33(1.69,11.06)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0.002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5.52(0.17,175.5)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0.333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TNM stage (IV vs. I)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11.28(3.97,32.07)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5.17(0.09,307.23)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0.430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43.94(5.98,322.83)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1912705.7(0,Inf)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1.000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16.81(6.61,42.74)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9.71(0.22,424.51)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0.238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CEA level (normal vs. abnormal)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0.34(0.2,0.6)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1.85(0.45,7.53)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0.392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0.36(0.18,0.69)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0.002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5.22(0.79,34.51)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0.086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0.36(0.23,0.58)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0.82(0.31,2.2)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0.692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Residual_tumor (R0 vs. R1-R2)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4.94(2.7,9.03)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5.76(1.36,24.3)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0.017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6.74(3.52,12.92)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42.39(3.4,528.75)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0.004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4.79(2.81,8.19)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2.64(0.76,9.16)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0.126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Vasucular invasion (YES vs. NO)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0.38(0.24,0.59)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0.87(0.24,3.19)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0.831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0.25(0.14,0.43)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1.67(0.26,10.6)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0.586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0.34(0.22,0.5)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0.5(0.19,1.35)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0.172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lastRenderedPageBreak/>
              <w:t>Lymph_node invasion (YES vs. NO)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2.25(1.46,3.47)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0.63(0.17,2.34)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0.495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3.77(2.11,6.74)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0.86(0.12,6.21)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0.878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2.37(1.6,3.49)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&lt;0.001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0.59(0.18,1.97)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0.392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Perineural invasion (YES vs. NO)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1.89(0.96,3.71)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0.066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2.8(1.25,6.26)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0.012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0.52(0.07,3.72)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0.514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2.28(1.24,4.2)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0.008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2.25(0.61,8.24)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0.222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Radiation therapy (YES vs. NO)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0.63(0.09,4.54)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0.646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0.87(0.12,6.3)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0.890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1.52(0.48,4.81)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0.477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MMR status (dMMR vs. pMMR)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5.67(1.38,23.36)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0.016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4.97(0.81,30.63)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0.084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4.5(1.08,18.65)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0.038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3.01(0.3,30.09)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0.348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1.45(0.77,2.75)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0.253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MSI status (MSI-H vs. non MSI-H)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0.85(0.5,1.46)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0.568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0.74(0.37,1.51)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0.414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0.75(0.45,1.25)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0.268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Kras (Mut vs. Wild)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0.8(0.34,1.85)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0.599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0.67(0.18,2.5)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0.550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1.31(0.56,3.05)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0.528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neoadjuvant_treatment (Yes vs. No)</w:t>
            </w:r>
          </w:p>
        </w:tc>
        <w:tc>
          <w:tcPr>
            <w:tcW w:w="14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3.67(0.51,26.53)</w:t>
            </w:r>
          </w:p>
        </w:tc>
        <w:tc>
          <w:tcPr>
            <w:tcW w:w="6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0.198</w:t>
            </w:r>
          </w:p>
        </w:tc>
        <w:tc>
          <w:tcPr>
            <w:tcW w:w="14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4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4.99(0.69,36.38)</w:t>
            </w:r>
          </w:p>
        </w:tc>
        <w:tc>
          <w:tcPr>
            <w:tcW w:w="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0.112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2.4(0.33,17.25)</w:t>
            </w:r>
          </w:p>
        </w:tc>
        <w:tc>
          <w:tcPr>
            <w:tcW w:w="6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0.385</w:t>
            </w:r>
          </w:p>
        </w:tc>
        <w:tc>
          <w:tcPr>
            <w:tcW w:w="13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  <w:tc>
          <w:tcPr>
            <w:tcW w:w="5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-</w:t>
            </w:r>
          </w:p>
        </w:tc>
      </w:tr>
      <w:tr w:rsidR="00751875" w:rsidRPr="00751875" w:rsidTr="00751875">
        <w:trPr>
          <w:tblCellSpacing w:w="15" w:type="dxa"/>
        </w:trPr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CD276 (high vs. low)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1.02(1,1.04)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0.031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1.04(0.98,1.11)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0.192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1.04(1.01,1.06)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1.06(0.97,1.15)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0.221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1.03(1.01,1.05)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b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b/>
                <w:sz w:val="16"/>
                <w:szCs w:val="16"/>
                <w:lang w:val="en-US" w:eastAsia="zh-CN" w:bidi="ar"/>
              </w:rPr>
              <w:t>0.004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1.01(0.96,1.06)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875" w:rsidRPr="00751875" w:rsidRDefault="00751875" w:rsidP="00751875">
            <w:pPr>
              <w:rPr>
                <w:rFonts w:eastAsia="PMingLiU"/>
                <w:sz w:val="16"/>
                <w:szCs w:val="16"/>
                <w:lang w:val="en-US"/>
              </w:rPr>
            </w:pPr>
            <w:r w:rsidRPr="00751875">
              <w:rPr>
                <w:rFonts w:eastAsia="PMingLiU"/>
                <w:sz w:val="16"/>
                <w:szCs w:val="16"/>
                <w:lang w:val="en-US" w:eastAsia="zh-CN" w:bidi="ar"/>
              </w:rPr>
              <w:t>0.721</w:t>
            </w:r>
          </w:p>
        </w:tc>
      </w:tr>
    </w:tbl>
    <w:p w:rsidR="00751875" w:rsidRPr="00751875" w:rsidRDefault="00751875" w:rsidP="00751875">
      <w:pPr>
        <w:widowControl w:val="0"/>
        <w:autoSpaceDE w:val="0"/>
        <w:autoSpaceDN w:val="0"/>
        <w:adjustRightInd w:val="0"/>
        <w:spacing w:line="480" w:lineRule="auto"/>
        <w:rPr>
          <w:sz w:val="16"/>
          <w:szCs w:val="16"/>
          <w:lang w:val="en-US"/>
        </w:rPr>
      </w:pPr>
      <w:r w:rsidRPr="00751875">
        <w:rPr>
          <w:rFonts w:eastAsia="PMingLiU"/>
          <w:sz w:val="16"/>
          <w:szCs w:val="16"/>
          <w:lang w:val="en-US" w:eastAsia="zh-CN" w:bidi="ar"/>
        </w:rPr>
        <w:t>*Statistically significant p values are given in bold, P &lt; 0.05</w:t>
      </w:r>
    </w:p>
    <w:p w:rsidR="00751875" w:rsidRPr="00751875" w:rsidRDefault="00751875" w:rsidP="00751875">
      <w:pPr>
        <w:widowControl w:val="0"/>
        <w:autoSpaceDE w:val="0"/>
        <w:autoSpaceDN w:val="0"/>
        <w:adjustRightInd w:val="0"/>
        <w:spacing w:line="480" w:lineRule="auto"/>
        <w:rPr>
          <w:sz w:val="16"/>
          <w:szCs w:val="16"/>
          <w:lang w:val="en-US"/>
        </w:rPr>
      </w:pPr>
      <w:r w:rsidRPr="00751875">
        <w:rPr>
          <w:rFonts w:eastAsia="PMingLiU"/>
          <w:sz w:val="16"/>
          <w:szCs w:val="16"/>
          <w:lang w:val="en-US" w:eastAsia="zh-CN" w:bidi="ar"/>
        </w:rPr>
        <w:lastRenderedPageBreak/>
        <w:t>HR, hazard ratio; COAD, Colon adenocarcinoma; MMR, mismatch repair;</w:t>
      </w:r>
      <w:r w:rsidRPr="00751875">
        <w:rPr>
          <w:rFonts w:eastAsia="PMingLiU"/>
          <w:kern w:val="2"/>
          <w:sz w:val="16"/>
          <w:szCs w:val="16"/>
          <w:lang w:val="en-US" w:eastAsia="zh-CN" w:bidi="ar"/>
        </w:rPr>
        <w:t xml:space="preserve"> </w:t>
      </w:r>
      <w:r w:rsidRPr="00751875">
        <w:rPr>
          <w:rFonts w:eastAsia="PMingLiU"/>
          <w:sz w:val="16"/>
          <w:szCs w:val="16"/>
          <w:lang w:val="en-US" w:eastAsia="zh-CN" w:bidi="ar"/>
        </w:rPr>
        <w:t xml:space="preserve">dMMR, MMR absent; Pmmr, MMR proficient; MSI, microsatellite instability; MSI-H, MSI-high; CI, confidence interval. </w:t>
      </w:r>
    </w:p>
    <w:p w:rsidR="00EF2C43" w:rsidRPr="00751875" w:rsidRDefault="00EF2C43">
      <w:pPr>
        <w:rPr>
          <w:sz w:val="16"/>
          <w:szCs w:val="16"/>
          <w:lang w:val="en-US"/>
        </w:rPr>
      </w:pPr>
    </w:p>
    <w:sectPr w:rsidR="00EF2C43" w:rsidRPr="00751875" w:rsidSect="0075187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75"/>
    <w:rsid w:val="00751875"/>
    <w:rsid w:val="00E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C2295-4D8C-4E2E-871B-C1A50A8A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75"/>
    <w:rPr>
      <w:rFonts w:ascii="Times New Roman" w:eastAsiaTheme="minorHAnsi" w:hAnsi="Times New Roman" w:cs="Times New Roman"/>
      <w:kern w:val="0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chenrui</dc:creator>
  <cp:keywords/>
  <dc:description/>
  <cp:lastModifiedBy>chenrui</cp:lastModifiedBy>
  <cp:revision>1</cp:revision>
  <dcterms:created xsi:type="dcterms:W3CDTF">2022-07-28T13:00:00Z</dcterms:created>
  <dcterms:modified xsi:type="dcterms:W3CDTF">2022-07-28T13:05:00Z</dcterms:modified>
</cp:coreProperties>
</file>