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44166C" w14:textId="77777777" w:rsidR="007E56EC" w:rsidRDefault="009F5774">
      <w:r w:rsidRPr="004D0BFE">
        <w:rPr>
          <w:rFonts w:cstheme="minorHAnsi"/>
          <w:noProof/>
          <w:color w:val="000000" w:themeColor="text1"/>
          <w:szCs w:val="20"/>
        </w:rPr>
        <mc:AlternateContent>
          <mc:Choice Requires="wps">
            <w:drawing>
              <wp:anchor distT="45720" distB="45720" distL="114300" distR="114300" simplePos="0" relativeHeight="251659264" behindDoc="0" locked="0" layoutInCell="1" allowOverlap="1" wp14:anchorId="271D1071" wp14:editId="210C8569">
                <wp:simplePos x="0" y="0"/>
                <wp:positionH relativeFrom="margin">
                  <wp:align>left</wp:align>
                </wp:positionH>
                <wp:positionV relativeFrom="paragraph">
                  <wp:posOffset>327025</wp:posOffset>
                </wp:positionV>
                <wp:extent cx="5791200" cy="2237740"/>
                <wp:effectExtent l="0" t="0" r="19050" b="101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0" cy="2237740"/>
                        </a:xfrm>
                        <a:prstGeom prst="rect">
                          <a:avLst/>
                        </a:prstGeom>
                        <a:solidFill>
                          <a:srgbClr val="FFFFFF"/>
                        </a:solidFill>
                        <a:ln w="9525">
                          <a:solidFill>
                            <a:srgbClr val="000000"/>
                          </a:solidFill>
                          <a:miter lim="800000"/>
                          <a:headEnd/>
                          <a:tailEnd/>
                        </a:ln>
                      </wps:spPr>
                      <wps:txbx>
                        <w:txbxContent>
                          <w:p w14:paraId="33DC4B9F" w14:textId="77777777" w:rsidR="009F5774" w:rsidRDefault="009F5774" w:rsidP="009F5774">
                            <w:pPr>
                              <w:rPr>
                                <w:color w:val="000000" w:themeColor="text1"/>
                              </w:rPr>
                            </w:pPr>
                            <w:bookmarkStart w:id="0" w:name="_GoBack"/>
                            <w:r>
                              <w:rPr>
                                <w:rFonts w:cstheme="minorHAnsi"/>
                                <w:color w:val="000000" w:themeColor="text1"/>
                                <w:szCs w:val="20"/>
                              </w:rPr>
                              <w:t>Centres were operated by</w:t>
                            </w:r>
                            <w:r w:rsidRPr="00CD3858">
                              <w:rPr>
                                <w:rFonts w:cstheme="minorHAnsi"/>
                                <w:color w:val="000000" w:themeColor="text1"/>
                                <w:szCs w:val="20"/>
                              </w:rPr>
                              <w:t xml:space="preserve"> </w:t>
                            </w:r>
                            <w:r>
                              <w:rPr>
                                <w:rFonts w:cstheme="minorHAnsi"/>
                                <w:color w:val="000000" w:themeColor="text1"/>
                                <w:szCs w:val="20"/>
                              </w:rPr>
                              <w:t xml:space="preserve">one </w:t>
                            </w:r>
                            <w:r w:rsidRPr="00CD3858">
                              <w:rPr>
                                <w:rFonts w:cstheme="minorHAnsi"/>
                                <w:color w:val="000000" w:themeColor="text1"/>
                                <w:szCs w:val="20"/>
                              </w:rPr>
                              <w:t>local authority (DCLA), one housing association (DHCA)</w:t>
                            </w:r>
                            <w:r>
                              <w:rPr>
                                <w:rFonts w:cstheme="minorHAnsi"/>
                                <w:color w:val="000000" w:themeColor="text1"/>
                                <w:szCs w:val="20"/>
                              </w:rPr>
                              <w:t>,</w:t>
                            </w:r>
                            <w:r w:rsidRPr="00CD3858">
                              <w:rPr>
                                <w:rFonts w:cstheme="minorHAnsi"/>
                                <w:color w:val="000000" w:themeColor="text1"/>
                                <w:szCs w:val="20"/>
                              </w:rPr>
                              <w:t xml:space="preserve"> and </w:t>
                            </w:r>
                            <w:r>
                              <w:rPr>
                                <w:rFonts w:cstheme="minorHAnsi"/>
                                <w:color w:val="000000" w:themeColor="text1"/>
                                <w:szCs w:val="20"/>
                              </w:rPr>
                              <w:t>two</w:t>
                            </w:r>
                            <w:r w:rsidRPr="00CD3858">
                              <w:rPr>
                                <w:rFonts w:cstheme="minorHAnsi"/>
                                <w:color w:val="000000" w:themeColor="text1"/>
                                <w:szCs w:val="20"/>
                              </w:rPr>
                              <w:t xml:space="preserve"> voluntary sector providers (DCV1, DCV2). The former two operated for five days and accepted local authority referrals only. The latter two operated for one and two days. One was openly accessible for people aged ≥60 years and housebound, </w:t>
                            </w:r>
                            <w:r>
                              <w:rPr>
                                <w:rFonts w:cstheme="minorHAnsi"/>
                                <w:color w:val="000000" w:themeColor="text1"/>
                                <w:szCs w:val="20"/>
                              </w:rPr>
                              <w:t xml:space="preserve">those who were </w:t>
                            </w:r>
                            <w:r w:rsidRPr="00CD3858">
                              <w:rPr>
                                <w:rFonts w:cstheme="minorHAnsi"/>
                                <w:color w:val="000000" w:themeColor="text1"/>
                                <w:szCs w:val="20"/>
                              </w:rPr>
                              <w:t xml:space="preserve">socially isolated </w:t>
                            </w:r>
                            <w:r>
                              <w:rPr>
                                <w:rFonts w:cstheme="minorHAnsi"/>
                                <w:color w:val="000000" w:themeColor="text1"/>
                                <w:szCs w:val="20"/>
                              </w:rPr>
                              <w:t>and</w:t>
                            </w:r>
                            <w:r w:rsidRPr="00CD3858">
                              <w:rPr>
                                <w:rFonts w:cstheme="minorHAnsi"/>
                                <w:color w:val="000000" w:themeColor="text1"/>
                                <w:szCs w:val="20"/>
                              </w:rPr>
                              <w:t xml:space="preserve"> </w:t>
                            </w:r>
                            <w:r>
                              <w:rPr>
                                <w:rFonts w:cstheme="minorHAnsi"/>
                                <w:color w:val="000000" w:themeColor="text1"/>
                                <w:szCs w:val="20"/>
                              </w:rPr>
                              <w:t xml:space="preserve">who </w:t>
                            </w:r>
                            <w:r w:rsidRPr="00CD3858">
                              <w:rPr>
                                <w:rFonts w:cstheme="minorHAnsi"/>
                                <w:color w:val="000000" w:themeColor="text1"/>
                                <w:szCs w:val="20"/>
                              </w:rPr>
                              <w:t xml:space="preserve">may be in receipt of care from statutory or voluntary agencies, but not for people needing lifting, personal care or nursing, or people needing specialist care for mental illness. The other accepted both open and local authority referrals of people who were socially isolated </w:t>
                            </w:r>
                            <w:r>
                              <w:rPr>
                                <w:rFonts w:cstheme="minorHAnsi"/>
                                <w:color w:val="000000" w:themeColor="text1"/>
                                <w:szCs w:val="20"/>
                              </w:rPr>
                              <w:t>with</w:t>
                            </w:r>
                            <w:r w:rsidRPr="00CD3858">
                              <w:rPr>
                                <w:rFonts w:cstheme="minorHAnsi"/>
                                <w:color w:val="000000" w:themeColor="text1"/>
                                <w:szCs w:val="20"/>
                              </w:rPr>
                              <w:t xml:space="preserve"> transport needs but </w:t>
                            </w:r>
                            <w:r>
                              <w:rPr>
                                <w:rFonts w:cstheme="minorHAnsi"/>
                                <w:color w:val="000000" w:themeColor="text1"/>
                                <w:szCs w:val="20"/>
                              </w:rPr>
                              <w:t xml:space="preserve">not requiring </w:t>
                            </w:r>
                            <w:r w:rsidRPr="00CD3858">
                              <w:rPr>
                                <w:rFonts w:cstheme="minorHAnsi"/>
                                <w:color w:val="000000" w:themeColor="text1"/>
                                <w:szCs w:val="20"/>
                              </w:rPr>
                              <w:t xml:space="preserve">personal care assistance. </w:t>
                            </w:r>
                            <w:r>
                              <w:rPr>
                                <w:rFonts w:cstheme="minorHAnsi"/>
                                <w:color w:val="000000" w:themeColor="text1"/>
                                <w:szCs w:val="20"/>
                              </w:rPr>
                              <w:br/>
                            </w:r>
                            <w:r>
                              <w:rPr>
                                <w:color w:val="000000" w:themeColor="text1"/>
                              </w:rPr>
                              <w:t>Attendance on research days over the research period varied: DCHA 9-12 older people per day; DCLA 22-28 older people per day; DCV1 12-14 older people per day; DCV2 6-11 older people per day.</w:t>
                            </w:r>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1D1071" id="_x0000_t202" coordsize="21600,21600" o:spt="202" path="m,l,21600r21600,l21600,xe">
                <v:stroke joinstyle="miter"/>
                <v:path gradientshapeok="t" o:connecttype="rect"/>
              </v:shapetype>
              <v:shape id="Text Box 2" o:spid="_x0000_s1026" type="#_x0000_t202" style="position:absolute;margin-left:0;margin-top:25.75pt;width:456pt;height:176.2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">
                <v:textbox>
                  <w:txbxContent>
                    <w:p w14:paraId="33DC4B9F" w14:textId="77777777" w:rsidR="009F5774" w:rsidRDefault="009F5774" w:rsidP="009F5774">
                      <w:pPr>
                        <w:rPr>
                          <w:color w:val="000000" w:themeColor="text1"/>
                        </w:rPr>
                      </w:pPr>
                      <w:bookmarkStart w:id="1" w:name="_GoBack"/>
                      <w:r>
                        <w:rPr>
                          <w:rFonts w:cstheme="minorHAnsi"/>
                          <w:color w:val="000000" w:themeColor="text1"/>
                          <w:szCs w:val="20"/>
                        </w:rPr>
                        <w:t>Centres were operated by</w:t>
                      </w:r>
                      <w:r w:rsidRPr="00CD3858">
                        <w:rPr>
                          <w:rFonts w:cstheme="minorHAnsi"/>
                          <w:color w:val="000000" w:themeColor="text1"/>
                          <w:szCs w:val="20"/>
                        </w:rPr>
                        <w:t xml:space="preserve"> </w:t>
                      </w:r>
                      <w:r>
                        <w:rPr>
                          <w:rFonts w:cstheme="minorHAnsi"/>
                          <w:color w:val="000000" w:themeColor="text1"/>
                          <w:szCs w:val="20"/>
                        </w:rPr>
                        <w:t xml:space="preserve">one </w:t>
                      </w:r>
                      <w:r w:rsidRPr="00CD3858">
                        <w:rPr>
                          <w:rFonts w:cstheme="minorHAnsi"/>
                          <w:color w:val="000000" w:themeColor="text1"/>
                          <w:szCs w:val="20"/>
                        </w:rPr>
                        <w:t>local authority (DCLA), one housing association (DHCA)</w:t>
                      </w:r>
                      <w:r>
                        <w:rPr>
                          <w:rFonts w:cstheme="minorHAnsi"/>
                          <w:color w:val="000000" w:themeColor="text1"/>
                          <w:szCs w:val="20"/>
                        </w:rPr>
                        <w:t>,</w:t>
                      </w:r>
                      <w:r w:rsidRPr="00CD3858">
                        <w:rPr>
                          <w:rFonts w:cstheme="minorHAnsi"/>
                          <w:color w:val="000000" w:themeColor="text1"/>
                          <w:szCs w:val="20"/>
                        </w:rPr>
                        <w:t xml:space="preserve"> and </w:t>
                      </w:r>
                      <w:r>
                        <w:rPr>
                          <w:rFonts w:cstheme="minorHAnsi"/>
                          <w:color w:val="000000" w:themeColor="text1"/>
                          <w:szCs w:val="20"/>
                        </w:rPr>
                        <w:t>two</w:t>
                      </w:r>
                      <w:r w:rsidRPr="00CD3858">
                        <w:rPr>
                          <w:rFonts w:cstheme="minorHAnsi"/>
                          <w:color w:val="000000" w:themeColor="text1"/>
                          <w:szCs w:val="20"/>
                        </w:rPr>
                        <w:t xml:space="preserve"> voluntary sector providers (DCV1, DCV2). The former two operated for five days and accepted local authority referrals only. The latter two operated for one and two days. One was openly accessible for people aged ≥60 years and housebound, </w:t>
                      </w:r>
                      <w:r>
                        <w:rPr>
                          <w:rFonts w:cstheme="minorHAnsi"/>
                          <w:color w:val="000000" w:themeColor="text1"/>
                          <w:szCs w:val="20"/>
                        </w:rPr>
                        <w:t xml:space="preserve">those who were </w:t>
                      </w:r>
                      <w:r w:rsidRPr="00CD3858">
                        <w:rPr>
                          <w:rFonts w:cstheme="minorHAnsi"/>
                          <w:color w:val="000000" w:themeColor="text1"/>
                          <w:szCs w:val="20"/>
                        </w:rPr>
                        <w:t xml:space="preserve">socially isolated </w:t>
                      </w:r>
                      <w:r>
                        <w:rPr>
                          <w:rFonts w:cstheme="minorHAnsi"/>
                          <w:color w:val="000000" w:themeColor="text1"/>
                          <w:szCs w:val="20"/>
                        </w:rPr>
                        <w:t>and</w:t>
                      </w:r>
                      <w:r w:rsidRPr="00CD3858">
                        <w:rPr>
                          <w:rFonts w:cstheme="minorHAnsi"/>
                          <w:color w:val="000000" w:themeColor="text1"/>
                          <w:szCs w:val="20"/>
                        </w:rPr>
                        <w:t xml:space="preserve"> </w:t>
                      </w:r>
                      <w:r>
                        <w:rPr>
                          <w:rFonts w:cstheme="minorHAnsi"/>
                          <w:color w:val="000000" w:themeColor="text1"/>
                          <w:szCs w:val="20"/>
                        </w:rPr>
                        <w:t xml:space="preserve">who </w:t>
                      </w:r>
                      <w:r w:rsidRPr="00CD3858">
                        <w:rPr>
                          <w:rFonts w:cstheme="minorHAnsi"/>
                          <w:color w:val="000000" w:themeColor="text1"/>
                          <w:szCs w:val="20"/>
                        </w:rPr>
                        <w:t xml:space="preserve">may be in receipt of care from statutory or voluntary agencies, but not for people needing lifting, personal care or nursing, or people needing specialist care for mental illness. The other accepted both open and local authority referrals of people who were socially isolated </w:t>
                      </w:r>
                      <w:r>
                        <w:rPr>
                          <w:rFonts w:cstheme="minorHAnsi"/>
                          <w:color w:val="000000" w:themeColor="text1"/>
                          <w:szCs w:val="20"/>
                        </w:rPr>
                        <w:t>with</w:t>
                      </w:r>
                      <w:r w:rsidRPr="00CD3858">
                        <w:rPr>
                          <w:rFonts w:cstheme="minorHAnsi"/>
                          <w:color w:val="000000" w:themeColor="text1"/>
                          <w:szCs w:val="20"/>
                        </w:rPr>
                        <w:t xml:space="preserve"> transport needs but </w:t>
                      </w:r>
                      <w:r>
                        <w:rPr>
                          <w:rFonts w:cstheme="minorHAnsi"/>
                          <w:color w:val="000000" w:themeColor="text1"/>
                          <w:szCs w:val="20"/>
                        </w:rPr>
                        <w:t xml:space="preserve">not requiring </w:t>
                      </w:r>
                      <w:r w:rsidRPr="00CD3858">
                        <w:rPr>
                          <w:rFonts w:cstheme="minorHAnsi"/>
                          <w:color w:val="000000" w:themeColor="text1"/>
                          <w:szCs w:val="20"/>
                        </w:rPr>
                        <w:t xml:space="preserve">personal care assistance. </w:t>
                      </w:r>
                      <w:r>
                        <w:rPr>
                          <w:rFonts w:cstheme="minorHAnsi"/>
                          <w:color w:val="000000" w:themeColor="text1"/>
                          <w:szCs w:val="20"/>
                        </w:rPr>
                        <w:br/>
                      </w:r>
                      <w:r>
                        <w:rPr>
                          <w:color w:val="000000" w:themeColor="text1"/>
                        </w:rPr>
                        <w:t>Attendance on research days over the research period varied: DCHA 9-12 older people per day; DCLA 22-28 older people per day; DCV1 12-14 older people per day; DCV2 6-11 older people per day.</w:t>
                      </w:r>
                      <w:bookmarkEnd w:id="1"/>
                    </w:p>
                  </w:txbxContent>
                </v:textbox>
                <w10:wrap type="square" anchorx="margin"/>
              </v:shape>
            </w:pict>
          </mc:Fallback>
        </mc:AlternateContent>
      </w:r>
    </w:p>
    <w:sectPr w:rsidR="007E56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W1MDIzNjE1NjI1NTBR0lEKTi0uzszPAykwrAUAZFvQoSwAAAA="/>
  </w:docVars>
  <w:rsids>
    <w:rsidRoot w:val="009F5774"/>
    <w:rsid w:val="007E56EC"/>
    <w:rsid w:val="009F57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69659"/>
  <w15:chartTrackingRefBased/>
  <w15:docId w15:val="{007F0A5C-4F0C-4648-B3FC-7DD4A2248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F5774"/>
    <w:pPr>
      <w:spacing w:line="264" w:lineRule="auto"/>
    </w:pPr>
    <w:rPr>
      <w:rFonts w:eastAsia="Times New Roman" w:cs="Times New Roman"/>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Orellana, Katharine</dc:creator>
  <cp:keywords/>
  <dc:description/>
  <cp:lastModifiedBy>Orellana, Katharine</cp:lastModifiedBy>
  <cp:revision>1</cp:revision>
  <dcterms:created xsi:type="dcterms:W3CDTF">2019-06-21T09:23:00Z</dcterms:created>
  <dcterms:modified xsi:type="dcterms:W3CDTF">2019-06-21T09:24:00Z</dcterms:modified>
</cp:coreProperties>
</file>